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76" w:lineRule="auto"/>
        <w:jc w:val="center"/>
      </w:pPr>
      <w:r>
        <w:rPr>
          <w:rFonts w:ascii="Arial" w:hAnsi="Arial"/>
          <w:b/>
          <w:sz w:val="28"/>
          <w:u w:val="single"/>
        </w:rPr>
        <w:t>FORMULIR</w:t>
        <w:br/>
        <w:t>USULAN JUDUL (TOPIK) PENELITIAN</w:t>
        <w:br/>
      </w:r>
      <w:r>
        <w:rPr>
          <w:rFonts w:ascii="Arial" w:hAnsi="Arial"/>
          <w:b/>
          <w:sz w:val="24"/>
        </w:rPr>
        <w:t>Program Studi Kesehatan Masyarakat</w:t>
      </w:r>
    </w:p>
    <w:p>
      <w:pPr>
        <w:spacing w:after="120"/>
      </w:pPr>
    </w:p>
    <w:tbl>
      <w:tblPr>
        <w:tblW w:type="auto" w:w="0"/>
        <w:jc w:val="center"/>
        <w:tblLayout w:type="fixed"/>
        <w:tblLook w:firstColumn="1" w:firstRow="1" w:lastColumn="0" w:lastRow="0" w:noHBand="0" w:noVBand="1" w:val="04A0"/>
      </w:tblPr>
      <w:tblGrid>
        <w:gridCol w:w="2928"/>
        <w:gridCol w:w="2928"/>
        <w:gridCol w:w="2928"/>
      </w:tblGrid>
      <w:tr>
        <w:tc>
          <w:tcPr>
            <w:tcW w:type="dxa" w:w="2592"/>
          </w:tcPr>
          <w:p>
            <w:pPr>
              <w:spacing w:after="80"/>
            </w:pPr>
            <w:r>
              <w:rPr>
                <w:rFonts w:ascii="Arial" w:hAnsi="Arial"/>
                <w:b/>
                <w:sz w:val="22"/>
              </w:rPr>
              <w:t>Nama</w:t>
            </w:r>
          </w:p>
        </w:tc>
        <w:tc>
          <w:tcPr>
            <w:tcW w:type="dxa" w:w="432"/>
          </w:tcPr>
          <w:p>
            <w:pPr>
              <w:spacing w:after="80"/>
            </w:pPr>
            <w:r>
              <w:rPr>
                <w:rFonts w:ascii="Arial" w:hAnsi="Arial"/>
                <w:sz w:val="22"/>
              </w:rPr>
              <w:t>:</w:t>
            </w:r>
          </w:p>
        </w:tc>
        <w:tc>
          <w:tcPr>
            <w:tcW w:type="dxa" w:w="6192"/>
          </w:tcPr>
          <w:p>
            <w:pPr>
              <w:spacing w:after="80"/>
            </w:pPr>
            <w:r>
              <w:rPr>
                <w:rFonts w:ascii="Arial" w:hAnsi="Arial"/>
                <w:sz w:val="22"/>
              </w:rPr>
              <w:t>Nur Virgi Arfiyanti</w:t>
            </w:r>
          </w:p>
        </w:tc>
      </w:tr>
      <w:tr>
        <w:tc>
          <w:tcPr>
            <w:tcW w:type="dxa" w:w="2592"/>
          </w:tcPr>
          <w:p>
            <w:pPr>
              <w:spacing w:after="80"/>
            </w:pPr>
            <w:r>
              <w:rPr>
                <w:rFonts w:ascii="Arial" w:hAnsi="Arial"/>
                <w:b/>
                <w:sz w:val="22"/>
              </w:rPr>
              <w:t>NIM</w:t>
            </w:r>
          </w:p>
        </w:tc>
        <w:tc>
          <w:tcPr>
            <w:tcW w:type="dxa" w:w="432"/>
          </w:tcPr>
          <w:p>
            <w:pPr>
              <w:spacing w:after="80"/>
            </w:pPr>
            <w:r>
              <w:rPr>
                <w:rFonts w:ascii="Arial" w:hAnsi="Arial"/>
                <w:sz w:val="22"/>
              </w:rPr>
              <w:t>:</w:t>
            </w:r>
          </w:p>
        </w:tc>
        <w:tc>
          <w:tcPr>
            <w:tcW w:type="dxa" w:w="6192"/>
          </w:tcPr>
          <w:p>
            <w:pPr>
              <w:spacing w:after="80"/>
            </w:pPr>
            <w:r>
              <w:rPr>
                <w:rFonts w:ascii="Arial" w:hAnsi="Arial"/>
                <w:sz w:val="22"/>
              </w:rPr>
              <w:t>235059048</w:t>
            </w:r>
          </w:p>
        </w:tc>
      </w:tr>
      <w:tr>
        <w:tc>
          <w:tcPr>
            <w:tcW w:type="dxa" w:w="2592"/>
          </w:tcPr>
          <w:p>
            <w:pPr>
              <w:spacing w:after="80"/>
            </w:pPr>
            <w:r>
              <w:rPr>
                <w:rFonts w:ascii="Arial" w:hAnsi="Arial"/>
                <w:b/>
                <w:sz w:val="22"/>
              </w:rPr>
              <w:t>Peminatan</w:t>
            </w:r>
          </w:p>
        </w:tc>
        <w:tc>
          <w:tcPr>
            <w:tcW w:type="dxa" w:w="432"/>
          </w:tcPr>
          <w:p>
            <w:pPr>
              <w:spacing w:after="80"/>
            </w:pPr>
            <w:r>
              <w:rPr>
                <w:rFonts w:ascii="Arial" w:hAnsi="Arial"/>
                <w:sz w:val="22"/>
              </w:rPr>
              <w:t>:</w:t>
            </w:r>
          </w:p>
        </w:tc>
        <w:tc>
          <w:tcPr>
            <w:tcW w:type="dxa" w:w="6192"/>
          </w:tcPr>
          <w:p>
            <w:pPr>
              <w:spacing w:after="80"/>
            </w:pPr>
            <w:r>
              <w:rPr>
                <w:rFonts w:ascii="Arial" w:hAnsi="Arial"/>
                <w:sz w:val="22"/>
              </w:rPr>
              <w:t>Keselamatan dan Kesehatan Kerja (K3)</w:t>
            </w:r>
          </w:p>
        </w:tc>
      </w:tr>
    </w:tbl>
    <w:p>
      <w:pPr>
        <w:spacing w:before="280" w:after="120"/>
      </w:pPr>
      <w:r>
        <w:rPr>
          <w:rFonts w:ascii="Arial" w:hAnsi="Arial"/>
          <w:b/>
          <w:sz w:val="22"/>
        </w:rPr>
        <w:t>Rumusan Masalah (Bukan Judul)</w:t>
      </w:r>
    </w:p>
    <w:p>
      <w:pPr>
        <w:spacing w:before="80" w:after="160" w:line="276" w:lineRule="auto"/>
        <w:ind w:left="576" w:hanging="576"/>
        <w:jc w:val="both"/>
      </w:pPr>
      <w:r>
        <w:rPr>
          <w:rFonts w:ascii="Arial" w:hAnsi="Arial"/>
          <w:b/>
          <w:sz w:val="22"/>
        </w:rPr>
        <w:t xml:space="preserve">1.  </w:t>
      </w:r>
      <w:r>
        <w:rPr>
          <w:rFonts w:ascii="Arial" w:hAnsi="Arial"/>
          <w:sz w:val="22"/>
        </w:rPr>
        <w:t>Tingginya prevalensi keluhan Gangguan Muskuloskeletal (Musculoskeletal Disorders/MSDs), khususnya nyeri punggung bawah (Low Back Pain) dan ketegangan otot bahu pada teknisi manual handling di PT. Sinar Powerindo Utama akibat aktivitas pengangkatan beban berat (server cabinet 15-30 kg) dengan postur kerja yang tidak ergonomis (membungkuk dan memutar badan) secara berulang.</w:t>
      </w:r>
    </w:p>
    <w:p>
      <w:pPr>
        <w:spacing w:before="80" w:after="160" w:line="276" w:lineRule="auto"/>
        <w:ind w:left="576" w:hanging="576"/>
        <w:jc w:val="both"/>
      </w:pPr>
      <w:r>
        <w:rPr>
          <w:rFonts w:ascii="Arial" w:hAnsi="Arial"/>
          <w:b/>
          <w:sz w:val="22"/>
        </w:rPr>
        <w:t xml:space="preserve">2.  </w:t>
      </w:r>
      <w:r>
        <w:rPr>
          <w:rFonts w:ascii="Arial" w:hAnsi="Arial"/>
          <w:sz w:val="22"/>
        </w:rPr>
        <w:t>Rendahnya efektivitas media promosi dan edukasi K3 konvensional (seperti penyampaian lisan saat safety briefing atau pembagian dokumen cetak/PDF) dalam meningkatkan pemahaman serta merubah sikap kerja teknisi manual handling untuk konsisten menerapkan teknik pengangkatan yang aman (squat style) dan melakukan peregangan otot rutin di sela jam kerja.</w:t>
      </w:r>
    </w:p>
    <w:p>
      <w:pPr>
        <w:spacing w:before="80" w:after="160" w:line="276" w:lineRule="auto"/>
        <w:ind w:left="576" w:hanging="576"/>
        <w:jc w:val="both"/>
      </w:pPr>
      <w:r>
        <w:rPr>
          <w:rFonts w:ascii="Arial" w:hAnsi="Arial"/>
          <w:b/>
          <w:sz w:val="22"/>
        </w:rPr>
        <w:t xml:space="preserve">3.  </w:t>
      </w:r>
      <w:r>
        <w:rPr>
          <w:rFonts w:ascii="Arial" w:hAnsi="Arial"/>
          <w:sz w:val="22"/>
        </w:rPr>
        <w:t>Belum tersedianya sarana media edukasi digital interaktif berbasis website yang fleksibel, menarik, dan dapat diakses secara mandiri kapan saja oleh teknisi melalui perangkat mobile untuk memandu pencegahan risiko bahaya ergonomi (HIRADC), simulasi posisi kerja aman, serta evaluasi mandiri tingkat pengetahuan dan sikap pencegahan MSDs.</w:t>
      </w:r>
    </w:p>
    <w:p>
      <w:pPr>
        <w:spacing w:before="480" w:after="120"/>
        <w:jc w:val="right"/>
      </w:pPr>
      <w:r>
        <w:rPr>
          <w:rFonts w:ascii="Arial" w:hAnsi="Arial"/>
          <w:sz w:val="22"/>
        </w:rPr>
        <w:t>Jakarta,     Juli 2026</w:t>
      </w:r>
    </w:p>
    <w:tbl>
      <w:tblPr>
        <w:tblW w:type="auto" w:w="0"/>
        <w:jc w:val="center"/>
        <w:tblLayout w:type="fixed"/>
        <w:tblLook w:firstColumn="1" w:firstRow="1" w:lastColumn="0" w:lastRow="0" w:noHBand="0" w:noVBand="1" w:val="04A0"/>
      </w:tblPr>
      <w:tblGrid>
        <w:gridCol w:w="4392"/>
        <w:gridCol w:w="4392"/>
      </w:tblGrid>
      <w:tr>
        <w:tc>
          <w:tcPr>
            <w:tcW w:type="dxa" w:w="4608"/>
          </w:tcPr>
          <w:p>
            <w:pPr>
              <w:spacing w:line="276" w:lineRule="auto"/>
              <w:jc w:val="center"/>
            </w:pPr>
            <w:r>
              <w:rPr>
                <w:rFonts w:ascii="Arial" w:hAnsi="Arial"/>
                <w:sz w:val="22"/>
              </w:rPr>
              <w:t>Menyetujui,</w:t>
              <w:br/>
              <w:t>Dosen pembimbing</w:t>
              <w:br/>
              <w:br/>
              <w:br/>
              <w:br/>
              <w:br/>
              <w:t>(  __________________________________  )</w:t>
            </w:r>
          </w:p>
        </w:tc>
        <w:tc>
          <w:tcPr>
            <w:tcW w:type="dxa" w:w="4608"/>
          </w:tcPr>
          <w:p>
            <w:pPr>
              <w:spacing w:line="276" w:lineRule="auto"/>
              <w:jc w:val="center"/>
            </w:pPr>
            <w:r>
              <w:rPr>
                <w:rFonts w:ascii="Arial" w:hAnsi="Arial"/>
                <w:sz w:val="22"/>
              </w:rPr>
              <w:t>Mahasiswa</w:t>
              <w:br/>
              <w:br/>
              <w:br/>
              <w:br/>
              <w:br/>
              <w:t>(  Nur Virgi Arfiyanti  )</w:t>
            </w:r>
          </w:p>
        </w:tc>
      </w:tr>
      <w:tr>
        <w:tc>
          <w:tcPr>
            <w:tcW w:type="dxa" w:w="4392"/>
          </w:tcPr>
          <w:p/>
        </w:tc>
        <w:tc>
          <w:tcPr>
            <w:tcW w:type="dxa" w:w="4392"/>
          </w:tcPr>
          <w:p/>
        </w:tc>
      </w:tr>
    </w:tbl>
    <w:sectPr w:rsidR="00FC693F" w:rsidRPr="0006063C" w:rsidSect="00034616">
      <w:head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5669280" cy="1219812"/>
          <wp:docPr id="1" name="Picture 1"/>
          <wp:cNvGraphicFramePr>
            <a:graphicFrameLocks noChangeAspect="1"/>
          </wp:cNvGraphicFramePr>
          <a:graphic>
            <a:graphicData uri="http://schemas.openxmlformats.org/drawingml/2006/picture">
              <pic:pic>
                <pic:nvPicPr>
                  <pic:cNvPr id="0" name="media__1784704298095.png"/>
                  <pic:cNvPicPr/>
                </pic:nvPicPr>
                <pic:blipFill>
                  <a:blip r:embed="rId1"/>
                  <a:stretch>
                    <a:fillRect/>
                  </a:stretch>
                </pic:blipFill>
                <pic:spPr>
                  <a:xfrm>
                    <a:off x="0" y="0"/>
                    <a:ext cx="5669280" cy="121981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