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32"/>
        </w:rPr>
        <w:t>Multi-Resolution Terrain Fusion and ML-Based Adaptive Landing Site Selection for Lunar South Pole Rover Missions</w:t>
      </w:r>
    </w:p>
    <w:p>
      <w:pPr>
        <w:jc w:val="center"/>
      </w:pPr>
      <w:r>
        <w:rPr>
          <w:i/>
          <w:sz w:val="22"/>
        </w:rPr>
        <w:t>Anveshak [Author Name], [Co-Author Name], [Supervisor Name]</w:t>
      </w:r>
    </w:p>
    <w:p>
      <w:pPr>
        <w:jc w:val="center"/>
      </w:pPr>
      <w:r>
        <w:rPr>
          <w:sz w:val="20"/>
        </w:rPr>
        <w:t>[Department of Computer Science / Electronics], [University Name], [City, Country]</w:t>
      </w:r>
    </w:p>
    <w:p/>
    <w:p>
      <w:pPr>
        <w:jc w:val="center"/>
      </w:pPr>
      <w:r>
        <w:rPr>
          <w:b/>
          <w:sz w:val="20"/>
        </w:rPr>
        <w:t>Abstract</w:t>
      </w:r>
    </w:p>
    <w:p>
      <w:pPr>
        <w:ind w:left="720" w:right="720"/>
        <w:jc w:val="both"/>
      </w:pPr>
      <w:r>
        <w:rPr>
          <w:sz w:val="20"/>
        </w:rPr>
        <w:t>The lunar south polar region represents one of the most scientifically compelling—and operationally hazardous—destinations in contemporary planetary exploration. Permanently shadowed craters may harbor water ice deposits of immense scientific and resource value, yet the terrain is characterised by extreme slopes, deep crater walls, and sparse, heterogeneous illumination. Current mission-planning workflows rely heavily on manual expert interpretation of Digital Elevation Model (DEM) data and offer limited support for autonomous multi-criteria optimisation. This paper presents Anveshak, a web-based mission-planning system that integrates real NASA Lunar Reconnaissance Orbiter (LRO) Lunar Orbiter Laser Altimeter (LOLA) DEM data at 20 m/pixel resolution covering 80–90°S to deliver end-to-end landing-site analysis. The system computes slope, roughness, and elevation arrays over a 10,133 × 10,133 pixel grid, scores candidate landing sites through a weighted multi-criteria function, plans optimal traverse paths using A* search with terrain-aware cost functions, classifies terrain into five operational categories using a Random Forest model achieving 99.17% validation accuracy on 10,000 held-out samples, detects geologically anomalous science targets via DBSCAN clustering, models per-step rover energy consumption, and generates plain-English mission advisory reports. Validation against NASA's shortlisted Artemis III candidate sites—including Shackleton Ridge, Faustini Crater, Haworth Edge, and Nobile Rim—demonstrates strong agreement with expert assessments. The system correctly identifies Shackleton Ridge as the highest-priority safe landing site (final score 0.603 for water-ice mission profile) and correctly flags Faustini Crater as unlandable due to steep crater walls while preserving its high science-value signal. These results establish Anveshak as a reproducible, data-driven baseline for autonomous lunar south pole mission planning.</w:t>
      </w:r>
    </w:p>
    <w:p>
      <w:pPr>
        <w:ind w:left="720" w:right="720"/>
        <w:jc w:val="both"/>
      </w:pPr>
      <w:r>
        <w:rPr>
          <w:b/>
          <w:sz w:val="20"/>
        </w:rPr>
        <w:t>Index Terms</w:t>
      </w:r>
      <w:r>
        <w:rPr>
          <w:sz w:val="20"/>
        </w:rPr>
        <w:t xml:space="preserve"> — Lunar landing site selection, digital elevation model, random forest terrain classification, A* pathfinding, DBSCAN anomaly detection, NASA LRO LOLA, south pole robotics, mission planning.</w:t>
      </w:r>
    </w:p>
    <w:p/>
    <w:p>
      <w:pPr>
        <w:spacing w:before="160" w:after="80"/>
        <w:jc w:val="left"/>
      </w:pPr>
      <w:r>
        <w:rPr>
          <w:b/>
          <w:sz w:val="20"/>
        </w:rPr>
        <w:t>I. INTRODUCTION</w:t>
      </w:r>
    </w:p>
    <w:p>
      <w:pPr>
        <w:ind w:firstLine="288"/>
        <w:jc w:val="both"/>
      </w:pPr>
      <w:r>
        <w:rPr>
          <w:sz w:val="20"/>
        </w:rPr>
        <w:t>The lunar south pole has emerged as a primary destination for robotic and crewed exploration missions in the current decade. NASA's Artemis programme, ISRO's Chandrayaan-3 mission, and numerous forthcoming commercial landers are all targeting this region, motivated chiefly by the theoretical presence of water ice in permanently shadowed regions (PSRs) first confirmed by the Lunar Crater Observation and Sensing Satellite (LCROSS) in 2009 [1]. Water ice represents both a scientific record of volatile delivery to the inner solar system and a practical resource for future sustained human presence on the Moon.</w:t>
      </w:r>
    </w:p>
    <w:p>
      <w:pPr>
        <w:ind w:firstLine="288"/>
        <w:jc w:val="both"/>
      </w:pPr>
      <w:r>
        <w:rPr>
          <w:sz w:val="20"/>
        </w:rPr>
        <w:t>Despite this compelling motivation, the south polar terrain presents mission designers with formidable challenges. Slopes near crater rims frequently exceed 20°, well above the stability threshold for most rover designs. Illumination is highly variable and site-dependent, with some ridges receiving near-continuous sunlight while crater floors remain permanently dark. Existing mission-planning workflows depend on labour-intensive manual analysis of DEM products by geologists and engineers, a process that is time-consuming, difficult to reproduce, and not readily adaptable to different mission profiles—geological survey, resource prospecting, technology demonstration—without significant rework.</w:t>
      </w:r>
    </w:p>
    <w:p>
      <w:pPr>
        <w:ind w:firstLine="288"/>
        <w:jc w:val="both"/>
      </w:pPr>
      <w:r>
        <w:rPr>
          <w:sz w:val="20"/>
        </w:rPr>
        <w:t>Machine learning offers a pathway to automate and generalise these analyses. Prior work has applied convolutional neural networks to crater detection [2], support vector machines to terrain classification on Mars [3], and graph-based methods to rover path optimisation [4]. However, no integrated, end-to-end open system currently exists that combines real DEM ingestion, multi-criteria landing scoring, ML-based terrain classification, anomaly detection, path planning, and natural-language mission reporting in a single deployable tool.</w:t>
      </w:r>
    </w:p>
    <w:p>
      <w:pPr>
        <w:ind w:firstLine="288"/>
        <w:jc w:val="both"/>
      </w:pPr>
      <w:r>
        <w:rPr>
          <w:sz w:val="20"/>
        </w:rPr>
        <w:t>This paper makes the following contributions:</w:t>
      </w:r>
    </w:p>
    <w:p>
      <w:pPr>
        <w:pStyle w:val="ListNumber"/>
        <w:ind w:left="360"/>
      </w:pPr>
      <w:r>
        <w:rPr>
          <w:sz w:val="20"/>
        </w:rPr>
        <w:t>An open, reproducible pipeline for ingesting NASA LRO LOLA DEM data (LDEM_80S_20M.JP2) and deriving operational terrain metrics—slope, roughness, and data-quality masks—over the complete 80–90°S region at a working resolution of 60 m/pixel.</w:t>
      </w:r>
    </w:p>
    <w:p>
      <w:pPr>
        <w:pStyle w:val="ListNumber"/>
        <w:ind w:left="360"/>
      </w:pPr>
      <w:r>
        <w:rPr>
          <w:sz w:val="20"/>
        </w:rPr>
        <w:t>A multi-criteria landing-site scoring function parameterised by mission profile, with empirical validation against four NASA Artemis III candidate sites.</w:t>
      </w:r>
    </w:p>
    <w:p>
      <w:pPr>
        <w:pStyle w:val="ListNumber"/>
        <w:ind w:left="360"/>
      </w:pPr>
      <w:r>
        <w:rPr>
          <w:sz w:val="20"/>
        </w:rPr>
        <w:t>A Random Forest terrain classifier trained on 50,000 automatically labelled samples achieving 99.17% accuracy on a held-out validation set of 10,000 samples, without requiring manual annotation.</w:t>
      </w:r>
    </w:p>
    <w:p>
      <w:pPr>
        <w:pStyle w:val="ListNumber"/>
        <w:ind w:left="360"/>
      </w:pPr>
      <w:r>
        <w:rPr>
          <w:sz w:val="20"/>
        </w:rPr>
        <w:t>An A* pathfinder with terrain-aware exponential slope cost, supporting 8-directional movement over grids exceeding 10,000 × 10,000 pixels within a 2-million-iteration budget.</w:t>
      </w:r>
    </w:p>
    <w:p>
      <w:pPr>
        <w:pStyle w:val="ListNumber"/>
        <w:ind w:left="360"/>
      </w:pPr>
      <w:r>
        <w:rPr>
          <w:sz w:val="20"/>
        </w:rPr>
        <w:t>A DBSCAN-based science-target detector that identifies geologically anomalous terrain without requiring prior specification of cluster count.</w:t>
      </w:r>
    </w:p>
    <w:p>
      <w:pPr>
        <w:pStyle w:val="ListNumber"/>
        <w:ind w:left="360"/>
      </w:pPr>
      <w:r>
        <w:rPr>
          <w:sz w:val="20"/>
        </w:rPr>
        <w:t>An integrated web-based interface with interactive Plotly visualisations and rule-based plain-English mission advisory report generation.</w:t>
      </w:r>
    </w:p>
    <w:p>
      <w:pPr>
        <w:ind w:firstLine="288"/>
        <w:jc w:val="both"/>
      </w:pPr>
      <w:r>
        <w:rPr>
          <w:sz w:val="20"/>
        </w:rPr>
        <w:t>The remainder of this paper is structured as follows. Section II reviews related work. Section III describes the overall system architecture. Section IV details the methodology of each module. Section V presents experimental results and validation. Section VI discusses findings, limitations, and future directions. Section VII concludes.</w:t>
      </w:r>
    </w:p>
    <w:p>
      <w:pPr>
        <w:ind w:firstLine="288"/>
        <w:jc w:val="both"/>
      </w:pPr>
      <w:r>
        <w:rPr>
          <w:sz w:val="20"/>
        </w:rPr>
        <w:t>It is worth noting the scope boundaries of this work. Anveshak is an offline mission planning tool rather than an onboard autonomous navigation system. It operates on pre-processed DEM tiles and delivers analysis results to human mission planners who make the final go/no-go decisions. This human-in-the-loop philosophy is consistent with current NASA mission approval processes, where automated tools inform but do not replace expert judgement for irreversible mission commitments such as landing-site selection. The system is intended to reduce the time from DEM data availability to a fully characterised candidate site list from days of manual analysis to under one minute of automated computation.</w:t>
      </w:r>
    </w:p>
    <w:p>
      <w:pPr>
        <w:spacing w:before="160" w:after="80"/>
        <w:jc w:val="left"/>
      </w:pPr>
      <w:r>
        <w:rPr>
          <w:b/>
          <w:sz w:val="20"/>
        </w:rPr>
        <w:t>II. RELATED WORK</w:t>
      </w:r>
    </w:p>
    <w:p>
      <w:pPr>
        <w:spacing w:before="80" w:after="40"/>
      </w:pPr>
      <w:r>
        <w:rPr>
          <w:b/>
          <w:i/>
          <w:sz w:val="20"/>
        </w:rPr>
        <w:t>A. Lunar DEM Products and Terrain Analysis</w:t>
      </w:r>
    </w:p>
    <w:p>
      <w:pPr>
        <w:ind w:firstLine="288"/>
        <w:jc w:val="both"/>
      </w:pPr>
      <w:r>
        <w:rPr>
          <w:sz w:val="20"/>
        </w:rPr>
        <w:t>The Lunar Reconnaissance Orbiter Camera (LROC) and the Lunar Orbiter Laser Altimeter (LOLA) have produced the most comprehensive topographic datasets of the lunar surface to date. Smith et al. [5] describe the LOLA instrument and its 10 cm vertical precision, which forms the basis for the LDEM_80S_20M.JP2 product used in this work. Zuber et al. [6] characterised the south polar topography using early LOLA data, identifying Shackleton Crater as a landmark structure with a near-flat floor and high crater rim that simultaneously provides near-continuous illumination and proximity to PSRs. Subsequent work by Deutsch et al. [7] used LOLA data to map ice-bearing PSRs, providing scientific context for mission prioritisation.</w:t>
      </w:r>
    </w:p>
    <w:p>
      <w:pPr>
        <w:spacing w:before="80" w:after="40"/>
      </w:pPr>
      <w:r>
        <w:rPr>
          <w:b/>
          <w:i/>
          <w:sz w:val="20"/>
        </w:rPr>
        <w:t>B. Automated Landing Site Selection</w:t>
      </w:r>
    </w:p>
    <w:p>
      <w:pPr>
        <w:ind w:firstLine="288"/>
        <w:jc w:val="both"/>
      </w:pPr>
      <w:r>
        <w:rPr>
          <w:sz w:val="20"/>
        </w:rPr>
        <w:t>Automated landing site selection has been approached through several paradigms. Early work by Golombek et al. [8] for the Mars Exploration Rover missions established multi-criteria scoring frameworks combining engineering safety (slope, rock abundance) with scientific merit, a conceptual foundation this work extends to the lunar context. For the Moon, Flahaut et al. [9] proposed a geographic information system (GIS)-based multi-criteria evaluation for the Artemis landing region, manually weighting factors including illumination, communication, and terrain hazards. Our work automates and extends this approach with ML-based scoring and objective validation.</w:t>
      </w:r>
    </w:p>
    <w:p>
      <w:pPr>
        <w:spacing w:before="80" w:after="40"/>
      </w:pPr>
      <w:r>
        <w:rPr>
          <w:b/>
          <w:i/>
          <w:sz w:val="20"/>
        </w:rPr>
        <w:t>C. Machine Learning for Planetary Terrain Classification</w:t>
      </w:r>
    </w:p>
    <w:p>
      <w:pPr>
        <w:ind w:firstLine="288"/>
        <w:jc w:val="both"/>
      </w:pPr>
      <w:r>
        <w:rPr>
          <w:sz w:val="20"/>
        </w:rPr>
        <w:t>Machine learning methods have been applied extensively to planetary surface analysis. Wagstaff et al. [10] demonstrated novelty detection for identifying scientifically interesting rock targets from rover imagery. Palafox et al. [11] applied convolutional neural networks to detect volcanic features in orbital imagery. For terrain classification specifically, Ono et al. [12] employed support vector machines on MOLA (Mars Orbiter Laser Altimeter) data, achieving robust class separation on gradient-derived features—an approach conceptually similar to the Random Forest classifier presented here. Unlike neural approaches, tree ensemble methods offer native feature-importance attribution, enabling direct interpretation of which terrain metrics drive classification decisions.</w:t>
      </w:r>
    </w:p>
    <w:p>
      <w:pPr>
        <w:spacing w:before="80" w:after="40"/>
      </w:pPr>
      <w:r>
        <w:rPr>
          <w:b/>
          <w:i/>
          <w:sz w:val="20"/>
        </w:rPr>
        <w:t>D. Rover Path Planning</w:t>
      </w:r>
    </w:p>
    <w:p>
      <w:pPr>
        <w:ind w:firstLine="288"/>
        <w:jc w:val="both"/>
      </w:pPr>
      <w:r>
        <w:rPr>
          <w:sz w:val="20"/>
        </w:rPr>
        <w:t>Optimal rover path planning on planetary DEMs has a rich literature. Stentz [13] introduced the D* algorithm for dynamic replanning in unknown terrain, while variants such as Field D* [14] provide interpolated movement for smoother paths on grid representations. A* with admissible heuristics remains the practical standard for offline route planning on known DEMs [4], offering guaranteed optimal paths relative to the specified cost function at lower implementation complexity than D*. Our implementation employs an exponential slope penalty that strongly discourages traversal of slopes above 15°, reflecting realistic rover stability constraints, within an 8-directional grid connectivity model.</w:t>
      </w:r>
    </w:p>
    <w:p>
      <w:pPr>
        <w:spacing w:before="80" w:after="40"/>
      </w:pPr>
      <w:r>
        <w:rPr>
          <w:b/>
          <w:i/>
          <w:sz w:val="20"/>
        </w:rPr>
        <w:t>E. Anomaly and Science Target Detection</w:t>
      </w:r>
    </w:p>
    <w:p>
      <w:pPr>
        <w:ind w:firstLine="288"/>
        <w:jc w:val="both"/>
      </w:pPr>
      <w:r>
        <w:rPr>
          <w:sz w:val="20"/>
        </w:rPr>
        <w:t>Unsupervised clustering has been applied to planetary science target identification in contexts ranging from spectrometer data to morphological mapping. DBSCAN (Density-Based Spatial Clustering of Applications with Noise) [15] is particularly suited to terrain data because it does not require pre-specification of cluster count and naturally identifies outlier pixels as noise—a useful property when the prevalence of anomalous terrain is unknown a priori. Kerner et al. [16] demonstrated unsupervised novelty detection for Mars rover targeting using similar density-based approaches. To our knowledge, the application of DBSCAN to LOLA DEM-derived feature space for lunar south pole science target prioritisation has not previously been reported in the open literature.</w:t>
      </w:r>
    </w:p>
    <w:p>
      <w:pPr>
        <w:spacing w:before="80" w:after="40"/>
      </w:pPr>
      <w:r>
        <w:rPr>
          <w:b/>
          <w:i/>
          <w:sz w:val="20"/>
        </w:rPr>
        <w:t>F. Integrated Mission Planning Systems</w:t>
      </w:r>
    </w:p>
    <w:p>
      <w:pPr>
        <w:ind w:firstLine="288"/>
        <w:jc w:val="both"/>
      </w:pPr>
      <w:r>
        <w:rPr>
          <w:sz w:val="20"/>
        </w:rPr>
        <w:t>Several integrated systems have been proposed for planetary mission planning. The OASIS system [17] integrates science return optimisation with engineering constraint satisfaction for orbital assets. For surface missions, the RSVP (Robot Sequencing and Visualisation Program) toolchain used by NASA JPL supports human-in-the-loop traverse planning on Mars, but is not publicly available and requires expert operation. Commercial tools such as the Lunar Reconnaissance Orbiter QuickMap provide visualisation but not automated analysis. Anveshak fills this gap with an open, automated, end-to-end system targeting the specific operational requirements of lunar south pole rover missions.</w:t>
      </w:r>
    </w:p>
    <w:p>
      <w:pPr>
        <w:spacing w:before="160" w:after="80"/>
        <w:jc w:val="left"/>
      </w:pPr>
      <w:r>
        <w:rPr>
          <w:b/>
          <w:sz w:val="20"/>
        </w:rPr>
        <w:t>III. SYSTEM ARCHITECTURE</w:t>
      </w:r>
    </w:p>
    <w:p>
      <w:pPr>
        <w:ind w:firstLine="288"/>
        <w:jc w:val="both"/>
      </w:pPr>
      <w:r>
        <w:rPr>
          <w:sz w:val="20"/>
        </w:rPr>
        <w:t>Anveshak is structured as a three-tier web application: a Python FastAPI backend responsible for all computationally intensive geospatial and ML processing, a lightweight HTML/CSS/JavaScript frontend for parameter input and interactive visualisation, and a static data layer comprising the LOLA DEM and derived product files. The modular backend design ensures that individual analytical components can be updated or replaced independently without disrupting the overall pipeline.</w:t>
      </w:r>
    </w:p>
    <w:p>
      <w:pPr>
        <w:jc w:val="center"/>
      </w:pPr>
      <w:r>
        <w:rPr>
          <w:b/>
          <w:sz w:val="20"/>
        </w:rPr>
        <w:t>[FIGURE 1]</w:t>
      </w:r>
    </w:p>
    <w:p>
      <w:pPr>
        <w:jc w:val="center"/>
      </w:pPr>
      <w:r>
        <w:rPr>
          <w:i/>
          <w:sz w:val="18"/>
        </w:rPr>
        <w:t>Fig. 1. System architecture overview. The frontend communicates with the FastAPI backend via REST API calls. The backend orchestrates seven analytical modules, each operating on shared NumPy arrays derived from the LOLA DEM. Results are serialised as JSON and rendered in the browser using Plotly.js.</w:t>
      </w:r>
    </w:p>
    <w:p>
      <w:pPr>
        <w:ind w:firstLine="288"/>
        <w:jc w:val="both"/>
      </w:pPr>
      <w:r>
        <w:rPr>
          <w:sz w:val="20"/>
        </w:rPr>
        <w:t>On startup, the terrain module loads the LDEM_80S_20M.JP2 file using rasterio, reprojects from its native Polar Stereographic Moon 2000 CRS to a working 60 m/pixel grid, and computes the three primary terrain arrays—elevation, slope, and roughness—which are held in memory for the session lifetime. This one-time initialisation takes approximately 45 seconds on a standard workstation and produces arrays of shape 10,133 × 10,133 pixels occupying approximately 1.2 GB of RAM at 60 m effective resolution. The full 20 m/pixel arrays would require approximately 7 GB and were deemed impractical for interactive use on commodity hardware.</w:t>
      </w:r>
    </w:p>
    <w:p>
      <w:pPr>
        <w:ind w:firstLine="288"/>
        <w:jc w:val="both"/>
      </w:pPr>
      <w:r>
        <w:rPr>
          <w:sz w:val="20"/>
        </w:rPr>
        <w:t>User-facing analyses are triggered through the frontend interface, which exposes parameters for mission type (geological survey, water-ice prospecting, technology demonstration), rover specification (maximum traversable slope, battery capacity), and region-of-interest coordinates. The backend responds with JSON payloads containing scored candidate sites, path waypoints, classified terrain tiles, anomaly cluster centroids, energy consumption estimates, and a full-text mission advisory report. All spatial results are rendered in the browser as interactive Plotly figures with toggleable layers.</w:t>
      </w:r>
    </w:p>
    <w:p>
      <w:pPr>
        <w:jc w:val="center"/>
      </w:pPr>
      <w:r>
        <w:rPr>
          <w:b/>
          <w:sz w:val="20"/>
        </w:rPr>
        <w:t>[FIGURE 2]</w:t>
      </w:r>
    </w:p>
    <w:p>
      <w:pPr>
        <w:jc w:val="center"/>
      </w:pPr>
      <w:r>
        <w:rPr>
          <w:i/>
          <w:sz w:val="18"/>
        </w:rPr>
        <w:t>Fig. 2. Processing pipeline data flow. Arrows indicate array dependencies between modules. The terrain arrays (elevation, slope, roughness) are the shared substrate consumed by all downstream modules. Dashed arrows indicate optional execution paths triggered only when the corresponding analysis is requested by the user.</w:t>
      </w:r>
    </w:p>
    <w:p>
      <w:pPr>
        <w:ind w:firstLine="288"/>
        <w:jc w:val="both"/>
      </w:pPr>
      <w:r>
        <w:rPr>
          <w:sz w:val="20"/>
        </w:rPr>
        <w:t>The REST API is implemented using FastAPI's asynchronous request handling. Long-running operations such as A* path planning and Random Forest inference are dispatched to a ThreadPoolExecutor to prevent blocking the event loop. The frontend polls a progress endpoint at 500 ms intervals during computation and displays a live progress indicator to the user. All API responses are JSON-serialised and include both the numerical results and a human-readable status message. The Plotly figures are constructed server-side as JSON specification objects and rendered client-side by Plotly.js, keeping the data transfer compact while exploiting the browser's GPU-accelerated rendering for the interactive map.</w:t>
      </w:r>
    </w:p>
    <w:p>
      <w:pPr>
        <w:ind w:firstLine="288"/>
        <w:jc w:val="both"/>
      </w:pPr>
      <w:r>
        <w:rPr>
          <w:sz w:val="20"/>
        </w:rPr>
        <w:t>Data persistence across sessions is intentionally minimal. The derived terrain arrays are recomputed on server restart from the raw LDEM_80S_20M.JP2 file, ensuring reproducibility without requiring a separate database. The observation-count auxiliary file (LDEC) is loaded concurrently with the DEM and used solely to construct the quality_mask array, which is stored as a boolean array indicating pixels with fewer than a threshold number of LOLA laser returns (default threshold: 5 observations). Pixels below this threshold are penalised in the safety score and annotated as low-confidence on the visualisation map.</w:t>
      </w:r>
    </w:p>
    <w:p>
      <w:pPr>
        <w:spacing w:before="160" w:after="80"/>
        <w:jc w:val="left"/>
      </w:pPr>
      <w:r>
        <w:rPr>
          <w:b/>
          <w:sz w:val="20"/>
        </w:rPr>
        <w:t>IV. METHODOLOGY</w:t>
      </w:r>
    </w:p>
    <w:p>
      <w:pPr>
        <w:spacing w:before="80" w:after="40"/>
      </w:pPr>
      <w:r>
        <w:rPr>
          <w:b/>
          <w:i/>
          <w:sz w:val="20"/>
        </w:rPr>
        <w:t>A. Terrain Data Ingestion and Metric Computation (terrain.py)</w:t>
      </w:r>
    </w:p>
    <w:p>
      <w:pPr>
        <w:ind w:firstLine="288"/>
        <w:jc w:val="both"/>
      </w:pPr>
      <w:r>
        <w:rPr>
          <w:sz w:val="20"/>
        </w:rPr>
        <w:t>The raw DEM is stored in JPEG2000 format (LDEM_80S_20M.JP2) and loaded using the rasterio library, which handles the embedded CRS metadata. The file covers latitudes 80–90°S in the Polar Stereographic Moon 2000 projection (EPSG:104903). After loading, the array is downsampled to a 60 m/pixel working resolution via bilinear interpolation to reduce memory footprint while preserving terrain morphology relevant to rover-scale navigation.</w:t>
      </w:r>
    </w:p>
    <w:p>
      <w:pPr>
        <w:ind w:firstLine="288"/>
        <w:jc w:val="both"/>
      </w:pPr>
      <w:r>
        <w:rPr>
          <w:sz w:val="20"/>
        </w:rPr>
        <w:t>Slope is derived from the elevation array E using central finite differences via numpy.gradient. For a pixel at index (i, j) with pixel spacing d = 60 m, the gradient components are:</w:t>
      </w:r>
    </w:p>
    <w:p>
      <w:pPr>
        <w:jc w:val="center"/>
      </w:pPr>
      <w:r>
        <w:rPr>
          <w:sz w:val="20"/>
        </w:rPr>
        <w:t>∂E/∂x ≈ (E[i, j+1] − E[i, j−1]) / (2d)   (1)</w:t>
      </w:r>
    </w:p>
    <w:p>
      <w:pPr>
        <w:jc w:val="center"/>
      </w:pPr>
      <w:r>
        <w:rPr>
          <w:sz w:val="20"/>
        </w:rPr>
        <w:t>∂E/∂y ≈ (E[i+1, j] − E[i−1, j]) / (2d)   (2)</w:t>
      </w:r>
    </w:p>
    <w:p>
      <w:pPr>
        <w:jc w:val="center"/>
      </w:pPr>
      <w:r>
        <w:rPr>
          <w:sz w:val="20"/>
        </w:rPr>
        <w:t>slope(i,j) = arctan( √( (∂E/∂x)² + (∂E/∂y)² ) ) × (180/π)   (3)</w:t>
      </w:r>
    </w:p>
    <w:p>
      <w:pPr>
        <w:ind w:firstLine="288"/>
        <w:jc w:val="both"/>
      </w:pPr>
      <w:r>
        <w:rPr>
          <w:sz w:val="20"/>
        </w:rPr>
        <w:t>Roughness is computed as the standard deviation of elevation within a local neighbourhood using scipy.ndimage.uniform_filter. For a kernel of radius r pixels, the local mean μ and local root-mean-square deviation σ are:</w:t>
      </w:r>
    </w:p>
    <w:p>
      <w:pPr>
        <w:jc w:val="center"/>
      </w:pPr>
      <w:r>
        <w:rPr>
          <w:sz w:val="20"/>
        </w:rPr>
        <w:t>μ(i,j) = (1/N) Σ E[i+k, j+l]   for k,l ∈ [−r, r]   (4)</w:t>
      </w:r>
    </w:p>
    <w:p>
      <w:pPr>
        <w:jc w:val="center"/>
      </w:pPr>
      <w:r>
        <w:rPr>
          <w:sz w:val="20"/>
        </w:rPr>
        <w:t>roughness(i,j) = √( (1/N) Σ (E[i+k,j+l] − μ(i,j))² )   (5)</w:t>
      </w:r>
    </w:p>
    <w:p>
      <w:pPr>
        <w:ind w:firstLine="288"/>
        <w:jc w:val="both"/>
      </w:pPr>
      <w:r>
        <w:rPr>
          <w:sz w:val="20"/>
        </w:rPr>
        <w:t>where N = (2r+1)² is the kernel area. A kernel radius of r = 5 pixels (300 m at 60 m/pixel) is used, matching the spatial scale of features relevant to rover chassis stability. Coordinate conversion utilities map between geographic coordinates (latitude/longitude) and pixel indices using the affine transform embedded in the rasterio dataset object, supporting consistent spatial referencing across all modules.</w:t>
      </w:r>
    </w:p>
    <w:p>
      <w:pPr>
        <w:spacing w:before="80" w:after="40"/>
      </w:pPr>
      <w:r>
        <w:rPr>
          <w:b/>
          <w:i/>
          <w:sz w:val="20"/>
        </w:rPr>
        <w:t>B. Landing Site Scoring (landing_scorer.py)</w:t>
      </w:r>
    </w:p>
    <w:p>
      <w:pPr>
        <w:ind w:firstLine="288"/>
        <w:jc w:val="both"/>
      </w:pPr>
      <w:r>
        <w:rPr>
          <w:sz w:val="20"/>
        </w:rPr>
        <w:t>Candidate landing sites are evaluated by a two-component scoring model. The safety score S_safe penalises terrain hazards:</w:t>
      </w:r>
    </w:p>
    <w:p>
      <w:pPr>
        <w:jc w:val="center"/>
      </w:pPr>
      <w:r>
        <w:rPr>
          <w:sz w:val="20"/>
        </w:rPr>
        <w:t>S_safe = w_s · f_s(slope) + w_r · f_r(roughness) + w_q · quality_mask − w_c · crater_rim_penalty   (6)</w:t>
      </w:r>
    </w:p>
    <w:p>
      <w:pPr>
        <w:ind w:firstLine="288"/>
        <w:jc w:val="both"/>
      </w:pPr>
      <w:r>
        <w:rPr>
          <w:sz w:val="20"/>
        </w:rPr>
        <w:t>where f_s and f_r are piecewise-linear normalisation functions mapping slope and roughness to [0, 1] with decreasing values for higher hazard, quality_mask is derived from the LOLA observation-count file (LDEC) to penalise pixels with sparse laser returns (low data reliability), and crater_rim_penalty is a binary flag activated within a configurable radius of detected crater rim pixels. Default weights are w_s = 0.4, w_r = 0.3, w_q = 0.2, w_c = 0.1.</w:t>
      </w:r>
    </w:p>
    <w:p>
      <w:pPr>
        <w:ind w:firstLine="288"/>
        <w:jc w:val="both"/>
      </w:pPr>
      <w:r>
        <w:rPr>
          <w:sz w:val="20"/>
        </w:rPr>
        <w:t>The mission score S_mission is parameterised by mission type. For geological survey missions, S_mission rewards high roughness (indicative of exposed geological units) and proximity to crater rims. For water-ice prospecting missions, S_mission rewards proximity to PSRs and high latitudes. For technology demonstration missions, S_mission primarily rewards safety with a secondary illumination term.</w:t>
      </w:r>
    </w:p>
    <w:p>
      <w:pPr>
        <w:ind w:firstLine="288"/>
        <w:jc w:val="both"/>
      </w:pPr>
      <w:r>
        <w:rPr>
          <w:sz w:val="20"/>
        </w:rPr>
        <w:t>The final composite score is a weighted blend:</w:t>
      </w:r>
    </w:p>
    <w:p>
      <w:pPr>
        <w:jc w:val="center"/>
      </w:pPr>
      <w:r>
        <w:rPr>
          <w:sz w:val="20"/>
        </w:rPr>
        <w:t>S_final = α · S_safe + (1−α) · S_mission   (7)</w:t>
      </w:r>
    </w:p>
    <w:p>
      <w:pPr>
        <w:ind w:firstLine="288"/>
        <w:jc w:val="both"/>
      </w:pPr>
      <w:r>
        <w:rPr>
          <w:sz w:val="20"/>
        </w:rPr>
        <w:t>where α = 0.6 by default, giving primacy to safety while retaining mission-specific optimisation. Top-10 candidate sites are extracted as local maxima of S_final with a minimum separation of 50 pixels (3 km at 60 m/pixel) to prevent clustering of candidates within the same terrain feature.</w:t>
      </w:r>
    </w:p>
    <w:p>
      <w:pPr>
        <w:spacing w:before="80" w:after="40"/>
      </w:pPr>
      <w:r>
        <w:rPr>
          <w:b/>
          <w:i/>
          <w:sz w:val="20"/>
        </w:rPr>
        <w:t>C. Traverse Path Planning (pathfinder.py)</w:t>
      </w:r>
    </w:p>
    <w:p>
      <w:pPr>
        <w:ind w:firstLine="288"/>
        <w:jc w:val="both"/>
      </w:pPr>
      <w:r>
        <w:rPr>
          <w:sz w:val="20"/>
        </w:rPr>
        <w:t>Given a start pixel and target pixel, the pathfinder computes an optimal traverse using A* search with an 8-directional movement model (horizontal, vertical, and diagonal neighbours). The step cost between adjacent pixels p and q is:</w:t>
      </w:r>
    </w:p>
    <w:p>
      <w:pPr>
        <w:jc w:val="center"/>
      </w:pPr>
      <w:r>
        <w:rPr>
          <w:sz w:val="20"/>
        </w:rPr>
        <w:t>cost(p→q) = d(p,q) · exp( β · max(slope(q) − θ_safe, 0) )   (8)</w:t>
      </w:r>
    </w:p>
    <w:p>
      <w:pPr>
        <w:ind w:firstLine="288"/>
        <w:jc w:val="both"/>
      </w:pPr>
      <w:r>
        <w:rPr>
          <w:sz w:val="20"/>
        </w:rPr>
        <w:t>where d(p, q) is the Euclidean distance in metres (60 m for cardinal moves, 60√2 m for diagonal moves), β = 0.3 is the slope penalty exponent, and θ_safe = 10° is the threshold below which no exponential penalty is applied. This formulation assigns near-unit cost to flat terrain and increases cost super-linearly for slopes above 10°, effectively routing paths around steep obstacles without requiring explicit obstacle marking. The heuristic function h(p) = d_Euclidean(p, goal) is admissible since terrain cost is always ≥ 1 per unit distance.</w:t>
      </w:r>
    </w:p>
    <w:p>
      <w:pPr>
        <w:ind w:firstLine="288"/>
        <w:jc w:val="both"/>
      </w:pPr>
      <w:r>
        <w:rPr>
          <w:sz w:val="20"/>
        </w:rPr>
        <w:t>A maximum iteration limit of 2,000,000 is enforced to guarantee runtime bounds on the 10,133 × 10,133 grid. If the limit is reached, the best partial path to the node closest to the goal is returned with an advisory warning. In practice, paths within typical mission radii of 50 km complete well within this limit.</w:t>
      </w:r>
    </w:p>
    <w:p>
      <w:pPr>
        <w:spacing w:before="80" w:after="40"/>
      </w:pPr>
      <w:r>
        <w:rPr>
          <w:b/>
          <w:i/>
          <w:sz w:val="20"/>
        </w:rPr>
        <w:t>D. Terrain Classification (terrain_classifier.py)</w:t>
      </w:r>
    </w:p>
    <w:p>
      <w:pPr>
        <w:ind w:firstLine="288"/>
        <w:jc w:val="both"/>
      </w:pPr>
      <w:r>
        <w:rPr>
          <w:sz w:val="20"/>
        </w:rPr>
        <w:t>A Random Forest classifier is trained to assign each pixel to one of five operational terrain classes: HAZARD_ZONE, RISKY_LANDING, TRAVERSE_CORRIDOR, SAFE_LANDING, and SCIENCE_TARGET. Training labels are generated automatically from the scoring pipeline output, eliminating the need for manual annotation. The labelling rules are:</w:t>
      </w:r>
    </w:p>
    <w:p>
      <w:pPr>
        <w:jc w:val="center"/>
      </w:pPr>
      <w:r>
        <w:rPr>
          <w:b/>
          <w:sz w:val="18"/>
        </w:rPr>
        <w:t>TABLE I</w:t>
        <w:br/>
        <w:t>TERRAIN CLASS DEFINITIONS AND TRAINING SET PREVALENCE</w:t>
      </w:r>
    </w:p>
    <w:tbl>
      <w:tblPr>
        <w:tblStyle w:val="TableGrid"/>
        <w:tblW w:type="auto" w:w="0"/>
        <w:tblLook w:firstColumn="1" w:firstRow="1" w:lastColumn="0" w:lastRow="0" w:noHBand="0" w:noVBand="1" w:val="04A0"/>
      </w:tblPr>
      <w:tblGrid>
        <w:gridCol w:w="3407"/>
        <w:gridCol w:w="3407"/>
        <w:gridCol w:w="3407"/>
      </w:tblGrid>
      <w:tr>
        <w:tc>
          <w:tcPr>
            <w:tcW w:type="dxa" w:w="3407"/>
          </w:tcPr>
          <w:p>
            <w:r>
              <w:rPr>
                <w:b/>
                <w:sz w:val="18"/>
              </w:rPr>
              <w:t>Class</w:t>
            </w:r>
          </w:p>
        </w:tc>
        <w:tc>
          <w:tcPr>
            <w:tcW w:type="dxa" w:w="3407"/>
          </w:tcPr>
          <w:p>
            <w:r>
              <w:rPr>
                <w:b/>
                <w:sz w:val="18"/>
              </w:rPr>
              <w:t>Labelling Rule</w:t>
            </w:r>
          </w:p>
        </w:tc>
        <w:tc>
          <w:tcPr>
            <w:tcW w:type="dxa" w:w="3407"/>
          </w:tcPr>
          <w:p>
            <w:r>
              <w:rPr>
                <w:b/>
                <w:sz w:val="18"/>
              </w:rPr>
              <w:t>Prevalence</w:t>
            </w:r>
          </w:p>
        </w:tc>
      </w:tr>
      <w:tr>
        <w:tc>
          <w:tcPr>
            <w:tcW w:type="dxa" w:w="3407"/>
          </w:tcPr>
          <w:p>
            <w:r>
              <w:rPr>
                <w:sz w:val="18"/>
              </w:rPr>
              <w:t>HAZARD_ZONE</w:t>
            </w:r>
          </w:p>
        </w:tc>
        <w:tc>
          <w:tcPr>
            <w:tcW w:type="dxa" w:w="3407"/>
          </w:tcPr>
          <w:p>
            <w:r>
              <w:rPr>
                <w:sz w:val="18"/>
              </w:rPr>
              <w:t>S_safe &lt; 0.15</w:t>
            </w:r>
          </w:p>
        </w:tc>
        <w:tc>
          <w:tcPr>
            <w:tcW w:type="dxa" w:w="3407"/>
          </w:tcPr>
          <w:p>
            <w:r>
              <w:rPr>
                <w:sz w:val="18"/>
              </w:rPr>
              <w:t>2.2%</w:t>
            </w:r>
          </w:p>
        </w:tc>
      </w:tr>
      <w:tr>
        <w:tc>
          <w:tcPr>
            <w:tcW w:type="dxa" w:w="3407"/>
          </w:tcPr>
          <w:p>
            <w:r>
              <w:rPr>
                <w:sz w:val="18"/>
              </w:rPr>
              <w:t>RISKY_LANDING</w:t>
            </w:r>
          </w:p>
        </w:tc>
        <w:tc>
          <w:tcPr>
            <w:tcW w:type="dxa" w:w="3407"/>
          </w:tcPr>
          <w:p>
            <w:r>
              <w:rPr>
                <w:sz w:val="18"/>
              </w:rPr>
              <w:t>0.15 ≤ S_safe &lt; 0.45</w:t>
            </w:r>
          </w:p>
        </w:tc>
        <w:tc>
          <w:tcPr>
            <w:tcW w:type="dxa" w:w="3407"/>
          </w:tcPr>
          <w:p>
            <w:r>
              <w:rPr>
                <w:sz w:val="18"/>
              </w:rPr>
              <w:t>23.9%</w:t>
            </w:r>
          </w:p>
        </w:tc>
      </w:tr>
      <w:tr>
        <w:tc>
          <w:tcPr>
            <w:tcW w:type="dxa" w:w="3407"/>
          </w:tcPr>
          <w:p>
            <w:r>
              <w:rPr>
                <w:sz w:val="18"/>
              </w:rPr>
              <w:t>TRAVERSE_CORRIDOR</w:t>
            </w:r>
          </w:p>
        </w:tc>
        <w:tc>
          <w:tcPr>
            <w:tcW w:type="dxa" w:w="3407"/>
          </w:tcPr>
          <w:p>
            <w:r>
              <w:rPr>
                <w:sz w:val="18"/>
              </w:rPr>
              <w:t>0.45 ≤ S_safe &lt; 0.70 and slope &lt; 12°</w:t>
            </w:r>
          </w:p>
        </w:tc>
        <w:tc>
          <w:tcPr>
            <w:tcW w:type="dxa" w:w="3407"/>
          </w:tcPr>
          <w:p>
            <w:r>
              <w:rPr>
                <w:sz w:val="18"/>
              </w:rPr>
              <w:t>40.2%</w:t>
            </w:r>
          </w:p>
        </w:tc>
      </w:tr>
      <w:tr>
        <w:tc>
          <w:tcPr>
            <w:tcW w:type="dxa" w:w="3407"/>
          </w:tcPr>
          <w:p>
            <w:r>
              <w:rPr>
                <w:sz w:val="18"/>
              </w:rPr>
              <w:t>SAFE_LANDING</w:t>
            </w:r>
          </w:p>
        </w:tc>
        <w:tc>
          <w:tcPr>
            <w:tcW w:type="dxa" w:w="3407"/>
          </w:tcPr>
          <w:p>
            <w:r>
              <w:rPr>
                <w:sz w:val="18"/>
              </w:rPr>
              <w:t>S_safe ≥ 0.70</w:t>
            </w:r>
          </w:p>
        </w:tc>
        <w:tc>
          <w:tcPr>
            <w:tcW w:type="dxa" w:w="3407"/>
          </w:tcPr>
          <w:p>
            <w:r>
              <w:rPr>
                <w:sz w:val="18"/>
              </w:rPr>
              <w:t>33.7%</w:t>
            </w:r>
          </w:p>
        </w:tc>
      </w:tr>
      <w:tr>
        <w:tc>
          <w:tcPr>
            <w:tcW w:type="dxa" w:w="3407"/>
          </w:tcPr>
          <w:p>
            <w:r>
              <w:rPr>
                <w:sz w:val="18"/>
              </w:rPr>
              <w:t>SCIENCE_TARGET</w:t>
            </w:r>
          </w:p>
        </w:tc>
        <w:tc>
          <w:tcPr>
            <w:tcW w:type="dxa" w:w="3407"/>
          </w:tcPr>
          <w:p>
            <w:r>
              <w:rPr>
                <w:sz w:val="18"/>
              </w:rPr>
              <w:t>DBSCAN anomaly flag = True</w:t>
            </w:r>
          </w:p>
        </w:tc>
        <w:tc>
          <w:tcPr>
            <w:tcW w:type="dxa" w:w="3407"/>
          </w:tcPr>
          <w:p>
            <w:r>
              <w:rPr>
                <w:sz w:val="18"/>
              </w:rPr>
              <w:t>0.001%</w:t>
            </w:r>
          </w:p>
        </w:tc>
      </w:tr>
    </w:tbl>
    <w:p/>
    <w:p>
      <w:pPr>
        <w:ind w:firstLine="288"/>
        <w:jc w:val="both"/>
      </w:pPr>
      <w:r>
        <w:rPr>
          <w:sz w:val="20"/>
        </w:rPr>
        <w:t>The training set contains 50,000 samples drawn by stratified random sampling from the full DEM grid. The feature vector for each sample comprises eight elements: elevation, slope, roughness, quality_mask, local_mean_slope (5 × 5 kernel), local_std_elevation (5 × 5 kernel), slope_gradient (second-order slope derivative), and lat_normalized (latitude normalised to [0, 1] over 80–90°S). The Random Forest comprises 100 estimators with a maximum depth of 20 and minimum samples per leaf of 5, trained using scikit-learn's RandomForestClassifier with class_weight='balanced' to mitigate the strong class imbalance at the SCIENCE_TARGET class.</w:t>
      </w:r>
    </w:p>
    <w:p>
      <w:pPr>
        <w:ind w:firstLine="288"/>
        <w:jc w:val="both"/>
      </w:pPr>
      <w:r>
        <w:rPr>
          <w:sz w:val="20"/>
        </w:rPr>
        <w:t>After training, the Random Forest's built-in feature importance scores (mean decrease in Gini impurity) were computed to assess which terrain metrics most strongly drive classification decisions. Table VI in Section V-A reports these importances. Slope and roughness account for the majority of discriminative power, as expected given their direct correspondence to the labelling thresholds. The lat_normalized feature contributes approximately 8% of importance, reflecting the systematic latitudinal trend in terrain character across the 80–90°S range: the extreme polar terrain near 90°S exhibits systematically different morphology (fewer large impact craters, more subdued relief) compared to the 80–85°S band. The quality_mask feature contributes approximately 3% of importance, indicating that data-sparse pixels cluster into identifiable terrain classes despite their lower reliability—predominantly HAZARD_ZONE, due to the association of permanently shadowed crater floors with both low LOLA return counts and high slopes.</w:t>
      </w:r>
    </w:p>
    <w:p>
      <w:pPr>
        <w:spacing w:before="80" w:after="40"/>
      </w:pPr>
      <w:r>
        <w:rPr>
          <w:b/>
          <w:i/>
          <w:sz w:val="20"/>
        </w:rPr>
        <w:t>E. Science Target Detection (anomaly_detector.py)</w:t>
      </w:r>
    </w:p>
    <w:p>
      <w:pPr>
        <w:ind w:firstLine="288"/>
        <w:jc w:val="both"/>
      </w:pPr>
      <w:r>
        <w:rPr>
          <w:sz w:val="20"/>
        </w:rPr>
        <w:t>Science targets are identified as statistically anomalous terrain clusters using DBSCAN applied to a normalised feature space. To maintain tractable runtime, a subsample of 100,000 pixels is drawn uniformly from the working grid. Each pixel is represented by a feature vector comprising elevation z-score, slope z-score, roughness z-score, and quality_mask value, normalised to zero mean and unit variance.</w:t>
      </w:r>
    </w:p>
    <w:p>
      <w:pPr>
        <w:ind w:firstLine="288"/>
        <w:jc w:val="both"/>
      </w:pPr>
      <w:r>
        <w:rPr>
          <w:sz w:val="20"/>
        </w:rPr>
        <w:t>DBSCAN is run with ε = 0.5 and min_samples = 50. Clusters identified by DBSCAN are post-processed into four labelled anomaly types based on cluster statistics: high-elevation anomalies (cluster mean elevation &gt; 75th percentile), high-roughness anomalies (cluster mean roughness &gt; 75th percentile), slope-break anomalies (cluster mean slope_gradient &gt; 75th percentile), and composite anomalies exhibiting multiple elevated feature dimensions. Cluster centroids are returned as candidate science waypoints for incorporation into the mission path.</w:t>
      </w:r>
    </w:p>
    <w:p>
      <w:pPr>
        <w:ind w:firstLine="288"/>
        <w:jc w:val="both"/>
      </w:pPr>
      <w:r>
        <w:rPr>
          <w:sz w:val="20"/>
        </w:rPr>
        <w:t>The choice of ε = 0.5 and min_samples = 50 was determined empirically by running DBSCAN over five independently drawn 100k-pixel subsamples and selecting parameter values that yielded stable cluster counts (coefficient of variation &lt; 0.2) across all runs. Smaller ε values produced fragmented clusters corresponding to isolated noisy pixels rather than coherent terrain features; larger ε values merged geologically distinct anomaly types into single clusters. The min_samples = 50 lower bound ensures that each reported anomaly cluster corresponds to a spatially coherent terrain patch of at least 50 pixels (approximately 0.18 km² at 60 m/pixel), rather than a statistical artefact of the subsampling procedure.</w:t>
      </w:r>
    </w:p>
    <w:p>
      <w:pPr>
        <w:spacing w:before="80" w:after="40"/>
      </w:pPr>
      <w:r>
        <w:rPr>
          <w:b/>
          <w:i/>
          <w:sz w:val="20"/>
        </w:rPr>
        <w:t>F. Energy Modelling (energy_model.py)</w:t>
      </w:r>
    </w:p>
    <w:p>
      <w:pPr>
        <w:ind w:firstLine="288"/>
        <w:jc w:val="both"/>
      </w:pPr>
      <w:r>
        <w:rPr>
          <w:sz w:val="20"/>
        </w:rPr>
        <w:t>Rover energy consumption for each path step is estimated using a first-principles physics model. The mechanical work W required to traverse a step of horizontal distance d at slope angle θ is:</w:t>
      </w:r>
    </w:p>
    <w:p>
      <w:pPr>
        <w:jc w:val="center"/>
      </w:pPr>
      <w:r>
        <w:rPr>
          <w:sz w:val="20"/>
        </w:rPr>
        <w:t>W_mech = m · g · d · sin(θ) + μ_r · m · g · d · cos(θ)   (9)</w:t>
      </w:r>
    </w:p>
    <w:p>
      <w:pPr>
        <w:ind w:firstLine="288"/>
        <w:jc w:val="both"/>
      </w:pPr>
      <w:r>
        <w:rPr>
          <w:sz w:val="20"/>
        </w:rPr>
        <w:t>where m is rover mass (kg), g = 1.62 m/s² is lunar surface gravity, and μ_r is the rolling resistance coefficient (default 0.15 for regolith). Total electrical energy consumption adds a motor efficiency term η = 0.7 and a baseline electronics power draw P_base scaled by step travel time. Solar illumination is approximated using a solar elevation model parameterised by latitude and a simplified selenographic longitude-to-local-time mapping, flagging steps where the solar elevation falls below 5° as low-power or battery-dependent segments.</w:t>
      </w:r>
    </w:p>
    <w:p>
      <w:pPr>
        <w:spacing w:before="80" w:after="40"/>
      </w:pPr>
      <w:r>
        <w:rPr>
          <w:b/>
          <w:i/>
          <w:sz w:val="20"/>
        </w:rPr>
        <w:t>G. Mission Advisory Report (mission_advisor.py)</w:t>
      </w:r>
    </w:p>
    <w:p>
      <w:pPr>
        <w:ind w:firstLine="288"/>
        <w:jc w:val="both"/>
      </w:pPr>
      <w:r>
        <w:rPr>
          <w:sz w:val="20"/>
        </w:rPr>
        <w:t>A rule-based natural language generation module synthesises all analysis outputs into an eight-section structured mission advisory report. Each section is populated by template strings with slot-filling from numeric results (e.g., top site scores, path length, total energy, anomaly count). Conditional logic selects between pre-written narrative blocks based on threshold comparisons: for example, a top-site safety score below 0.5 triggers a precautionary advisory block rather than a standard approval block. The report is returned as plain text and rendered in the frontend without further transformation.</w:t>
      </w:r>
    </w:p>
    <w:p>
      <w:pPr>
        <w:ind w:firstLine="288"/>
        <w:jc w:val="both"/>
      </w:pPr>
      <w:r>
        <w:rPr>
          <w:sz w:val="20"/>
        </w:rPr>
        <w:t>The eight report sections are: (1) Mission Overview, summarising the input parameters and mission type; (2) Top Landing Site Assessment, describing the highest-scoring candidate with its coordinates, scores, and terrain class; (3) Safety Analysis, reporting the distribution of slope and roughness values across the analysis region; (4) Traverse Route Summary, describing the planned path length, maximum slope encountered, and energy budget; (5) Terrain Classification Summary, reporting the percentage area in each terrain class; (6) Science Target Highlights, listing the top three anomaly clusters by scientific priority score; (7) Energy Budget Assessment, flagging segments of the traverse where solar illumination is insufficient and battery dependency is required; and (8) Mission Recommendations, synthesising all findings into a prioritised list of go/no-go conditions and risk mitigations.</w:t>
      </w:r>
    </w:p>
    <w:p>
      <w:pPr>
        <w:ind w:firstLine="288"/>
        <w:jc w:val="both"/>
      </w:pPr>
      <w:r>
        <w:rPr>
          <w:sz w:val="20"/>
        </w:rPr>
        <w:t>The rule-based approach was selected over a language model for three reasons. First, factual accuracy is paramount in mission-critical reporting; template-based generation guarantees that all numbers in the report are directly sourced from the analytical pipeline without hallucination risk. Second, the structured eight-section format aligns with standard mission review document conventions, making the output immediately usable without editorial reformatting. Third, rule-based generation is deterministic—identical inputs always produce identical reports—which is essential for reproducible mission planning workflows where multiple analysts may independently verify results.</w:t>
      </w:r>
    </w:p>
    <w:p>
      <w:pPr>
        <w:spacing w:before="80" w:after="40"/>
      </w:pPr>
      <w:r>
        <w:rPr>
          <w:b/>
          <w:i/>
          <w:sz w:val="20"/>
        </w:rPr>
        <w:t>H. Interactive Visualisation (visualiser.py)</w:t>
      </w:r>
    </w:p>
    <w:p>
      <w:pPr>
        <w:ind w:firstLine="288"/>
        <w:jc w:val="both"/>
      </w:pPr>
      <w:r>
        <w:rPr>
          <w:sz w:val="20"/>
        </w:rPr>
        <w:t>Mission analysis results are presented through a Plotly-based interactive map rendered in the user's browser. The visualisation adopts a dark theme consistent with the low-light environment of the lunar south pole, with terrain elevation rendered as a hillshaded grayscale basemap. Overlay layers are individually toggleable: (1) slope heatmap using a red-yellow-green diverging colormap with a user-configurable critical slope threshold; (2) roughness heatmap; (3) landing site score contours with candidate site markers showing rank, coordinates, and score components on hover; (4) terrain classification overlay with the five-class colour scheme matching Table I; (5) anomaly cluster polygons; (6) A* traverse path as a polyline with slope-coded segment colouring; and (7) energy budget overlay shading path segments by cumulative energy consumption. Users can zoom to any sub-region using Plotly's built-in pan/zoom controls, and clicking any candidate site marker triggers a detailed popup with all score components and the terrain class label.</w:t>
      </w:r>
    </w:p>
    <w:p>
      <w:pPr>
        <w:ind w:firstLine="288"/>
        <w:jc w:val="both"/>
      </w:pPr>
      <w:r>
        <w:rPr>
          <w:sz w:val="20"/>
        </w:rPr>
        <w:t>The layer toggle architecture ensures that users with domain expertise can selectively enable only the layers relevant to their current analysis task, reducing visual clutter on what would otherwise be a complex multi-layer map. For example, a geologist focusing on science target identification would enable the roughness and anomaly cluster layers while disabling the energy and path layers. An engineer evaluating traverse safety would focus on the slope heatmap and A* path with slope colouring. This flexibility is consistent with the tool's intended use by multi-disciplinary mission planning teams with different information priorities.</w:t>
      </w:r>
    </w:p>
    <w:p>
      <w:pPr>
        <w:spacing w:before="160" w:after="80"/>
        <w:jc w:val="left"/>
      </w:pPr>
      <w:r>
        <w:rPr>
          <w:b/>
          <w:sz w:val="20"/>
        </w:rPr>
        <w:t>V. EXPERIMENTAL RESULTS</w:t>
      </w:r>
    </w:p>
    <w:p>
      <w:pPr>
        <w:spacing w:before="80" w:after="40"/>
      </w:pPr>
      <w:r>
        <w:rPr>
          <w:b/>
          <w:i/>
          <w:sz w:val="20"/>
        </w:rPr>
        <w:t>A. Terrain Classification Performance</w:t>
      </w:r>
    </w:p>
    <w:p>
      <w:pPr>
        <w:ind w:firstLine="288"/>
        <w:jc w:val="both"/>
      </w:pPr>
      <w:r>
        <w:rPr>
          <w:sz w:val="20"/>
        </w:rPr>
        <w:t>The Random Forest classifier was evaluated on a held-out validation set of 10,000 samples sampled independently from the training data. Table II summarises per-class precision, recall, and F1-score.</w:t>
      </w:r>
    </w:p>
    <w:p>
      <w:pPr>
        <w:jc w:val="center"/>
      </w:pPr>
      <w:r>
        <w:rPr>
          <w:b/>
          <w:sz w:val="18"/>
        </w:rPr>
        <w:t>TABLE II</w:t>
        <w:br/>
        <w:t>PER-CLASS CLASSIFICATION PERFORMANCE ON 10,000-SAMPLE VALIDATION SET</w:t>
      </w:r>
    </w:p>
    <w:tbl>
      <w:tblPr>
        <w:tblStyle w:val="TableGrid"/>
        <w:tblW w:type="auto" w:w="0"/>
        <w:tblLook w:firstColumn="1" w:firstRow="1" w:lastColumn="0" w:lastRow="0" w:noHBand="0" w:noVBand="1" w:val="04A0"/>
      </w:tblPr>
      <w:tblGrid>
        <w:gridCol w:w="2044"/>
        <w:gridCol w:w="2044"/>
        <w:gridCol w:w="2044"/>
        <w:gridCol w:w="2044"/>
        <w:gridCol w:w="2044"/>
      </w:tblGrid>
      <w:tr>
        <w:tc>
          <w:tcPr>
            <w:tcW w:type="dxa" w:w="2044"/>
          </w:tcPr>
          <w:p>
            <w:r>
              <w:rPr>
                <w:b/>
                <w:sz w:val="18"/>
              </w:rPr>
              <w:t>Class</w:t>
            </w:r>
          </w:p>
        </w:tc>
        <w:tc>
          <w:tcPr>
            <w:tcW w:type="dxa" w:w="2044"/>
          </w:tcPr>
          <w:p>
            <w:r>
              <w:rPr>
                <w:b/>
                <w:sz w:val="18"/>
              </w:rPr>
              <w:t>Precision</w:t>
            </w:r>
          </w:p>
        </w:tc>
        <w:tc>
          <w:tcPr>
            <w:tcW w:type="dxa" w:w="2044"/>
          </w:tcPr>
          <w:p>
            <w:r>
              <w:rPr>
                <w:b/>
                <w:sz w:val="18"/>
              </w:rPr>
              <w:t>Recall</w:t>
            </w:r>
          </w:p>
        </w:tc>
        <w:tc>
          <w:tcPr>
            <w:tcW w:type="dxa" w:w="2044"/>
          </w:tcPr>
          <w:p>
            <w:r>
              <w:rPr>
                <w:b/>
                <w:sz w:val="18"/>
              </w:rPr>
              <w:t>F1-Score</w:t>
            </w:r>
          </w:p>
        </w:tc>
        <w:tc>
          <w:tcPr>
            <w:tcW w:type="dxa" w:w="2044"/>
          </w:tcPr>
          <w:p>
            <w:r>
              <w:rPr>
                <w:b/>
                <w:sz w:val="18"/>
              </w:rPr>
              <w:t>Support</w:t>
            </w:r>
          </w:p>
        </w:tc>
      </w:tr>
      <w:tr>
        <w:tc>
          <w:tcPr>
            <w:tcW w:type="dxa" w:w="2044"/>
          </w:tcPr>
          <w:p>
            <w:r>
              <w:rPr>
                <w:sz w:val="18"/>
              </w:rPr>
              <w:t>HAZARD_ZONE</w:t>
            </w:r>
          </w:p>
        </w:tc>
        <w:tc>
          <w:tcPr>
            <w:tcW w:type="dxa" w:w="2044"/>
          </w:tcPr>
          <w:p>
            <w:r>
              <w:rPr>
                <w:sz w:val="18"/>
              </w:rPr>
              <w:t>0.997</w:t>
            </w:r>
          </w:p>
        </w:tc>
        <w:tc>
          <w:tcPr>
            <w:tcW w:type="dxa" w:w="2044"/>
          </w:tcPr>
          <w:p>
            <w:r>
              <w:rPr>
                <w:sz w:val="18"/>
              </w:rPr>
              <w:t>0.993</w:t>
            </w:r>
          </w:p>
        </w:tc>
        <w:tc>
          <w:tcPr>
            <w:tcW w:type="dxa" w:w="2044"/>
          </w:tcPr>
          <w:p>
            <w:r>
              <w:rPr>
                <w:sz w:val="18"/>
              </w:rPr>
              <w:t>0.995</w:t>
            </w:r>
          </w:p>
        </w:tc>
        <w:tc>
          <w:tcPr>
            <w:tcW w:type="dxa" w:w="2044"/>
          </w:tcPr>
          <w:p>
            <w:r>
              <w:rPr>
                <w:sz w:val="18"/>
              </w:rPr>
              <w:t>220</w:t>
            </w:r>
          </w:p>
        </w:tc>
      </w:tr>
      <w:tr>
        <w:tc>
          <w:tcPr>
            <w:tcW w:type="dxa" w:w="2044"/>
          </w:tcPr>
          <w:p>
            <w:r>
              <w:rPr>
                <w:sz w:val="18"/>
              </w:rPr>
              <w:t>RISKY_LANDING</w:t>
            </w:r>
          </w:p>
        </w:tc>
        <w:tc>
          <w:tcPr>
            <w:tcW w:type="dxa" w:w="2044"/>
          </w:tcPr>
          <w:p>
            <w:r>
              <w:rPr>
                <w:sz w:val="18"/>
              </w:rPr>
              <w:t>0.991</w:t>
            </w:r>
          </w:p>
        </w:tc>
        <w:tc>
          <w:tcPr>
            <w:tcW w:type="dxa" w:w="2044"/>
          </w:tcPr>
          <w:p>
            <w:r>
              <w:rPr>
                <w:sz w:val="18"/>
              </w:rPr>
              <w:t>0.994</w:t>
            </w:r>
          </w:p>
        </w:tc>
        <w:tc>
          <w:tcPr>
            <w:tcW w:type="dxa" w:w="2044"/>
          </w:tcPr>
          <w:p>
            <w:r>
              <w:rPr>
                <w:sz w:val="18"/>
              </w:rPr>
              <w:t>0.993</w:t>
            </w:r>
          </w:p>
        </w:tc>
        <w:tc>
          <w:tcPr>
            <w:tcW w:type="dxa" w:w="2044"/>
          </w:tcPr>
          <w:p>
            <w:r>
              <w:rPr>
                <w:sz w:val="18"/>
              </w:rPr>
              <w:t>2390</w:t>
            </w:r>
          </w:p>
        </w:tc>
      </w:tr>
      <w:tr>
        <w:tc>
          <w:tcPr>
            <w:tcW w:type="dxa" w:w="2044"/>
          </w:tcPr>
          <w:p>
            <w:r>
              <w:rPr>
                <w:sz w:val="18"/>
              </w:rPr>
              <w:t>TRAVERSE_CORRIDOR</w:t>
            </w:r>
          </w:p>
        </w:tc>
        <w:tc>
          <w:tcPr>
            <w:tcW w:type="dxa" w:w="2044"/>
          </w:tcPr>
          <w:p>
            <w:r>
              <w:rPr>
                <w:sz w:val="18"/>
              </w:rPr>
              <w:t>0.994</w:t>
            </w:r>
          </w:p>
        </w:tc>
        <w:tc>
          <w:tcPr>
            <w:tcW w:type="dxa" w:w="2044"/>
          </w:tcPr>
          <w:p>
            <w:r>
              <w:rPr>
                <w:sz w:val="18"/>
              </w:rPr>
              <w:t>0.996</w:t>
            </w:r>
          </w:p>
        </w:tc>
        <w:tc>
          <w:tcPr>
            <w:tcW w:type="dxa" w:w="2044"/>
          </w:tcPr>
          <w:p>
            <w:r>
              <w:rPr>
                <w:sz w:val="18"/>
              </w:rPr>
              <w:t>0.995</w:t>
            </w:r>
          </w:p>
        </w:tc>
        <w:tc>
          <w:tcPr>
            <w:tcW w:type="dxa" w:w="2044"/>
          </w:tcPr>
          <w:p>
            <w:r>
              <w:rPr>
                <w:sz w:val="18"/>
              </w:rPr>
              <w:t>4020</w:t>
            </w:r>
          </w:p>
        </w:tc>
      </w:tr>
      <w:tr>
        <w:tc>
          <w:tcPr>
            <w:tcW w:type="dxa" w:w="2044"/>
          </w:tcPr>
          <w:p>
            <w:r>
              <w:rPr>
                <w:sz w:val="18"/>
              </w:rPr>
              <w:t>SAFE_LANDING</w:t>
            </w:r>
          </w:p>
        </w:tc>
        <w:tc>
          <w:tcPr>
            <w:tcW w:type="dxa" w:w="2044"/>
          </w:tcPr>
          <w:p>
            <w:r>
              <w:rPr>
                <w:sz w:val="18"/>
              </w:rPr>
              <w:t>0.989</w:t>
            </w:r>
          </w:p>
        </w:tc>
        <w:tc>
          <w:tcPr>
            <w:tcW w:type="dxa" w:w="2044"/>
          </w:tcPr>
          <w:p>
            <w:r>
              <w:rPr>
                <w:sz w:val="18"/>
              </w:rPr>
              <w:t>0.987</w:t>
            </w:r>
          </w:p>
        </w:tc>
        <w:tc>
          <w:tcPr>
            <w:tcW w:type="dxa" w:w="2044"/>
          </w:tcPr>
          <w:p>
            <w:r>
              <w:rPr>
                <w:sz w:val="18"/>
              </w:rPr>
              <w:t>0.988</w:t>
            </w:r>
          </w:p>
        </w:tc>
        <w:tc>
          <w:tcPr>
            <w:tcW w:type="dxa" w:w="2044"/>
          </w:tcPr>
          <w:p>
            <w:r>
              <w:rPr>
                <w:sz w:val="18"/>
              </w:rPr>
              <w:t>3370</w:t>
            </w:r>
          </w:p>
        </w:tc>
      </w:tr>
      <w:tr>
        <w:tc>
          <w:tcPr>
            <w:tcW w:type="dxa" w:w="2044"/>
          </w:tcPr>
          <w:p>
            <w:r>
              <w:rPr>
                <w:sz w:val="18"/>
              </w:rPr>
              <w:t>SCIENCE_TARGET</w:t>
            </w:r>
          </w:p>
        </w:tc>
        <w:tc>
          <w:tcPr>
            <w:tcW w:type="dxa" w:w="2044"/>
          </w:tcPr>
          <w:p>
            <w:r>
              <w:rPr>
                <w:sz w:val="18"/>
              </w:rPr>
              <w:t>1.000</w:t>
            </w:r>
          </w:p>
        </w:tc>
        <w:tc>
          <w:tcPr>
            <w:tcW w:type="dxa" w:w="2044"/>
          </w:tcPr>
          <w:p>
            <w:r>
              <w:rPr>
                <w:sz w:val="18"/>
              </w:rPr>
              <w:t>1.000</w:t>
            </w:r>
          </w:p>
        </w:tc>
        <w:tc>
          <w:tcPr>
            <w:tcW w:type="dxa" w:w="2044"/>
          </w:tcPr>
          <w:p>
            <w:r>
              <w:rPr>
                <w:sz w:val="18"/>
              </w:rPr>
              <w:t>1.000</w:t>
            </w:r>
          </w:p>
        </w:tc>
        <w:tc>
          <w:tcPr>
            <w:tcW w:type="dxa" w:w="2044"/>
          </w:tcPr>
          <w:p>
            <w:r>
              <w:rPr>
                <w:sz w:val="18"/>
              </w:rPr>
              <w:t>&lt; 1</w:t>
            </w:r>
          </w:p>
        </w:tc>
      </w:tr>
      <w:tr>
        <w:tc>
          <w:tcPr>
            <w:tcW w:type="dxa" w:w="2044"/>
          </w:tcPr>
          <w:p>
            <w:r>
              <w:rPr>
                <w:sz w:val="18"/>
              </w:rPr>
              <w:t>Overall (Weighted)</w:t>
            </w:r>
          </w:p>
        </w:tc>
        <w:tc>
          <w:tcPr>
            <w:tcW w:type="dxa" w:w="2044"/>
          </w:tcPr>
          <w:p>
            <w:r>
              <w:rPr>
                <w:sz w:val="18"/>
              </w:rPr>
              <w:t>—</w:t>
            </w:r>
          </w:p>
        </w:tc>
        <w:tc>
          <w:tcPr>
            <w:tcW w:type="dxa" w:w="2044"/>
          </w:tcPr>
          <w:p>
            <w:r>
              <w:rPr>
                <w:sz w:val="18"/>
              </w:rPr>
              <w:t>—</w:t>
            </w:r>
          </w:p>
        </w:tc>
        <w:tc>
          <w:tcPr>
            <w:tcW w:type="dxa" w:w="2044"/>
          </w:tcPr>
          <w:p>
            <w:r>
              <w:rPr>
                <w:sz w:val="18"/>
              </w:rPr>
              <w:t>0.9917</w:t>
            </w:r>
          </w:p>
        </w:tc>
        <w:tc>
          <w:tcPr>
            <w:tcW w:type="dxa" w:w="2044"/>
          </w:tcPr>
          <w:p>
            <w:r>
              <w:rPr>
                <w:sz w:val="18"/>
              </w:rPr>
              <w:t>10000</w:t>
            </w:r>
          </w:p>
        </w:tc>
      </w:tr>
    </w:tbl>
    <w:p/>
    <w:p>
      <w:pPr>
        <w:ind w:firstLine="288"/>
        <w:jc w:val="both"/>
      </w:pPr>
      <w:r>
        <w:rPr>
          <w:sz w:val="20"/>
        </w:rPr>
        <w:t>The overall validation accuracy is 99.17%. The SCIENCE_TARGET class achieves perfect classification on the validation set, though its extremely low prevalence (0.001% of pixels) means this metric should be interpreted with caution; the class is better evaluated by anomaly-detection cluster quality in Section V-C.</w:t>
      </w:r>
    </w:p>
    <w:p>
      <w:pPr>
        <w:jc w:val="center"/>
      </w:pPr>
      <w:r>
        <w:rPr>
          <w:b/>
          <w:sz w:val="18"/>
        </w:rPr>
        <w:t>TABLE VI</w:t>
        <w:br/>
        <w:t>RANDOM FOREST FEATURE IMPORTANCE SCORES (MEAN DECREASE IN GINI IMPURITY)</w:t>
      </w:r>
    </w:p>
    <w:tbl>
      <w:tblPr>
        <w:tblStyle w:val="TableGrid"/>
        <w:tblW w:type="auto" w:w="0"/>
        <w:tblLook w:firstColumn="1" w:firstRow="1" w:lastColumn="0" w:lastRow="0" w:noHBand="0" w:noVBand="1" w:val="04A0"/>
      </w:tblPr>
      <w:tblGrid>
        <w:gridCol w:w="3407"/>
        <w:gridCol w:w="3407"/>
        <w:gridCol w:w="3407"/>
      </w:tblGrid>
      <w:tr>
        <w:tc>
          <w:tcPr>
            <w:tcW w:type="dxa" w:w="3407"/>
          </w:tcPr>
          <w:p>
            <w:r>
              <w:rPr>
                <w:b/>
                <w:sz w:val="18"/>
              </w:rPr>
              <w:t>Feature</w:t>
            </w:r>
          </w:p>
        </w:tc>
        <w:tc>
          <w:tcPr>
            <w:tcW w:type="dxa" w:w="3407"/>
          </w:tcPr>
          <w:p>
            <w:r>
              <w:rPr>
                <w:b/>
                <w:sz w:val="18"/>
              </w:rPr>
              <w:t>Importance</w:t>
            </w:r>
          </w:p>
        </w:tc>
        <w:tc>
          <w:tcPr>
            <w:tcW w:type="dxa" w:w="3407"/>
          </w:tcPr>
          <w:p>
            <w:r>
              <w:rPr>
                <w:b/>
                <w:sz w:val="18"/>
              </w:rPr>
              <w:t>Rank</w:t>
            </w:r>
          </w:p>
        </w:tc>
      </w:tr>
      <w:tr>
        <w:tc>
          <w:tcPr>
            <w:tcW w:type="dxa" w:w="3407"/>
          </w:tcPr>
          <w:p>
            <w:r>
              <w:rPr>
                <w:sz w:val="18"/>
              </w:rPr>
              <w:t>slope</w:t>
            </w:r>
          </w:p>
        </w:tc>
        <w:tc>
          <w:tcPr>
            <w:tcW w:type="dxa" w:w="3407"/>
          </w:tcPr>
          <w:p>
            <w:r>
              <w:rPr>
                <w:sz w:val="18"/>
              </w:rPr>
              <w:t>0.312</w:t>
            </w:r>
          </w:p>
        </w:tc>
        <w:tc>
          <w:tcPr>
            <w:tcW w:type="dxa" w:w="3407"/>
          </w:tcPr>
          <w:p>
            <w:r>
              <w:rPr>
                <w:sz w:val="18"/>
              </w:rPr>
              <w:t>1</w:t>
            </w:r>
          </w:p>
        </w:tc>
      </w:tr>
      <w:tr>
        <w:tc>
          <w:tcPr>
            <w:tcW w:type="dxa" w:w="3407"/>
          </w:tcPr>
          <w:p>
            <w:r>
              <w:rPr>
                <w:sz w:val="18"/>
              </w:rPr>
              <w:t>roughness</w:t>
            </w:r>
          </w:p>
        </w:tc>
        <w:tc>
          <w:tcPr>
            <w:tcW w:type="dxa" w:w="3407"/>
          </w:tcPr>
          <w:p>
            <w:r>
              <w:rPr>
                <w:sz w:val="18"/>
              </w:rPr>
              <w:t>0.271</w:t>
            </w:r>
          </w:p>
        </w:tc>
        <w:tc>
          <w:tcPr>
            <w:tcW w:type="dxa" w:w="3407"/>
          </w:tcPr>
          <w:p>
            <w:r>
              <w:rPr>
                <w:sz w:val="18"/>
              </w:rPr>
              <w:t>2</w:t>
            </w:r>
          </w:p>
        </w:tc>
      </w:tr>
      <w:tr>
        <w:tc>
          <w:tcPr>
            <w:tcW w:type="dxa" w:w="3407"/>
          </w:tcPr>
          <w:p>
            <w:r>
              <w:rPr>
                <w:sz w:val="18"/>
              </w:rPr>
              <w:t>local_mean_slope</w:t>
            </w:r>
          </w:p>
        </w:tc>
        <w:tc>
          <w:tcPr>
            <w:tcW w:type="dxa" w:w="3407"/>
          </w:tcPr>
          <w:p>
            <w:r>
              <w:rPr>
                <w:sz w:val="18"/>
              </w:rPr>
              <w:t>0.198</w:t>
            </w:r>
          </w:p>
        </w:tc>
        <w:tc>
          <w:tcPr>
            <w:tcW w:type="dxa" w:w="3407"/>
          </w:tcPr>
          <w:p>
            <w:r>
              <w:rPr>
                <w:sz w:val="18"/>
              </w:rPr>
              <w:t>3</w:t>
            </w:r>
          </w:p>
        </w:tc>
      </w:tr>
      <w:tr>
        <w:tc>
          <w:tcPr>
            <w:tcW w:type="dxa" w:w="3407"/>
          </w:tcPr>
          <w:p>
            <w:r>
              <w:rPr>
                <w:sz w:val="18"/>
              </w:rPr>
              <w:t>local_std_elevation</w:t>
            </w:r>
          </w:p>
        </w:tc>
        <w:tc>
          <w:tcPr>
            <w:tcW w:type="dxa" w:w="3407"/>
          </w:tcPr>
          <w:p>
            <w:r>
              <w:rPr>
                <w:sz w:val="18"/>
              </w:rPr>
              <w:t>0.124</w:t>
            </w:r>
          </w:p>
        </w:tc>
        <w:tc>
          <w:tcPr>
            <w:tcW w:type="dxa" w:w="3407"/>
          </w:tcPr>
          <w:p>
            <w:r>
              <w:rPr>
                <w:sz w:val="18"/>
              </w:rPr>
              <w:t>4</w:t>
            </w:r>
          </w:p>
        </w:tc>
      </w:tr>
      <w:tr>
        <w:tc>
          <w:tcPr>
            <w:tcW w:type="dxa" w:w="3407"/>
          </w:tcPr>
          <w:p>
            <w:r>
              <w:rPr>
                <w:sz w:val="18"/>
              </w:rPr>
              <w:t>slope_gradient</w:t>
            </w:r>
          </w:p>
        </w:tc>
        <w:tc>
          <w:tcPr>
            <w:tcW w:type="dxa" w:w="3407"/>
          </w:tcPr>
          <w:p>
            <w:r>
              <w:rPr>
                <w:sz w:val="18"/>
              </w:rPr>
              <w:t>0.051</w:t>
            </w:r>
          </w:p>
        </w:tc>
        <w:tc>
          <w:tcPr>
            <w:tcW w:type="dxa" w:w="3407"/>
          </w:tcPr>
          <w:p>
            <w:r>
              <w:rPr>
                <w:sz w:val="18"/>
              </w:rPr>
              <w:t>5</w:t>
            </w:r>
          </w:p>
        </w:tc>
      </w:tr>
      <w:tr>
        <w:tc>
          <w:tcPr>
            <w:tcW w:type="dxa" w:w="3407"/>
          </w:tcPr>
          <w:p>
            <w:r>
              <w:rPr>
                <w:sz w:val="18"/>
              </w:rPr>
              <w:t>lat_normalized</w:t>
            </w:r>
          </w:p>
        </w:tc>
        <w:tc>
          <w:tcPr>
            <w:tcW w:type="dxa" w:w="3407"/>
          </w:tcPr>
          <w:p>
            <w:r>
              <w:rPr>
                <w:sz w:val="18"/>
              </w:rPr>
              <w:t>0.028</w:t>
            </w:r>
          </w:p>
        </w:tc>
        <w:tc>
          <w:tcPr>
            <w:tcW w:type="dxa" w:w="3407"/>
          </w:tcPr>
          <w:p>
            <w:r>
              <w:rPr>
                <w:sz w:val="18"/>
              </w:rPr>
              <w:t>6</w:t>
            </w:r>
          </w:p>
        </w:tc>
      </w:tr>
      <w:tr>
        <w:tc>
          <w:tcPr>
            <w:tcW w:type="dxa" w:w="3407"/>
          </w:tcPr>
          <w:p>
            <w:r>
              <w:rPr>
                <w:sz w:val="18"/>
              </w:rPr>
              <w:t>elevation</w:t>
            </w:r>
          </w:p>
        </w:tc>
        <w:tc>
          <w:tcPr>
            <w:tcW w:type="dxa" w:w="3407"/>
          </w:tcPr>
          <w:p>
            <w:r>
              <w:rPr>
                <w:sz w:val="18"/>
              </w:rPr>
              <w:t>0.010</w:t>
            </w:r>
          </w:p>
        </w:tc>
        <w:tc>
          <w:tcPr>
            <w:tcW w:type="dxa" w:w="3407"/>
          </w:tcPr>
          <w:p>
            <w:r>
              <w:rPr>
                <w:sz w:val="18"/>
              </w:rPr>
              <w:t>7</w:t>
            </w:r>
          </w:p>
        </w:tc>
      </w:tr>
      <w:tr>
        <w:tc>
          <w:tcPr>
            <w:tcW w:type="dxa" w:w="3407"/>
          </w:tcPr>
          <w:p>
            <w:r>
              <w:rPr>
                <w:sz w:val="18"/>
              </w:rPr>
              <w:t>quality_mask</w:t>
            </w:r>
          </w:p>
        </w:tc>
        <w:tc>
          <w:tcPr>
            <w:tcW w:type="dxa" w:w="3407"/>
          </w:tcPr>
          <w:p>
            <w:r>
              <w:rPr>
                <w:sz w:val="18"/>
              </w:rPr>
              <w:t>0.006</w:t>
            </w:r>
          </w:p>
        </w:tc>
        <w:tc>
          <w:tcPr>
            <w:tcW w:type="dxa" w:w="3407"/>
          </w:tcPr>
          <w:p>
            <w:r>
              <w:rPr>
                <w:sz w:val="18"/>
              </w:rPr>
              <w:t>8</w:t>
            </w:r>
          </w:p>
        </w:tc>
      </w:tr>
    </w:tbl>
    <w:p/>
    <w:p>
      <w:pPr>
        <w:ind w:firstLine="288"/>
        <w:jc w:val="both"/>
      </w:pPr>
      <w:r>
        <w:rPr>
          <w:sz w:val="20"/>
        </w:rPr>
        <w:t>The dominance of slope (0.312) and roughness (0.271) is consistent with their use as the primary labelling criteria in the auto-labelling scheme. The local_mean_slope feature (0.198) captures neighbourhood-averaged slope context and ranks third, suggesting that the spatial context of a pixel's slope—whether it is embedded in a uniformly sloped region or at an isolated steep feature—is an important discriminator between TRAVERSE_CORRIDOR and RISKY_LANDING classes. The low importance of quality_mask (0.006) indicates that data quality is rarely the primary determinant of class membership, though it remains useful as a tie-breaking signal in low-contrast terrain.</w:t>
      </w:r>
    </w:p>
    <w:p>
      <w:pPr>
        <w:spacing w:before="80" w:after="40"/>
      </w:pPr>
      <w:r>
        <w:rPr>
          <w:b/>
          <w:i/>
          <w:sz w:val="20"/>
        </w:rPr>
        <w:t>B. Landing Site Scoring Validation</w:t>
      </w:r>
    </w:p>
    <w:p>
      <w:pPr>
        <w:ind w:firstLine="288"/>
        <w:jc w:val="both"/>
      </w:pPr>
      <w:r>
        <w:rPr>
          <w:sz w:val="20"/>
        </w:rPr>
        <w:t>Four NASA Artemis III candidate sites were selected for quantitative validation. Table III reports system-computed scores and assigned terrain classifications alongside NASA expert assessments.</w:t>
      </w:r>
    </w:p>
    <w:p>
      <w:pPr>
        <w:jc w:val="center"/>
      </w:pPr>
      <w:r>
        <w:rPr>
          <w:b/>
          <w:sz w:val="18"/>
        </w:rPr>
        <w:t>TABLE III</w:t>
        <w:br/>
        <w:t>LANDING SITE SCORING VALIDATION AGAINST ARTEMIS III CANDIDATE SITES</w:t>
      </w:r>
    </w:p>
    <w:tbl>
      <w:tblPr>
        <w:tblStyle w:val="TableGrid"/>
        <w:tblW w:type="auto" w:w="0"/>
        <w:tblLook w:firstColumn="1" w:firstRow="1" w:lastColumn="0" w:lastRow="0" w:noHBand="0" w:noVBand="1" w:val="04A0"/>
      </w:tblPr>
      <w:tblGrid>
        <w:gridCol w:w="1460"/>
        <w:gridCol w:w="1460"/>
        <w:gridCol w:w="1460"/>
        <w:gridCol w:w="1460"/>
        <w:gridCol w:w="1460"/>
        <w:gridCol w:w="1460"/>
        <w:gridCol w:w="1460"/>
      </w:tblGrid>
      <w:tr>
        <w:tc>
          <w:tcPr>
            <w:tcW w:type="dxa" w:w="1460"/>
          </w:tcPr>
          <w:p>
            <w:r>
              <w:rPr>
                <w:b/>
                <w:sz w:val="18"/>
              </w:rPr>
              <w:t>Site</w:t>
            </w:r>
          </w:p>
        </w:tc>
        <w:tc>
          <w:tcPr>
            <w:tcW w:type="dxa" w:w="1460"/>
          </w:tcPr>
          <w:p>
            <w:r>
              <w:rPr>
                <w:b/>
                <w:sz w:val="18"/>
              </w:rPr>
              <w:t>Coordinates</w:t>
            </w:r>
          </w:p>
        </w:tc>
        <w:tc>
          <w:tcPr>
            <w:tcW w:type="dxa" w:w="1460"/>
          </w:tcPr>
          <w:p>
            <w:r>
              <w:rPr>
                <w:b/>
                <w:sz w:val="18"/>
              </w:rPr>
              <w:t>S_safe</w:t>
            </w:r>
          </w:p>
        </w:tc>
        <w:tc>
          <w:tcPr>
            <w:tcW w:type="dxa" w:w="1460"/>
          </w:tcPr>
          <w:p>
            <w:r>
              <w:rPr>
                <w:b/>
                <w:sz w:val="18"/>
              </w:rPr>
              <w:t>S_mission</w:t>
            </w:r>
          </w:p>
        </w:tc>
        <w:tc>
          <w:tcPr>
            <w:tcW w:type="dxa" w:w="1460"/>
          </w:tcPr>
          <w:p>
            <w:r>
              <w:rPr>
                <w:b/>
                <w:sz w:val="18"/>
              </w:rPr>
              <w:t>S_final</w:t>
            </w:r>
          </w:p>
        </w:tc>
        <w:tc>
          <w:tcPr>
            <w:tcW w:type="dxa" w:w="1460"/>
          </w:tcPr>
          <w:p>
            <w:r>
              <w:rPr>
                <w:b/>
                <w:sz w:val="18"/>
              </w:rPr>
              <w:t>Class</w:t>
            </w:r>
          </w:p>
        </w:tc>
        <w:tc>
          <w:tcPr>
            <w:tcW w:type="dxa" w:w="1460"/>
          </w:tcPr>
          <w:p>
            <w:r>
              <w:rPr>
                <w:b/>
                <w:sz w:val="18"/>
              </w:rPr>
              <w:t>Mission Type</w:t>
            </w:r>
          </w:p>
        </w:tc>
      </w:tr>
      <w:tr>
        <w:tc>
          <w:tcPr>
            <w:tcW w:type="dxa" w:w="1460"/>
          </w:tcPr>
          <w:p>
            <w:r>
              <w:rPr>
                <w:sz w:val="18"/>
              </w:rPr>
              <w:t>Shackleton Ridge</w:t>
            </w:r>
          </w:p>
        </w:tc>
        <w:tc>
          <w:tcPr>
            <w:tcW w:type="dxa" w:w="1460"/>
          </w:tcPr>
          <w:p>
            <w:r>
              <w:rPr>
                <w:sz w:val="18"/>
              </w:rPr>
              <w:t>89.5°S, 0.0°E</w:t>
            </w:r>
          </w:p>
        </w:tc>
        <w:tc>
          <w:tcPr>
            <w:tcW w:type="dxa" w:w="1460"/>
          </w:tcPr>
          <w:p>
            <w:r>
              <w:rPr>
                <w:sz w:val="18"/>
              </w:rPr>
              <w:t>0.655</w:t>
            </w:r>
          </w:p>
        </w:tc>
        <w:tc>
          <w:tcPr>
            <w:tcW w:type="dxa" w:w="1460"/>
          </w:tcPr>
          <w:p>
            <w:r>
              <w:rPr>
                <w:sz w:val="18"/>
              </w:rPr>
              <w:t>0.210</w:t>
            </w:r>
          </w:p>
        </w:tc>
        <w:tc>
          <w:tcPr>
            <w:tcW w:type="dxa" w:w="1460"/>
          </w:tcPr>
          <w:p>
            <w:r>
              <w:rPr>
                <w:sz w:val="18"/>
              </w:rPr>
              <w:t>0.388</w:t>
            </w:r>
          </w:p>
        </w:tc>
        <w:tc>
          <w:tcPr>
            <w:tcW w:type="dxa" w:w="1460"/>
          </w:tcPr>
          <w:p>
            <w:r>
              <w:rPr>
                <w:sz w:val="18"/>
              </w:rPr>
              <w:t>SAFE_LANDING</w:t>
            </w:r>
          </w:p>
        </w:tc>
        <w:tc>
          <w:tcPr>
            <w:tcW w:type="dxa" w:w="1460"/>
          </w:tcPr>
          <w:p>
            <w:r>
              <w:rPr>
                <w:sz w:val="18"/>
              </w:rPr>
              <w:t>Geological</w:t>
            </w:r>
          </w:p>
        </w:tc>
      </w:tr>
      <w:tr>
        <w:tc>
          <w:tcPr>
            <w:tcW w:type="dxa" w:w="1460"/>
          </w:tcPr>
          <w:p>
            <w:r>
              <w:rPr>
                <w:sz w:val="18"/>
              </w:rPr>
              <w:t>Shackleton Ridge</w:t>
            </w:r>
          </w:p>
        </w:tc>
        <w:tc>
          <w:tcPr>
            <w:tcW w:type="dxa" w:w="1460"/>
          </w:tcPr>
          <w:p>
            <w:r>
              <w:rPr>
                <w:sz w:val="18"/>
              </w:rPr>
              <w:t>89.5°S, 0.0°E</w:t>
            </w:r>
          </w:p>
        </w:tc>
        <w:tc>
          <w:tcPr>
            <w:tcW w:type="dxa" w:w="1460"/>
          </w:tcPr>
          <w:p>
            <w:r>
              <w:rPr>
                <w:sz w:val="18"/>
              </w:rPr>
              <w:t>0.605</w:t>
            </w:r>
          </w:p>
        </w:tc>
        <w:tc>
          <w:tcPr>
            <w:tcW w:type="dxa" w:w="1460"/>
          </w:tcPr>
          <w:p>
            <w:r>
              <w:rPr>
                <w:sz w:val="18"/>
              </w:rPr>
              <w:t>0.599</w:t>
            </w:r>
          </w:p>
        </w:tc>
        <w:tc>
          <w:tcPr>
            <w:tcW w:type="dxa" w:w="1460"/>
          </w:tcPr>
          <w:p>
            <w:r>
              <w:rPr>
                <w:sz w:val="18"/>
              </w:rPr>
              <w:t>0.603</w:t>
            </w:r>
          </w:p>
        </w:tc>
        <w:tc>
          <w:tcPr>
            <w:tcW w:type="dxa" w:w="1460"/>
          </w:tcPr>
          <w:p>
            <w:r>
              <w:rPr>
                <w:sz w:val="18"/>
              </w:rPr>
              <w:t>SAFE_LANDING</w:t>
            </w:r>
          </w:p>
        </w:tc>
        <w:tc>
          <w:tcPr>
            <w:tcW w:type="dxa" w:w="1460"/>
          </w:tcPr>
          <w:p>
            <w:r>
              <w:rPr>
                <w:sz w:val="18"/>
              </w:rPr>
              <w:t>Water Ice</w:t>
            </w:r>
          </w:p>
        </w:tc>
      </w:tr>
      <w:tr>
        <w:tc>
          <w:tcPr>
            <w:tcW w:type="dxa" w:w="1460"/>
          </w:tcPr>
          <w:p>
            <w:r>
              <w:rPr>
                <w:sz w:val="18"/>
              </w:rPr>
              <w:t>Faustini Crater</w:t>
            </w:r>
          </w:p>
        </w:tc>
        <w:tc>
          <w:tcPr>
            <w:tcW w:type="dxa" w:w="1460"/>
          </w:tcPr>
          <w:p>
            <w:r>
              <w:rPr>
                <w:sz w:val="18"/>
              </w:rPr>
              <w:t>87.3°S, 77.0°E</w:t>
            </w:r>
          </w:p>
        </w:tc>
        <w:tc>
          <w:tcPr>
            <w:tcW w:type="dxa" w:w="1460"/>
          </w:tcPr>
          <w:p>
            <w:r>
              <w:rPr>
                <w:sz w:val="18"/>
              </w:rPr>
              <w:t>0.000</w:t>
            </w:r>
          </w:p>
        </w:tc>
        <w:tc>
          <w:tcPr>
            <w:tcW w:type="dxa" w:w="1460"/>
          </w:tcPr>
          <w:p>
            <w:r>
              <w:rPr>
                <w:sz w:val="18"/>
              </w:rPr>
              <w:t>0.643</w:t>
            </w:r>
          </w:p>
        </w:tc>
        <w:tc>
          <w:tcPr>
            <w:tcW w:type="dxa" w:w="1460"/>
          </w:tcPr>
          <w:p>
            <w:r>
              <w:rPr>
                <w:sz w:val="18"/>
              </w:rPr>
              <w:t>0.000</w:t>
            </w:r>
          </w:p>
        </w:tc>
        <w:tc>
          <w:tcPr>
            <w:tcW w:type="dxa" w:w="1460"/>
          </w:tcPr>
          <w:p>
            <w:r>
              <w:rPr>
                <w:sz w:val="18"/>
              </w:rPr>
              <w:t>HAZARD_ZONE</w:t>
            </w:r>
          </w:p>
        </w:tc>
        <w:tc>
          <w:tcPr>
            <w:tcW w:type="dxa" w:w="1460"/>
          </w:tcPr>
          <w:p>
            <w:r>
              <w:rPr>
                <w:sz w:val="18"/>
              </w:rPr>
              <w:t>Water Ice</w:t>
            </w:r>
          </w:p>
        </w:tc>
      </w:tr>
      <w:tr>
        <w:tc>
          <w:tcPr>
            <w:tcW w:type="dxa" w:w="1460"/>
          </w:tcPr>
          <w:p>
            <w:r>
              <w:rPr>
                <w:sz w:val="18"/>
              </w:rPr>
              <w:t>Haworth Edge</w:t>
            </w:r>
          </w:p>
        </w:tc>
        <w:tc>
          <w:tcPr>
            <w:tcW w:type="dxa" w:w="1460"/>
          </w:tcPr>
          <w:p>
            <w:r>
              <w:rPr>
                <w:sz w:val="18"/>
              </w:rPr>
              <w:t>87.5°S, 357.5°E</w:t>
            </w:r>
          </w:p>
        </w:tc>
        <w:tc>
          <w:tcPr>
            <w:tcW w:type="dxa" w:w="1460"/>
          </w:tcPr>
          <w:p>
            <w:r>
              <w:rPr>
                <w:sz w:val="18"/>
              </w:rPr>
              <w:t>0.505</w:t>
            </w:r>
          </w:p>
        </w:tc>
        <w:tc>
          <w:tcPr>
            <w:tcW w:type="dxa" w:w="1460"/>
          </w:tcPr>
          <w:p>
            <w:r>
              <w:rPr>
                <w:sz w:val="18"/>
              </w:rPr>
              <w:t>0.505</w:t>
            </w:r>
          </w:p>
        </w:tc>
        <w:tc>
          <w:tcPr>
            <w:tcW w:type="dxa" w:w="1460"/>
          </w:tcPr>
          <w:p>
            <w:r>
              <w:rPr>
                <w:sz w:val="18"/>
              </w:rPr>
              <w:t>0.505</w:t>
            </w:r>
          </w:p>
        </w:tc>
        <w:tc>
          <w:tcPr>
            <w:tcW w:type="dxa" w:w="1460"/>
          </w:tcPr>
          <w:p>
            <w:r>
              <w:rPr>
                <w:sz w:val="18"/>
              </w:rPr>
              <w:t>RISKY_LANDING</w:t>
            </w:r>
          </w:p>
        </w:tc>
        <w:tc>
          <w:tcPr>
            <w:tcW w:type="dxa" w:w="1460"/>
          </w:tcPr>
          <w:p>
            <w:r>
              <w:rPr>
                <w:sz w:val="18"/>
              </w:rPr>
              <w:t>Water Ice</w:t>
            </w:r>
          </w:p>
        </w:tc>
      </w:tr>
      <w:tr>
        <w:tc>
          <w:tcPr>
            <w:tcW w:type="dxa" w:w="1460"/>
          </w:tcPr>
          <w:p>
            <w:r>
              <w:rPr>
                <w:sz w:val="18"/>
              </w:rPr>
              <w:t>Nobile Rim</w:t>
            </w:r>
          </w:p>
        </w:tc>
        <w:tc>
          <w:tcPr>
            <w:tcW w:type="dxa" w:w="1460"/>
          </w:tcPr>
          <w:p>
            <w:r>
              <w:rPr>
                <w:sz w:val="18"/>
              </w:rPr>
              <w:t>85.2°S, 58.0°E</w:t>
            </w:r>
          </w:p>
        </w:tc>
        <w:tc>
          <w:tcPr>
            <w:tcW w:type="dxa" w:w="1460"/>
          </w:tcPr>
          <w:p>
            <w:r>
              <w:rPr>
                <w:sz w:val="18"/>
              </w:rPr>
              <w:t>0.501</w:t>
            </w:r>
          </w:p>
        </w:tc>
        <w:tc>
          <w:tcPr>
            <w:tcW w:type="dxa" w:w="1460"/>
          </w:tcPr>
          <w:p>
            <w:r>
              <w:rPr>
                <w:sz w:val="18"/>
              </w:rPr>
              <w:t>0.501</w:t>
            </w:r>
          </w:p>
        </w:tc>
        <w:tc>
          <w:tcPr>
            <w:tcW w:type="dxa" w:w="1460"/>
          </w:tcPr>
          <w:p>
            <w:r>
              <w:rPr>
                <w:sz w:val="18"/>
              </w:rPr>
              <w:t>0.501</w:t>
            </w:r>
          </w:p>
        </w:tc>
        <w:tc>
          <w:tcPr>
            <w:tcW w:type="dxa" w:w="1460"/>
          </w:tcPr>
          <w:p>
            <w:r>
              <w:rPr>
                <w:sz w:val="18"/>
              </w:rPr>
              <w:t>TRAVERSE_CORRIDOR</w:t>
            </w:r>
          </w:p>
        </w:tc>
        <w:tc>
          <w:tcPr>
            <w:tcW w:type="dxa" w:w="1460"/>
          </w:tcPr>
          <w:p>
            <w:r>
              <w:rPr>
                <w:sz w:val="18"/>
              </w:rPr>
              <w:t>Water Ice</w:t>
            </w:r>
          </w:p>
        </w:tc>
      </w:tr>
    </w:tbl>
    <w:p/>
    <w:p>
      <w:pPr>
        <w:ind w:firstLine="288"/>
        <w:jc w:val="both"/>
      </w:pPr>
      <w:r>
        <w:rPr>
          <w:sz w:val="20"/>
        </w:rPr>
        <w:t>Shackleton Ridge receives the highest final score (0.603, water-ice profile), consistent with its designation as NASA's first-priority Artemis III site [18]. The system correctly identifies the trade-off between geological and water-ice mission profiles: the geological score is penalised by lower mission-specific reward (S_mission = 0.210) because Shackleton's relatively smooth ridge terrain offers less exposed stratigraphy than rougher sites, while the water-ice score benefits from proximity to the nearby PSR and high latitude.</w:t>
      </w:r>
    </w:p>
    <w:p>
      <w:pPr>
        <w:ind w:firstLine="288"/>
        <w:jc w:val="both"/>
      </w:pPr>
      <w:r>
        <w:rPr>
          <w:sz w:val="20"/>
        </w:rPr>
        <w:t>Faustini Crater receives a safety score of 0.000, correctly flagging it as unlandable due to the steep inner crater walls recorded in the LOLA DEM. The high science value (S_mission = 0.643) is preserved in the output, indicating that while the crater floor is inaccessible to a lander, the crater rim and proximal terrain may be of high scientific interest for a traverse mission that approaches from a safe landing site nearby.</w:t>
      </w:r>
    </w:p>
    <w:p>
      <w:pPr>
        <w:ind w:firstLine="288"/>
        <w:jc w:val="both"/>
      </w:pPr>
      <w:r>
        <w:rPr>
          <w:sz w:val="20"/>
        </w:rPr>
        <w:t>Chandrayaan-3's landing site at 69.37°S, 32.32°E falls outside the system's 80–90°S coverage by design. The system correctly reports this as out-of-bounds and explains that it prioritises the extreme polar region where ice deposits are theoretically concentrated. This divergence is scientifically justified: Chandrayaan-3 was a technology demonstrator with a landing-site selection driven by operational safety rather than polar science optimisation.</w:t>
      </w:r>
    </w:p>
    <w:p>
      <w:pPr>
        <w:ind w:firstLine="288"/>
        <w:jc w:val="both"/>
      </w:pPr>
      <w:r>
        <w:rPr>
          <w:sz w:val="20"/>
        </w:rPr>
        <w:t>To further contextualise the scoring model, Table III also reveals an important mission-profile sensitivity: the same physical site (Shackleton Ridge) receives a final score of 0.388 for a geological survey mission versus 0.603 for a water-ice prospecting mission. This difference arises from the mission score component (S_mission = 0.210 vs. 0.599), driven by Shackleton's high proximity to the adjacent permanently shadowed region—a strong water-ice indicator—versus its relatively smooth ridge morphology, which is less geologically diverse than rougher, more heavily cratered terrain. This mission-profile sensitivity is a deliberate design feature: the system is intended to assist planners in comparing site suitability across different science objectives, not to impose a single universal ranking.</w:t>
      </w:r>
    </w:p>
    <w:p>
      <w:pPr>
        <w:spacing w:before="80" w:after="40"/>
      </w:pPr>
      <w:r>
        <w:rPr>
          <w:b/>
          <w:i/>
          <w:sz w:val="20"/>
        </w:rPr>
        <w:t>C. Path Planning Performance</w:t>
      </w:r>
    </w:p>
    <w:p>
      <w:pPr>
        <w:ind w:firstLine="288"/>
        <w:jc w:val="both"/>
      </w:pPr>
      <w:r>
        <w:rPr>
          <w:sz w:val="20"/>
        </w:rPr>
        <w:t>Table IV reports A* path planning performance for three representative mission profiles within the 80–90°S domain.</w:t>
      </w:r>
    </w:p>
    <w:p>
      <w:pPr>
        <w:jc w:val="center"/>
      </w:pPr>
      <w:r>
        <w:rPr>
          <w:b/>
          <w:sz w:val="18"/>
        </w:rPr>
        <w:t>TABLE IV</w:t>
        <w:br/>
        <w:t>A* PATH PLANNING PERFORMANCE — REPRESENTATIVE MISSION PROFILES</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rPr>
                <w:b/>
                <w:sz w:val="18"/>
              </w:rPr>
              <w:t>Start Site</w:t>
            </w:r>
          </w:p>
        </w:tc>
        <w:tc>
          <w:tcPr>
            <w:tcW w:type="dxa" w:w="1704"/>
          </w:tcPr>
          <w:p>
            <w:r>
              <w:rPr>
                <w:b/>
                <w:sz w:val="18"/>
              </w:rPr>
              <w:t>Target Site</w:t>
            </w:r>
          </w:p>
        </w:tc>
        <w:tc>
          <w:tcPr>
            <w:tcW w:type="dxa" w:w="1704"/>
          </w:tcPr>
          <w:p>
            <w:r>
              <w:rPr>
                <w:b/>
                <w:sz w:val="18"/>
              </w:rPr>
              <w:t>Path Length (km)</w:t>
            </w:r>
          </w:p>
        </w:tc>
        <w:tc>
          <w:tcPr>
            <w:tcW w:type="dxa" w:w="1704"/>
          </w:tcPr>
          <w:p>
            <w:r>
              <w:rPr>
                <w:b/>
                <w:sz w:val="18"/>
              </w:rPr>
              <w:t>Iterations</w:t>
            </w:r>
          </w:p>
        </w:tc>
        <w:tc>
          <w:tcPr>
            <w:tcW w:type="dxa" w:w="1704"/>
          </w:tcPr>
          <w:p>
            <w:r>
              <w:rPr>
                <w:b/>
                <w:sz w:val="18"/>
              </w:rPr>
              <w:t>Max Slope (°)</w:t>
            </w:r>
          </w:p>
        </w:tc>
        <w:tc>
          <w:tcPr>
            <w:tcW w:type="dxa" w:w="1704"/>
          </w:tcPr>
          <w:p>
            <w:r>
              <w:rPr>
                <w:b/>
                <w:sz w:val="18"/>
              </w:rPr>
              <w:t>Notes</w:t>
            </w:r>
          </w:p>
        </w:tc>
      </w:tr>
      <w:tr>
        <w:tc>
          <w:tcPr>
            <w:tcW w:type="dxa" w:w="1704"/>
          </w:tcPr>
          <w:p>
            <w:r>
              <w:rPr>
                <w:sz w:val="18"/>
              </w:rPr>
              <w:t>Shackleton Ridge</w:t>
            </w:r>
          </w:p>
        </w:tc>
        <w:tc>
          <w:tcPr>
            <w:tcW w:type="dxa" w:w="1704"/>
          </w:tcPr>
          <w:p>
            <w:r>
              <w:rPr>
                <w:sz w:val="18"/>
              </w:rPr>
              <w:t>Haworth Edge</w:t>
            </w:r>
          </w:p>
        </w:tc>
        <w:tc>
          <w:tcPr>
            <w:tcW w:type="dxa" w:w="1704"/>
          </w:tcPr>
          <w:p>
            <w:r>
              <w:rPr>
                <w:sz w:val="18"/>
              </w:rPr>
              <w:t>43.2</w:t>
            </w:r>
          </w:p>
        </w:tc>
        <w:tc>
          <w:tcPr>
            <w:tcW w:type="dxa" w:w="1704"/>
          </w:tcPr>
          <w:p>
            <w:r>
              <w:rPr>
                <w:sz w:val="18"/>
              </w:rPr>
              <w:t>814,220</w:t>
            </w:r>
          </w:p>
        </w:tc>
        <w:tc>
          <w:tcPr>
            <w:tcW w:type="dxa" w:w="1704"/>
          </w:tcPr>
          <w:p>
            <w:r>
              <w:rPr>
                <w:sz w:val="18"/>
              </w:rPr>
              <w:t>14.3</w:t>
            </w:r>
          </w:p>
        </w:tc>
        <w:tc>
          <w:tcPr>
            <w:tcW w:type="dxa" w:w="1704"/>
          </w:tcPr>
          <w:p>
            <w:r>
              <w:rPr>
                <w:sz w:val="18"/>
              </w:rPr>
              <w:t>Nominal completion</w:t>
            </w:r>
          </w:p>
        </w:tc>
      </w:tr>
      <w:tr>
        <w:tc>
          <w:tcPr>
            <w:tcW w:type="dxa" w:w="1704"/>
          </w:tcPr>
          <w:p>
            <w:r>
              <w:rPr>
                <w:sz w:val="18"/>
              </w:rPr>
              <w:t>Shackleton Ridge</w:t>
            </w:r>
          </w:p>
        </w:tc>
        <w:tc>
          <w:tcPr>
            <w:tcW w:type="dxa" w:w="1704"/>
          </w:tcPr>
          <w:p>
            <w:r>
              <w:rPr>
                <w:sz w:val="18"/>
              </w:rPr>
              <w:t>Nobile Rim</w:t>
            </w:r>
          </w:p>
        </w:tc>
        <w:tc>
          <w:tcPr>
            <w:tcW w:type="dxa" w:w="1704"/>
          </w:tcPr>
          <w:p>
            <w:r>
              <w:rPr>
                <w:sz w:val="18"/>
              </w:rPr>
              <w:t>61.8</w:t>
            </w:r>
          </w:p>
        </w:tc>
        <w:tc>
          <w:tcPr>
            <w:tcW w:type="dxa" w:w="1704"/>
          </w:tcPr>
          <w:p>
            <w:r>
              <w:rPr>
                <w:sz w:val="18"/>
              </w:rPr>
              <w:t>1,547,903</w:t>
            </w:r>
          </w:p>
        </w:tc>
        <w:tc>
          <w:tcPr>
            <w:tcW w:type="dxa" w:w="1704"/>
          </w:tcPr>
          <w:p>
            <w:r>
              <w:rPr>
                <w:sz w:val="18"/>
              </w:rPr>
              <w:t>18.7</w:t>
            </w:r>
          </w:p>
        </w:tc>
        <w:tc>
          <w:tcPr>
            <w:tcW w:type="dxa" w:w="1704"/>
          </w:tcPr>
          <w:p>
            <w:r>
              <w:rPr>
                <w:sz w:val="18"/>
              </w:rPr>
              <w:t>Nominal completion</w:t>
            </w:r>
          </w:p>
        </w:tc>
      </w:tr>
      <w:tr>
        <w:tc>
          <w:tcPr>
            <w:tcW w:type="dxa" w:w="1704"/>
          </w:tcPr>
          <w:p>
            <w:r>
              <w:rPr>
                <w:sz w:val="18"/>
              </w:rPr>
              <w:t>Haworth Edge</w:t>
            </w:r>
          </w:p>
        </w:tc>
        <w:tc>
          <w:tcPr>
            <w:tcW w:type="dxa" w:w="1704"/>
          </w:tcPr>
          <w:p>
            <w:r>
              <w:rPr>
                <w:sz w:val="18"/>
              </w:rPr>
              <w:t>Faustini Rim</w:t>
            </w:r>
          </w:p>
        </w:tc>
        <w:tc>
          <w:tcPr>
            <w:tcW w:type="dxa" w:w="1704"/>
          </w:tcPr>
          <w:p>
            <w:r>
              <w:rPr>
                <w:sz w:val="18"/>
              </w:rPr>
              <w:t>38.5</w:t>
            </w:r>
          </w:p>
        </w:tc>
        <w:tc>
          <w:tcPr>
            <w:tcW w:type="dxa" w:w="1704"/>
          </w:tcPr>
          <w:p>
            <w:r>
              <w:rPr>
                <w:sz w:val="18"/>
              </w:rPr>
              <w:t>1,991,450</w:t>
            </w:r>
          </w:p>
        </w:tc>
        <w:tc>
          <w:tcPr>
            <w:tcW w:type="dxa" w:w="1704"/>
          </w:tcPr>
          <w:p>
            <w:r>
              <w:rPr>
                <w:sz w:val="18"/>
              </w:rPr>
              <w:t>21.2</w:t>
            </w:r>
          </w:p>
        </w:tc>
        <w:tc>
          <w:tcPr>
            <w:tcW w:type="dxa" w:w="1704"/>
          </w:tcPr>
          <w:p>
            <w:r>
              <w:rPr>
                <w:sz w:val="18"/>
              </w:rPr>
              <w:t>Near limit; partial path returned</w:t>
            </w:r>
          </w:p>
        </w:tc>
      </w:tr>
    </w:tbl>
    <w:p/>
    <w:p>
      <w:pPr>
        <w:ind w:firstLine="288"/>
        <w:jc w:val="both"/>
      </w:pPr>
      <w:r>
        <w:rPr>
          <w:sz w:val="20"/>
        </w:rPr>
        <w:t>All paths avoid slopes above the default 15° safe-traverse threshold where alternative routes exist. The Faustini Rim path approaches the 2-million-iteration limit due to the limited number of low-slope corridors approaching the crater rim; the partial path returned is accompanied by an advisory recommending a waypoint intermediate relay site.</w:t>
      </w:r>
    </w:p>
    <w:p>
      <w:pPr>
        <w:spacing w:before="80" w:after="40"/>
      </w:pPr>
      <w:r>
        <w:rPr>
          <w:b/>
          <w:i/>
          <w:sz w:val="20"/>
        </w:rPr>
        <w:t>D. Anomaly Detection Results</w:t>
      </w:r>
    </w:p>
    <w:p>
      <w:pPr>
        <w:ind w:firstLine="288"/>
        <w:jc w:val="both"/>
      </w:pPr>
      <w:r>
        <w:rPr>
          <w:sz w:val="20"/>
        </w:rPr>
        <w:t>DBSCAN applied to the 100,000-pixel subsample identified a median of 12 distinct anomaly clusters per analysis run (range 8–19 across five randomised subsamples), with cluster sizes between 50 and 8,400 pixels. The four anomaly type labels were distributed as follows across a representative analysis: high-elevation anomalies (4 clusters), high-roughness anomalies (3 clusters), slope-break anomalies (3 clusters), and composite anomalies (2 clusters). Cluster centroids are plotted as science-target waypoints on the interactive mission map and are optionally incorporated as intermediate waypoints in the path planner.</w:t>
      </w:r>
    </w:p>
    <w:p>
      <w:pPr>
        <w:spacing w:before="80" w:after="40"/>
      </w:pPr>
      <w:r>
        <w:rPr>
          <w:b/>
          <w:i/>
          <w:sz w:val="20"/>
        </w:rPr>
        <w:t>E. System Performance</w:t>
      </w:r>
    </w:p>
    <w:p>
      <w:pPr>
        <w:ind w:firstLine="288"/>
        <w:jc w:val="both"/>
      </w:pPr>
      <w:r>
        <w:rPr>
          <w:sz w:val="20"/>
        </w:rPr>
        <w:t>End-to-end latency for a complete mission analysis—excluding the one-time DEM loading—is approximately 18–45 seconds on a standard workstation (Intel Core i7, 16 GB RAM, no GPU). The dominant cost is the Random Forest inference pass over the full grid (approximately 12 s). Path planning accounts for 3–15 s depending on path complexity. Landing site scoring, anomaly detection, and report generation are each sub-second operations.</w:t>
      </w:r>
    </w:p>
    <w:p>
      <w:pPr>
        <w:jc w:val="center"/>
      </w:pPr>
      <w:r>
        <w:rPr>
          <w:b/>
          <w:sz w:val="18"/>
        </w:rPr>
        <w:t>TABLE V</w:t>
        <w:br/>
        <w:t>MODULE-LEVEL RUNTIME BREAKDOWN — INTEL CORE I7, 16 GB RAM, NO GPU</w:t>
      </w:r>
    </w:p>
    <w:tbl>
      <w:tblPr>
        <w:tblStyle w:val="TableGrid"/>
        <w:tblW w:type="auto" w:w="0"/>
        <w:tblLook w:firstColumn="1" w:firstRow="1" w:lastColumn="0" w:lastRow="0" w:noHBand="0" w:noVBand="1" w:val="04A0"/>
      </w:tblPr>
      <w:tblGrid>
        <w:gridCol w:w="2555"/>
        <w:gridCol w:w="2555"/>
        <w:gridCol w:w="2555"/>
        <w:gridCol w:w="2555"/>
      </w:tblGrid>
      <w:tr>
        <w:tc>
          <w:tcPr>
            <w:tcW w:type="dxa" w:w="2555"/>
          </w:tcPr>
          <w:p>
            <w:r>
              <w:rPr>
                <w:b/>
                <w:sz w:val="18"/>
              </w:rPr>
              <w:t>Module</w:t>
            </w:r>
          </w:p>
        </w:tc>
        <w:tc>
          <w:tcPr>
            <w:tcW w:type="dxa" w:w="2555"/>
          </w:tcPr>
          <w:p>
            <w:r>
              <w:rPr>
                <w:b/>
                <w:sz w:val="18"/>
              </w:rPr>
              <w:t>Operation</w:t>
            </w:r>
          </w:p>
        </w:tc>
        <w:tc>
          <w:tcPr>
            <w:tcW w:type="dxa" w:w="2555"/>
          </w:tcPr>
          <w:p>
            <w:r>
              <w:rPr>
                <w:b/>
                <w:sz w:val="18"/>
              </w:rPr>
              <w:t>Runtime (s)</w:t>
            </w:r>
          </w:p>
        </w:tc>
        <w:tc>
          <w:tcPr>
            <w:tcW w:type="dxa" w:w="2555"/>
          </w:tcPr>
          <w:p>
            <w:r>
              <w:rPr>
                <w:b/>
                <w:sz w:val="18"/>
              </w:rPr>
              <w:t>Dominant Cost</w:t>
            </w:r>
          </w:p>
        </w:tc>
      </w:tr>
      <w:tr>
        <w:tc>
          <w:tcPr>
            <w:tcW w:type="dxa" w:w="2555"/>
          </w:tcPr>
          <w:p>
            <w:r>
              <w:rPr>
                <w:sz w:val="18"/>
              </w:rPr>
              <w:t>terrain.py</w:t>
            </w:r>
          </w:p>
        </w:tc>
        <w:tc>
          <w:tcPr>
            <w:tcW w:type="dxa" w:w="2555"/>
          </w:tcPr>
          <w:p>
            <w:r>
              <w:rPr>
                <w:sz w:val="18"/>
              </w:rPr>
              <w:t>DEM load + array derivation</w:t>
            </w:r>
          </w:p>
        </w:tc>
        <w:tc>
          <w:tcPr>
            <w:tcW w:type="dxa" w:w="2555"/>
          </w:tcPr>
          <w:p>
            <w:r>
              <w:rPr>
                <w:sz w:val="18"/>
              </w:rPr>
              <w:t>~45 (one-time)</w:t>
            </w:r>
          </w:p>
        </w:tc>
        <w:tc>
          <w:tcPr>
            <w:tcW w:type="dxa" w:w="2555"/>
          </w:tcPr>
          <w:p>
            <w:r>
              <w:rPr>
                <w:sz w:val="18"/>
              </w:rPr>
              <w:t>Disk I/O + bilinear interp.</w:t>
            </w:r>
          </w:p>
        </w:tc>
      </w:tr>
      <w:tr>
        <w:tc>
          <w:tcPr>
            <w:tcW w:type="dxa" w:w="2555"/>
          </w:tcPr>
          <w:p>
            <w:r>
              <w:rPr>
                <w:sz w:val="18"/>
              </w:rPr>
              <w:t>landing_scorer.py</w:t>
            </w:r>
          </w:p>
        </w:tc>
        <w:tc>
          <w:tcPr>
            <w:tcW w:type="dxa" w:w="2555"/>
          </w:tcPr>
          <w:p>
            <w:r>
              <w:rPr>
                <w:sz w:val="18"/>
              </w:rPr>
              <w:t>Score 10,133 × 10,133 grid</w:t>
            </w:r>
          </w:p>
        </w:tc>
        <w:tc>
          <w:tcPr>
            <w:tcW w:type="dxa" w:w="2555"/>
          </w:tcPr>
          <w:p>
            <w:r>
              <w:rPr>
                <w:sz w:val="18"/>
              </w:rPr>
              <w:t>&lt; 1</w:t>
            </w:r>
          </w:p>
        </w:tc>
        <w:tc>
          <w:tcPr>
            <w:tcW w:type="dxa" w:w="2555"/>
          </w:tcPr>
          <w:p>
            <w:r>
              <w:rPr>
                <w:sz w:val="18"/>
              </w:rPr>
              <w:t>NumPy vectorised ops</w:t>
            </w:r>
          </w:p>
        </w:tc>
      </w:tr>
      <w:tr>
        <w:tc>
          <w:tcPr>
            <w:tcW w:type="dxa" w:w="2555"/>
          </w:tcPr>
          <w:p>
            <w:r>
              <w:rPr>
                <w:sz w:val="18"/>
              </w:rPr>
              <w:t>terrain_classifier.py</w:t>
            </w:r>
          </w:p>
        </w:tc>
        <w:tc>
          <w:tcPr>
            <w:tcW w:type="dxa" w:w="2555"/>
          </w:tcPr>
          <w:p>
            <w:r>
              <w:rPr>
                <w:sz w:val="18"/>
              </w:rPr>
              <w:t>RF inference, full grid</w:t>
            </w:r>
          </w:p>
        </w:tc>
        <w:tc>
          <w:tcPr>
            <w:tcW w:type="dxa" w:w="2555"/>
          </w:tcPr>
          <w:p>
            <w:r>
              <w:rPr>
                <w:sz w:val="18"/>
              </w:rPr>
              <w:t>~12</w:t>
            </w:r>
          </w:p>
        </w:tc>
        <w:tc>
          <w:tcPr>
            <w:tcW w:type="dxa" w:w="2555"/>
          </w:tcPr>
          <w:p>
            <w:r>
              <w:rPr>
                <w:sz w:val="18"/>
              </w:rPr>
              <w:t>sklearn.predict, 100 trees</w:t>
            </w:r>
          </w:p>
        </w:tc>
      </w:tr>
      <w:tr>
        <w:tc>
          <w:tcPr>
            <w:tcW w:type="dxa" w:w="2555"/>
          </w:tcPr>
          <w:p>
            <w:r>
              <w:rPr>
                <w:sz w:val="18"/>
              </w:rPr>
              <w:t>pathfinder.py</w:t>
            </w:r>
          </w:p>
        </w:tc>
        <w:tc>
          <w:tcPr>
            <w:tcW w:type="dxa" w:w="2555"/>
          </w:tcPr>
          <w:p>
            <w:r>
              <w:rPr>
                <w:sz w:val="18"/>
              </w:rPr>
              <w:t>A* short path (&lt; 50 km)</w:t>
            </w:r>
          </w:p>
        </w:tc>
        <w:tc>
          <w:tcPr>
            <w:tcW w:type="dxa" w:w="2555"/>
          </w:tcPr>
          <w:p>
            <w:r>
              <w:rPr>
                <w:sz w:val="18"/>
              </w:rPr>
              <w:t>3–8</w:t>
            </w:r>
          </w:p>
        </w:tc>
        <w:tc>
          <w:tcPr>
            <w:tcW w:type="dxa" w:w="2555"/>
          </w:tcPr>
          <w:p>
            <w:r>
              <w:rPr>
                <w:sz w:val="18"/>
              </w:rPr>
              <w:t>Priority queue operations</w:t>
            </w:r>
          </w:p>
        </w:tc>
      </w:tr>
      <w:tr>
        <w:tc>
          <w:tcPr>
            <w:tcW w:type="dxa" w:w="2555"/>
          </w:tcPr>
          <w:p>
            <w:r>
              <w:rPr>
                <w:sz w:val="18"/>
              </w:rPr>
              <w:t>pathfinder.py</w:t>
            </w:r>
          </w:p>
        </w:tc>
        <w:tc>
          <w:tcPr>
            <w:tcW w:type="dxa" w:w="2555"/>
          </w:tcPr>
          <w:p>
            <w:r>
              <w:rPr>
                <w:sz w:val="18"/>
              </w:rPr>
              <w:t>A* long path (50–100 km)</w:t>
            </w:r>
          </w:p>
        </w:tc>
        <w:tc>
          <w:tcPr>
            <w:tcW w:type="dxa" w:w="2555"/>
          </w:tcPr>
          <w:p>
            <w:r>
              <w:rPr>
                <w:sz w:val="18"/>
              </w:rPr>
              <w:t>10–15</w:t>
            </w:r>
          </w:p>
        </w:tc>
        <w:tc>
          <w:tcPr>
            <w:tcW w:type="dxa" w:w="2555"/>
          </w:tcPr>
          <w:p>
            <w:r>
              <w:rPr>
                <w:sz w:val="18"/>
              </w:rPr>
              <w:t>Priority queue operations</w:t>
            </w:r>
          </w:p>
        </w:tc>
      </w:tr>
      <w:tr>
        <w:tc>
          <w:tcPr>
            <w:tcW w:type="dxa" w:w="2555"/>
          </w:tcPr>
          <w:p>
            <w:r>
              <w:rPr>
                <w:sz w:val="18"/>
              </w:rPr>
              <w:t>anomaly_detector.py</w:t>
            </w:r>
          </w:p>
        </w:tc>
        <w:tc>
          <w:tcPr>
            <w:tcW w:type="dxa" w:w="2555"/>
          </w:tcPr>
          <w:p>
            <w:r>
              <w:rPr>
                <w:sz w:val="18"/>
              </w:rPr>
              <w:t>DBSCAN, 100k subsample</w:t>
            </w:r>
          </w:p>
        </w:tc>
        <w:tc>
          <w:tcPr>
            <w:tcW w:type="dxa" w:w="2555"/>
          </w:tcPr>
          <w:p>
            <w:r>
              <w:rPr>
                <w:sz w:val="18"/>
              </w:rPr>
              <w:t>&lt; 1</w:t>
            </w:r>
          </w:p>
        </w:tc>
        <w:tc>
          <w:tcPr>
            <w:tcW w:type="dxa" w:w="2555"/>
          </w:tcPr>
          <w:p>
            <w:r>
              <w:rPr>
                <w:sz w:val="18"/>
              </w:rPr>
              <w:t>sklearn DBSCAN</w:t>
            </w:r>
          </w:p>
        </w:tc>
      </w:tr>
      <w:tr>
        <w:tc>
          <w:tcPr>
            <w:tcW w:type="dxa" w:w="2555"/>
          </w:tcPr>
          <w:p>
            <w:r>
              <w:rPr>
                <w:sz w:val="18"/>
              </w:rPr>
              <w:t>energy_model.py</w:t>
            </w:r>
          </w:p>
        </w:tc>
        <w:tc>
          <w:tcPr>
            <w:tcW w:type="dxa" w:w="2555"/>
          </w:tcPr>
          <w:p>
            <w:r>
              <w:rPr>
                <w:sz w:val="18"/>
              </w:rPr>
              <w:t>Per-step physics model</w:t>
            </w:r>
          </w:p>
        </w:tc>
        <w:tc>
          <w:tcPr>
            <w:tcW w:type="dxa" w:w="2555"/>
          </w:tcPr>
          <w:p>
            <w:r>
              <w:rPr>
                <w:sz w:val="18"/>
              </w:rPr>
              <w:t>&lt; 1</w:t>
            </w:r>
          </w:p>
        </w:tc>
        <w:tc>
          <w:tcPr>
            <w:tcW w:type="dxa" w:w="2555"/>
          </w:tcPr>
          <w:p>
            <w:r>
              <w:rPr>
                <w:sz w:val="18"/>
              </w:rPr>
              <w:t>NumPy ops on path array</w:t>
            </w:r>
          </w:p>
        </w:tc>
      </w:tr>
      <w:tr>
        <w:tc>
          <w:tcPr>
            <w:tcW w:type="dxa" w:w="2555"/>
          </w:tcPr>
          <w:p>
            <w:r>
              <w:rPr>
                <w:sz w:val="18"/>
              </w:rPr>
              <w:t>mission_advisor.py</w:t>
            </w:r>
          </w:p>
        </w:tc>
        <w:tc>
          <w:tcPr>
            <w:tcW w:type="dxa" w:w="2555"/>
          </w:tcPr>
          <w:p>
            <w:r>
              <w:rPr>
                <w:sz w:val="18"/>
              </w:rPr>
              <w:t>Report generation</w:t>
            </w:r>
          </w:p>
        </w:tc>
        <w:tc>
          <w:tcPr>
            <w:tcW w:type="dxa" w:w="2555"/>
          </w:tcPr>
          <w:p>
            <w:r>
              <w:rPr>
                <w:sz w:val="18"/>
              </w:rPr>
              <w:t>&lt; 0.1</w:t>
            </w:r>
          </w:p>
        </w:tc>
        <w:tc>
          <w:tcPr>
            <w:tcW w:type="dxa" w:w="2555"/>
          </w:tcPr>
          <w:p>
            <w:r>
              <w:rPr>
                <w:sz w:val="18"/>
              </w:rPr>
              <w:t>String template rendering</w:t>
            </w:r>
          </w:p>
        </w:tc>
      </w:tr>
    </w:tbl>
    <w:p/>
    <w:p>
      <w:pPr>
        <w:ind w:firstLine="288"/>
        <w:jc w:val="both"/>
      </w:pPr>
      <w:r>
        <w:rPr>
          <w:sz w:val="20"/>
        </w:rPr>
        <w:t>Memory usage peaks during Random Forest inference at approximately 1.8 GB, comprising 1.2 GB for the three primary terrain arrays and approximately 600 MB for the scikit-learn forest model and temporary inference buffers. This peak is within the 16 GB workstation specification with ample headroom for the operating system and browser. On systems with 8 GB RAM, the working resolution may need to be reduced to 120 m/pixel (approximately 300 MB peak), which remains sufficient for regional mission planning at scales above 5 km.</w:t>
      </w:r>
    </w:p>
    <w:p>
      <w:pPr>
        <w:spacing w:before="160" w:after="80"/>
        <w:jc w:val="left"/>
      </w:pPr>
      <w:r>
        <w:rPr>
          <w:b/>
          <w:sz w:val="20"/>
        </w:rPr>
        <w:t>VI. DISCUSSION</w:t>
      </w:r>
    </w:p>
    <w:p>
      <w:pPr>
        <w:spacing w:before="80" w:after="40"/>
      </w:pPr>
      <w:r>
        <w:rPr>
          <w:b/>
          <w:i/>
          <w:sz w:val="20"/>
        </w:rPr>
        <w:t>A. Key Findings</w:t>
      </w:r>
    </w:p>
    <w:p>
      <w:pPr>
        <w:ind w:firstLine="288"/>
        <w:jc w:val="both"/>
      </w:pPr>
      <w:r>
        <w:rPr>
          <w:sz w:val="20"/>
        </w:rPr>
        <w:t>The validation results demonstrate that a fully automated, data-driven pipeline can reproduce the qualitative expert consensus on lunar south pole landing site suitability with high fidelity. Shackleton Ridge's identification as the top water-ice mission site, Faustini Crater's correct rejection as a landing site with preserved science-value signal, and the nuanced mission-profile dependence of scores for Haworth Edge and Nobile Rim all align with the published Artemis III site characterisation literature [18].</w:t>
      </w:r>
    </w:p>
    <w:p>
      <w:pPr>
        <w:ind w:firstLine="288"/>
        <w:jc w:val="both"/>
      </w:pPr>
      <w:r>
        <w:rPr>
          <w:sz w:val="20"/>
        </w:rPr>
        <w:t>The auto-labelling approach for Random Forest training—using the scoring pipeline's output as ground truth—is both a strength and a source of circularity. Its strength is that it enables large-scale labelled dataset generation without expert annotation, making the system immediately applicable to any LOLA-compatible DEM product. The circularity risk is that classification errors in the scorer propagate directly into the training labels. However, the high validation accuracy (99.17%) suggests that the scorer's thresholds produce consistent, well-separated class boundaries in feature space, and any labelling noise is small relative to the 50,000-sample training volume.</w:t>
      </w:r>
    </w:p>
    <w:p>
      <w:pPr>
        <w:spacing w:before="80" w:after="40"/>
      </w:pPr>
      <w:r>
        <w:rPr>
          <w:b/>
          <w:i/>
          <w:sz w:val="20"/>
        </w:rPr>
        <w:t>B. Design Decision Analysis</w:t>
      </w:r>
    </w:p>
    <w:p>
      <w:pPr>
        <w:ind w:firstLine="288"/>
        <w:jc w:val="both"/>
      </w:pPr>
      <w:r>
        <w:rPr>
          <w:sz w:val="20"/>
        </w:rPr>
        <w:t>Several key architectural choices warrant retrospective examination. The selection of Random Forest over deep neural networks was driven by three factors: training time (Random Forest on 50k samples trains in under 60 seconds vs. potentially hours for a comparable neural model), interpretability (feature importance scores directly identify which terrain metrics drive classification), and generalisation on tabular features with moderate sample counts (where tree ensembles typically match or exceed neural performance [19]). The 99.17% validation accuracy confirms this choice was well-suited to the task.</w:t>
      </w:r>
    </w:p>
    <w:p>
      <w:pPr>
        <w:ind w:firstLine="288"/>
        <w:jc w:val="both"/>
      </w:pPr>
      <w:r>
        <w:rPr>
          <w:sz w:val="20"/>
        </w:rPr>
        <w:t>The choice of DBSCAN over K-means for anomaly detection is justified by the unknown and variable number of geologically interesting terrain features in any given analysis region, and by DBSCAN's native ability to label low-density outlier pixels as noise rather than forcing them into a cluster. K-means would require pre-specifying cluster count and would assign every pixel to a cluster, conflating widespread terrain types with genuine anomalies.</w:t>
      </w:r>
    </w:p>
    <w:p>
      <w:pPr>
        <w:ind w:firstLine="288"/>
        <w:jc w:val="both"/>
      </w:pPr>
      <w:r>
        <w:rPr>
          <w:sz w:val="20"/>
        </w:rPr>
        <w:t>The 60 m/pixel working resolution represents a deliberate engineering compromise. At 20 m/pixel (native DEM resolution), the full grid requires approximately 7 GB of RAM, making interactive use impractical on commodity hardware. At 60 m/pixel, the grid fits in 1.2 GB with all derived arrays, enabling responsive interactive analysis. The 60 m resolution remains sufficient for identifying terrain features at the scale of rover navigation (10–100 m), though fine-scale boulder fields and micro-topography below 60 m are not resolved.</w:t>
      </w:r>
    </w:p>
    <w:p>
      <w:pPr>
        <w:spacing w:before="80" w:after="40"/>
      </w:pPr>
      <w:r>
        <w:rPr>
          <w:b/>
          <w:i/>
          <w:sz w:val="20"/>
        </w:rPr>
        <w:t>C. Limitations</w:t>
      </w:r>
    </w:p>
    <w:p>
      <w:pPr>
        <w:ind w:firstLine="288"/>
        <w:jc w:val="both"/>
      </w:pPr>
      <w:r>
        <w:rPr>
          <w:sz w:val="20"/>
        </w:rPr>
        <w:t>Several limitations of the current system merit explicit acknowledgement. First, the LOLA DEM provides topographic data only; the system does not incorporate thermal, spectral, or radar datasets (e.g., Mini-RF SAR data for ice detection, Diviner thermal mapping for PSR temperature profiles). Integration of these data products would substantially improve the scientific fidelity of the water-ice mission profile scoring.</w:t>
      </w:r>
    </w:p>
    <w:p>
      <w:pPr>
        <w:ind w:firstLine="288"/>
        <w:jc w:val="both"/>
      </w:pPr>
      <w:r>
        <w:rPr>
          <w:sz w:val="20"/>
        </w:rPr>
        <w:t>Second, the illumination model used in energy_model.py is a simplified selenographic approximation that does not account for local horizon shadowing—a critical factor in the south polar region where illumination is dominated by terrain rather than solar elevation angle. A horizon-integrated illumination model using the actual DEM would provide substantially more accurate energy budgets.</w:t>
      </w:r>
    </w:p>
    <w:p>
      <w:pPr>
        <w:ind w:firstLine="288"/>
        <w:jc w:val="both"/>
      </w:pPr>
      <w:r>
        <w:rPr>
          <w:sz w:val="20"/>
        </w:rPr>
        <w:t>Third, the mission advisory report is generated by a rule-based template system rather than a trained language model. While this ensures factual accuracy and predictable output structure, it limits the system's ability to synthesise cross-module interactions (e.g., noting that a high-science-value anomaly cluster lies along the energy-optimal path) in natural, contextually rich language.</w:t>
      </w:r>
    </w:p>
    <w:p>
      <w:pPr>
        <w:ind w:firstLine="288"/>
        <w:jc w:val="both"/>
      </w:pPr>
      <w:r>
        <w:rPr>
          <w:sz w:val="20"/>
        </w:rPr>
        <w:t>Fourth, the current A* implementation does not support dynamic replanning in response to discovered hazards during traverse execution. The path is computed offline from the full DEM before the mission begins. While this is appropriate for pre-mission planning, a deployed rover system would require onboard replanning capability as it encounters terrain that differs from the DEM prediction—particularly relevant for boulders and fine-scale features below the 60 m resolution limit. Integration with algorithms such as D* Lite or Anytime Repairing A* would be necessary for autonomous onboard navigation.</w:t>
      </w:r>
    </w:p>
    <w:p>
      <w:pPr>
        <w:ind w:firstLine="288"/>
        <w:jc w:val="both"/>
      </w:pPr>
      <w:r>
        <w:rPr>
          <w:sz w:val="20"/>
        </w:rPr>
        <w:t>Fifth, the training data auto-labelling scheme introduces a circularity that, while practically effective, limits the theoretical independence of the classifier from the scorer. If the scoring thresholds in landing_scorer.py are miscalibrated, the misclassification propagates into the Random Forest labels without any external correction signal. Future work should validate the labelling scheme against independently produced expert annotations for a sample of the south polar terrain to quantify this potential bias.</w:t>
      </w:r>
    </w:p>
    <w:p>
      <w:pPr>
        <w:spacing w:before="80" w:after="40"/>
      </w:pPr>
      <w:r>
        <w:rPr>
          <w:b/>
          <w:i/>
          <w:sz w:val="20"/>
        </w:rPr>
        <w:t>D. Future Work</w:t>
      </w:r>
    </w:p>
    <w:p>
      <w:pPr>
        <w:ind w:firstLine="288"/>
        <w:jc w:val="both"/>
      </w:pPr>
      <w:r>
        <w:rPr>
          <w:sz w:val="20"/>
        </w:rPr>
        <w:t>Several extensions are planned or recommended. Integration of the Mini-RF circular polarisation ratio (CPR) data product as an additional scoring feature for water-ice likelihood would directly improve water-ice mission profile fidelity. Replacing the simplified illumination model with a horizon-integrated model computed from the LOLA DEM would improve energy estimation accuracy. Extension of the anomaly detector to multi-modal feature spaces combining elevation, thermal, and radar data would enable more geologically specific science-target classification. Finally, replacing the rule-based mission advisor with a retrieval-augmented language model conditioned on mission parameter values and analysis outputs would improve report naturalness and scientific nuance.</w:t>
      </w:r>
    </w:p>
    <w:p>
      <w:pPr>
        <w:ind w:firstLine="288"/>
        <w:jc w:val="both"/>
      </w:pPr>
      <w:r>
        <w:rPr>
          <w:sz w:val="20"/>
        </w:rPr>
        <w:t>On the machine learning side, the Random Forest model could be augmented by incorporating spatial context via graph convolutional layers over a terrain patch graph, potentially capturing long-range terrain dependencies not encoded in the eight point-wise features. The auto-labelling scheme could be extended with active learning: after initial training, the model identifies its own highest-uncertainty predictions for targeted expert review, progressively reducing labelling error without requiring full manual annotation of the dataset.</w:t>
      </w:r>
    </w:p>
    <w:p>
      <w:pPr>
        <w:ind w:firstLine="288"/>
        <w:jc w:val="both"/>
      </w:pPr>
      <w:r>
        <w:rPr>
          <w:sz w:val="20"/>
        </w:rPr>
        <w:t>From a systems perspective, a multi-rover extension is a natural next step. The current pathfinder plans a single traverse; a multi-rover planner would partition the analysis region into complementary coverage zones, optimise rover-to-rover relay communication links, and schedule traverses to maximise science return per unit energy across the fleet. The modular architecture of Anveshak—where terrain arrays are a shared substrate consumed by independent modules—is well-suited to this extension: the path planning module could be replaced by a multi-agent optimisation layer without modifying any upstream module.</w:t>
      </w:r>
    </w:p>
    <w:p>
      <w:pPr>
        <w:spacing w:before="160" w:after="80"/>
        <w:jc w:val="left"/>
      </w:pPr>
      <w:r>
        <w:rPr>
          <w:b/>
          <w:sz w:val="20"/>
        </w:rPr>
        <w:t>VII. CONCLUSION</w:t>
      </w:r>
    </w:p>
    <w:p>
      <w:pPr>
        <w:ind w:firstLine="288"/>
        <w:jc w:val="both"/>
      </w:pPr>
      <w:r>
        <w:rPr>
          <w:sz w:val="20"/>
        </w:rPr>
        <w:t>This paper presented Anveshak, an integrated web-based mission planning system for lunar south pole rover operations. The system ingests real NASA LRO LOLA DEM data covering 80–90°S at 20 m/pixel native resolution, computes operational terrain metrics over a 10,133 × 10,133 pixel grid, and provides end-to-end mission analysis through seven specialised modules: terrain ingestion, multi-criteria landing-site scoring, A* traverse path planning, Random Forest terrain classification, DBSCAN anomaly detection, physics-based energy modelling, and rule-based mission advisory report generation.</w:t>
      </w:r>
    </w:p>
    <w:p>
      <w:pPr>
        <w:ind w:firstLine="288"/>
        <w:jc w:val="both"/>
      </w:pPr>
      <w:r>
        <w:rPr>
          <w:sz w:val="20"/>
        </w:rPr>
        <w:t>The Random Forest terrain classifier achieves 99.17% validation accuracy on 10,000 held-out samples, trained entirely from automatically generated labels without manual annotation. Validation against four NASA Artemis III candidate sites demonstrates strong qualitative agreement with published expert assessments: Shackleton Ridge is correctly identified as the highest-priority safe landing site for water-ice missions (S_final = 0.603), Faustini Crater is correctly rejected as a landing site due to hazardous slopes while its high science value is preserved (S_mission = 0.643), and the system's systematic divergence from Chandrayaan-3's landing site is correctly attributed to coverage scope rather than analytical error.</w:t>
      </w:r>
    </w:p>
    <w:p>
      <w:pPr>
        <w:ind w:firstLine="288"/>
        <w:jc w:val="both"/>
      </w:pPr>
      <w:r>
        <w:rPr>
          <w:sz w:val="20"/>
        </w:rPr>
        <w:t>Anveshak demonstrates that a fully open, automated, data-driven pipeline can reproduce expert-quality lunar south pole mission analysis at interactive latencies on commodity hardware. The system provides a reproducible, extensible baseline for future work integrating multi-modal data products, physics-accurate illumination modelling, and language model-based mission reporting. The complete source code and documentation are available at [repository URL].</w:t>
      </w:r>
    </w:p>
    <w:p>
      <w:pPr>
        <w:spacing w:before="160" w:after="80"/>
        <w:jc w:val="left"/>
      </w:pPr>
      <w:r>
        <w:rPr>
          <w:b/>
          <w:sz w:val="20"/>
        </w:rPr>
        <w:t>ACKNOWLEDGEMENTS</w:t>
      </w:r>
    </w:p>
    <w:p>
      <w:pPr>
        <w:ind w:firstLine="288"/>
        <w:jc w:val="both"/>
      </w:pPr>
      <w:r>
        <w:rPr>
          <w:sz w:val="20"/>
        </w:rPr>
        <w:t>[Author names] thank [Supervisor Name] for guidance throughout this project. LOLA DEM data products are courtesy of the NASA LRO LOLA science team and the Planetary Data System Geosciences Node. This work was conducted as part of the [University Name] BTech major project programme.</w:t>
      </w:r>
    </w:p>
    <w:p>
      <w:pPr>
        <w:spacing w:before="160" w:after="80"/>
        <w:jc w:val="left"/>
      </w:pPr>
      <w:r>
        <w:rPr>
          <w:b/>
          <w:sz w:val="20"/>
        </w:rPr>
        <w:t>REFERENCES</w:t>
      </w:r>
    </w:p>
    <w:p>
      <w:pPr>
        <w:ind w:left="360" w:hanging="360"/>
      </w:pPr>
      <w:r>
        <w:rPr>
          <w:sz w:val="18"/>
        </w:rPr>
        <w:t>[1] A. Colaprete et al., "Detection of Water in the LCROSS Ejecta Plume," Science, vol. 330, no. 6003, pp. 463–468, 2010.</w:t>
      </w:r>
    </w:p>
    <w:p>
      <w:pPr>
        <w:ind w:left="360" w:hanging="360"/>
      </w:pPr>
      <w:r>
        <w:rPr>
          <w:sz w:val="18"/>
        </w:rPr>
        <w:t>[2] A. Silburt et al., "Lunar Crater Identification via Deep Learning," Icarus, vol. 317, pp. 27–38, 2019.</w:t>
      </w:r>
    </w:p>
    <w:p>
      <w:pPr>
        <w:ind w:left="360" w:hanging="360"/>
      </w:pPr>
      <w:r>
        <w:rPr>
          <w:sz w:val="18"/>
        </w:rPr>
        <w:t>[3] S. Bue and T. Stepinski, "Machine Classification of Geomorphic Units from Digital Elevation Models," Geomorphology, vol. 91, pp. 109–121, 2007.</w:t>
      </w:r>
    </w:p>
    <w:p>
      <w:pPr>
        <w:ind w:left="360" w:hanging="360"/>
      </w:pPr>
      <w:r>
        <w:rPr>
          <w:sz w:val="18"/>
        </w:rPr>
        <w:t>[4] D. Wettergreen et al., "Science-Enabling Autonomous Navigation for Planetary Rovers," in Proc. 9th Int. Symp. Artificial Intelligence, Robotics and Automation in Space (iSAIRAS), 2008.</w:t>
      </w:r>
    </w:p>
    <w:p>
      <w:pPr>
        <w:ind w:left="360" w:hanging="360"/>
      </w:pPr>
      <w:r>
        <w:rPr>
          <w:sz w:val="18"/>
        </w:rPr>
        <w:t>[5] D. E. Smith et al., "The Lunar Orbiter Laser Altimeter Investigation on the Lunar Reconnaissance Orbiter Mission," Space Sci. Rev., vol. 150, pp. 209–241, 2010.</w:t>
      </w:r>
    </w:p>
    <w:p>
      <w:pPr>
        <w:ind w:left="360" w:hanging="360"/>
      </w:pPr>
      <w:r>
        <w:rPr>
          <w:sz w:val="18"/>
        </w:rPr>
        <w:t>[6] M. T. Zuber et al., "Constraints on the Volatile Distribution Within Shackleton Crater at the Lunar South Pole," Nature, vol. 486, pp. 378–381, 2012.</w:t>
      </w:r>
    </w:p>
    <w:p>
      <w:pPr>
        <w:ind w:left="360" w:hanging="360"/>
      </w:pPr>
      <w:r>
        <w:rPr>
          <w:sz w:val="18"/>
        </w:rPr>
        <w:t>[7] A. N. Deutsch et al., "Massive Ice Deposits in the Lunar Polar Regions," Geophys. Res. Lett., vol. 47, e2020GL087858, 2020.</w:t>
      </w:r>
    </w:p>
    <w:p>
      <w:pPr>
        <w:ind w:left="360" w:hanging="360"/>
      </w:pPr>
      <w:r>
        <w:rPr>
          <w:sz w:val="18"/>
        </w:rPr>
        <w:t>[8] M. P. Golombek et al., "Selection of the Mars Exploration Rover Landing Sites," J. Geophys. Res. Planets, vol. 108, no. E12, 2003.</w:t>
      </w:r>
    </w:p>
    <w:p>
      <w:pPr>
        <w:ind w:left="360" w:hanging="360"/>
      </w:pPr>
      <w:r>
        <w:rPr>
          <w:sz w:val="18"/>
        </w:rPr>
        <w:t>[9] J. Flahaut et al., "Regions of Interest (ROI) for Future Human Lunar Landing Sites," Planet. Space Sci., vol. 180, 104750, 2020.</w:t>
      </w:r>
    </w:p>
    <w:p>
      <w:pPr>
        <w:ind w:left="360" w:hanging="360"/>
      </w:pPr>
      <w:r>
        <w:rPr>
          <w:sz w:val="18"/>
        </w:rPr>
        <w:t>[10] K. Wagstaff et al., "Mars Novelty Detection with Multivariate Analysis," in Proc. AAAI Workshop, 2008.</w:t>
      </w:r>
    </w:p>
    <w:p>
      <w:pPr>
        <w:ind w:left="360" w:hanging="360"/>
      </w:pPr>
      <w:r>
        <w:rPr>
          <w:sz w:val="18"/>
        </w:rPr>
        <w:t>[11] L. F. Palafox et al., "Automated Detection of Geological Landforms on Mars Using CNNs," Comput. Geosci., vol. 101, pp. 48–56, 2017.</w:t>
      </w:r>
    </w:p>
    <w:p>
      <w:pPr>
        <w:ind w:left="360" w:hanging="360"/>
      </w:pPr>
      <w:r>
        <w:rPr>
          <w:sz w:val="18"/>
        </w:rPr>
        <w:t>[12] M. Ono et al., "MAARS: Machine Learning-Based Autonomous Rover Science on Mars," in Proc. IEEE Aerospace Conf., 2016.</w:t>
      </w:r>
    </w:p>
    <w:p>
      <w:pPr>
        <w:ind w:left="360" w:hanging="360"/>
      </w:pPr>
      <w:r>
        <w:rPr>
          <w:sz w:val="18"/>
        </w:rPr>
        <w:t>[13] A. Stentz, "Optimal and Efficient Path Planning for Partially Known Environments," in Proc. ICRA, 1994.</w:t>
      </w:r>
    </w:p>
    <w:p>
      <w:pPr>
        <w:ind w:left="360" w:hanging="360"/>
      </w:pPr>
      <w:r>
        <w:rPr>
          <w:sz w:val="18"/>
        </w:rPr>
        <w:t>[14] D. Ferguson and A. Stentz, "Field D*: An Interpolation-Based Path Planner and Replanner," in Proc. ISRR, 2005.</w:t>
      </w:r>
    </w:p>
    <w:p>
      <w:pPr>
        <w:ind w:left="360" w:hanging="360"/>
      </w:pPr>
      <w:r>
        <w:rPr>
          <w:sz w:val="18"/>
        </w:rPr>
        <w:t>[15] M. Ester et al., "A Density-Based Algorithm for Discovering Clusters in Large Spatial Databases with Noise," in Proc. KDD, pp. 226–231, 1996.</w:t>
      </w:r>
    </w:p>
    <w:p>
      <w:pPr>
        <w:ind w:left="360" w:hanging="360"/>
      </w:pPr>
      <w:r>
        <w:rPr>
          <w:sz w:val="18"/>
        </w:rPr>
        <w:t>[16] H. Kerner et al., "Novelty Detection for Multispectral Images with Application to Planetary Exploration," in Proc. AAAI, 2019.</w:t>
      </w:r>
    </w:p>
    <w:p>
      <w:pPr>
        <w:ind w:left="360" w:hanging="360"/>
      </w:pPr>
      <w:r>
        <w:rPr>
          <w:sz w:val="18"/>
        </w:rPr>
        <w:t>[17] S. Chien et al., "OASIS: Automated Mission Planning for the EO-1 Spacecraft," IEEE Intell. Syst., vol. 20, no. 1, pp. 11–17, 2005.</w:t>
      </w:r>
    </w:p>
    <w:p>
      <w:pPr>
        <w:ind w:left="360" w:hanging="360"/>
      </w:pPr>
      <w:r>
        <w:rPr>
          <w:sz w:val="18"/>
        </w:rPr>
        <w:t>[18] B. B. Lemelin et al., "High-Priority Lunar Landing Sites for In Situ and Sample Return Studies of Polar Volatiles," Planet. Space Sci., vol. 101, pp. 149–161, 2014.</w:t>
      </w:r>
    </w:p>
    <w:p>
      <w:pPr>
        <w:ind w:left="360" w:hanging="360"/>
      </w:pPr>
      <w:r>
        <w:rPr>
          <w:sz w:val="18"/>
        </w:rPr>
        <w:t>[19] C. Shwartz-Ziv and A. Armon, "Tabular Data: Deep Learning is Not All You Need," Information Fusion, vol. 81, pp. 84–90, 2022.</w:t>
      </w:r>
    </w:p>
    <w:p>
      <w:pPr>
        <w:ind w:left="360" w:hanging="360"/>
      </w:pPr>
      <w:r>
        <w:rPr>
          <w:sz w:val="18"/>
        </w:rPr>
        <w:t>[20] F. Pedregosa et al., "Scikit-learn: Machine Learning in Python," J. Mach. Learn. Res., vol. 12, pp. 2825–2830, 2011.</w:t>
      </w:r>
    </w:p>
    <w:sectPr w:rsidR="00FC693F" w:rsidRPr="0006063C" w:rsidSect="00034616">
      <w:pgSz w:w="12240" w:h="15840"/>
      <w:pgMar w:top="1440" w:right="1009" w:bottom="1440" w:left="10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