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867CEF" w14:textId="7AB85620" w:rsidR="00E56A70" w:rsidRDefault="003C0E31" w:rsidP="00342FD6">
      <w:pPr>
        <w:jc w:val="center"/>
        <w:rPr>
          <w:rFonts w:ascii="Arial Rounded MT Bold" w:hAnsi="Arial Rounded MT Bold"/>
          <w:b/>
          <w:bCs/>
          <w:sz w:val="48"/>
          <w:szCs w:val="48"/>
        </w:rPr>
      </w:pPr>
      <w:r>
        <w:rPr>
          <w:rFonts w:ascii="Arial Rounded MT Bold" w:hAnsi="Arial Rounded MT Bold"/>
          <w:b/>
          <w:bCs/>
          <w:sz w:val="48"/>
          <w:szCs w:val="48"/>
          <w:highlight w:val="yellow"/>
        </w:rPr>
        <w:t>Data Analysis &amp; Visualization</w:t>
      </w:r>
      <w:r w:rsidR="00342FD6" w:rsidRPr="00342FD6">
        <w:rPr>
          <w:rFonts w:ascii="Arial Rounded MT Bold" w:hAnsi="Arial Rounded MT Bold"/>
          <w:b/>
          <w:bCs/>
          <w:sz w:val="48"/>
          <w:szCs w:val="48"/>
          <w:highlight w:val="yellow"/>
        </w:rPr>
        <w:t xml:space="preserve"> on LFPR, WPR &amp; UR (</w:t>
      </w:r>
      <w:proofErr w:type="spellStart"/>
      <w:r w:rsidR="00342FD6" w:rsidRPr="00342FD6">
        <w:rPr>
          <w:rFonts w:ascii="Arial Rounded MT Bold" w:hAnsi="Arial Rounded MT Bold"/>
          <w:b/>
          <w:bCs/>
          <w:sz w:val="48"/>
          <w:szCs w:val="48"/>
          <w:highlight w:val="yellow"/>
        </w:rPr>
        <w:t>ps</w:t>
      </w:r>
      <w:proofErr w:type="spellEnd"/>
      <w:r w:rsidR="00342FD6">
        <w:rPr>
          <w:rFonts w:ascii="Arial Rounded MT Bold" w:hAnsi="Arial Rounded MT Bold"/>
          <w:b/>
          <w:bCs/>
          <w:sz w:val="48"/>
          <w:szCs w:val="48"/>
          <w:highlight w:val="yellow"/>
        </w:rPr>
        <w:t xml:space="preserve"> </w:t>
      </w:r>
      <w:r w:rsidR="00342FD6" w:rsidRPr="00342FD6">
        <w:rPr>
          <w:rFonts w:ascii="Arial Rounded MT Bold" w:hAnsi="Arial Rounded MT Bold"/>
          <w:b/>
          <w:bCs/>
          <w:sz w:val="48"/>
          <w:szCs w:val="48"/>
          <w:highlight w:val="yellow"/>
        </w:rPr>
        <w:t>+</w:t>
      </w:r>
      <w:r w:rsidR="00342FD6">
        <w:rPr>
          <w:rFonts w:ascii="Arial Rounded MT Bold" w:hAnsi="Arial Rounded MT Bold"/>
          <w:b/>
          <w:bCs/>
          <w:sz w:val="48"/>
          <w:szCs w:val="48"/>
          <w:highlight w:val="yellow"/>
        </w:rPr>
        <w:t xml:space="preserve"> </w:t>
      </w:r>
      <w:r w:rsidR="00342FD6" w:rsidRPr="00342FD6">
        <w:rPr>
          <w:rFonts w:ascii="Arial Rounded MT Bold" w:hAnsi="Arial Rounded MT Bold"/>
          <w:b/>
          <w:bCs/>
          <w:sz w:val="48"/>
          <w:szCs w:val="48"/>
          <w:highlight w:val="yellow"/>
        </w:rPr>
        <w:t>ss)</w:t>
      </w:r>
    </w:p>
    <w:p w14:paraId="2C463DBB" w14:textId="77777777" w:rsidR="00342FD6" w:rsidRPr="00342FD6" w:rsidRDefault="00342FD6" w:rsidP="00342FD6">
      <w:pPr>
        <w:rPr>
          <w:rFonts w:ascii="Arial" w:hAnsi="Arial" w:cs="Arial"/>
          <w:b/>
          <w:bCs/>
          <w:sz w:val="24"/>
          <w:szCs w:val="24"/>
        </w:rPr>
      </w:pPr>
      <w:r w:rsidRPr="00342FD6">
        <w:rPr>
          <w:rFonts w:ascii="Arial" w:hAnsi="Arial" w:cs="Arial"/>
          <w:b/>
          <w:bCs/>
          <w:sz w:val="24"/>
          <w:szCs w:val="24"/>
        </w:rPr>
        <w:t>In PLFS terminology,</w:t>
      </w:r>
    </w:p>
    <w:p w14:paraId="1DBAEA94" w14:textId="77777777" w:rsidR="00342FD6" w:rsidRPr="00342FD6" w:rsidRDefault="00342FD6" w:rsidP="00342FD6">
      <w:pPr>
        <w:numPr>
          <w:ilvl w:val="0"/>
          <w:numId w:val="1"/>
        </w:numPr>
        <w:rPr>
          <w:rFonts w:ascii="Arial" w:hAnsi="Arial" w:cs="Arial"/>
          <w:b/>
          <w:bCs/>
          <w:sz w:val="24"/>
          <w:szCs w:val="24"/>
        </w:rPr>
      </w:pPr>
      <w:r w:rsidRPr="00342FD6">
        <w:rPr>
          <w:rFonts w:ascii="Arial" w:hAnsi="Arial" w:cs="Arial"/>
          <w:b/>
          <w:bCs/>
          <w:sz w:val="24"/>
          <w:szCs w:val="24"/>
        </w:rPr>
        <w:t>PS+SS refers to the Principal Status + Subsidiary Status approach. It measures:</w:t>
      </w:r>
    </w:p>
    <w:p w14:paraId="26C5F9B9" w14:textId="77777777" w:rsidR="00342FD6" w:rsidRPr="00342FD6" w:rsidRDefault="00342FD6" w:rsidP="00342FD6">
      <w:pPr>
        <w:numPr>
          <w:ilvl w:val="1"/>
          <w:numId w:val="1"/>
        </w:numPr>
        <w:rPr>
          <w:rFonts w:ascii="Arial" w:hAnsi="Arial" w:cs="Arial"/>
          <w:b/>
          <w:bCs/>
          <w:sz w:val="24"/>
          <w:szCs w:val="24"/>
        </w:rPr>
      </w:pPr>
      <w:r w:rsidRPr="00342FD6">
        <w:rPr>
          <w:rFonts w:ascii="Arial" w:hAnsi="Arial" w:cs="Arial"/>
          <w:b/>
          <w:bCs/>
          <w:sz w:val="24"/>
          <w:szCs w:val="24"/>
        </w:rPr>
        <w:t>Principal Status (PS): The person’s main activity during the majority of the year (6 months or more).</w:t>
      </w:r>
    </w:p>
    <w:p w14:paraId="1409EC67" w14:textId="77777777" w:rsidR="00342FD6" w:rsidRPr="00342FD6" w:rsidRDefault="00342FD6" w:rsidP="00342FD6">
      <w:pPr>
        <w:numPr>
          <w:ilvl w:val="1"/>
          <w:numId w:val="1"/>
        </w:numPr>
        <w:rPr>
          <w:rFonts w:ascii="Arial" w:hAnsi="Arial" w:cs="Arial"/>
          <w:b/>
          <w:bCs/>
          <w:sz w:val="24"/>
          <w:szCs w:val="24"/>
        </w:rPr>
      </w:pPr>
      <w:r w:rsidRPr="00342FD6">
        <w:rPr>
          <w:rFonts w:ascii="Arial" w:hAnsi="Arial" w:cs="Arial"/>
          <w:b/>
          <w:bCs/>
          <w:sz w:val="24"/>
          <w:szCs w:val="24"/>
        </w:rPr>
        <w:t>Subsidiary Status (SS): Additional activities the person is engaged in for less than 6 months.</w:t>
      </w:r>
    </w:p>
    <w:p w14:paraId="5BBED5C0" w14:textId="77777777" w:rsidR="00342FD6" w:rsidRPr="00342FD6" w:rsidRDefault="00342FD6" w:rsidP="00342FD6">
      <w:pPr>
        <w:numPr>
          <w:ilvl w:val="0"/>
          <w:numId w:val="1"/>
        </w:numPr>
        <w:rPr>
          <w:rFonts w:ascii="Arial" w:hAnsi="Arial" w:cs="Arial"/>
          <w:b/>
          <w:bCs/>
          <w:sz w:val="24"/>
          <w:szCs w:val="24"/>
        </w:rPr>
      </w:pPr>
      <w:r w:rsidRPr="00342FD6">
        <w:rPr>
          <w:rFonts w:ascii="Arial" w:hAnsi="Arial" w:cs="Arial"/>
          <w:b/>
          <w:bCs/>
          <w:sz w:val="24"/>
          <w:szCs w:val="24"/>
        </w:rPr>
        <w:t>Thus, PS+SS offers a comprehensive picture of employment, considering both primary and supplementary activities.</w:t>
      </w:r>
    </w:p>
    <w:p w14:paraId="6BF9E51A" w14:textId="77777777" w:rsidR="00342FD6" w:rsidRPr="00342FD6" w:rsidRDefault="00342FD6" w:rsidP="00342FD6">
      <w:pPr>
        <w:rPr>
          <w:rFonts w:ascii="Arial" w:hAnsi="Arial" w:cs="Arial"/>
          <w:b/>
          <w:bCs/>
          <w:sz w:val="24"/>
          <w:szCs w:val="24"/>
        </w:rPr>
      </w:pPr>
      <w:r w:rsidRPr="00342FD6">
        <w:rPr>
          <w:rFonts w:ascii="Arial" w:hAnsi="Arial" w:cs="Arial"/>
          <w:b/>
          <w:bCs/>
          <w:sz w:val="24"/>
          <w:szCs w:val="24"/>
        </w:rPr>
        <w:t>A) Labour Force Participation Rate (LFPR)</w:t>
      </w:r>
    </w:p>
    <w:p w14:paraId="6CD700D7" w14:textId="77777777" w:rsidR="00342FD6" w:rsidRPr="00342FD6" w:rsidRDefault="00342FD6" w:rsidP="00342FD6">
      <w:pPr>
        <w:numPr>
          <w:ilvl w:val="0"/>
          <w:numId w:val="2"/>
        </w:numPr>
        <w:rPr>
          <w:rFonts w:ascii="Arial" w:hAnsi="Arial" w:cs="Arial"/>
          <w:b/>
          <w:bCs/>
          <w:sz w:val="24"/>
          <w:szCs w:val="24"/>
        </w:rPr>
      </w:pPr>
      <w:r w:rsidRPr="00342FD6">
        <w:rPr>
          <w:rFonts w:ascii="Arial" w:hAnsi="Arial" w:cs="Arial"/>
          <w:b/>
          <w:bCs/>
          <w:sz w:val="24"/>
          <w:szCs w:val="24"/>
        </w:rPr>
        <w:t>LFPR refers to the percentage of the working-age population (15 years and above) that is either employed or actively looking for work.</w:t>
      </w:r>
    </w:p>
    <w:p w14:paraId="0F48359D" w14:textId="77777777" w:rsidR="00342FD6" w:rsidRPr="00342FD6" w:rsidRDefault="00342FD6" w:rsidP="00342FD6">
      <w:pPr>
        <w:numPr>
          <w:ilvl w:val="0"/>
          <w:numId w:val="2"/>
        </w:numPr>
        <w:rPr>
          <w:rFonts w:ascii="Arial" w:hAnsi="Arial" w:cs="Arial"/>
          <w:b/>
          <w:bCs/>
          <w:sz w:val="24"/>
          <w:szCs w:val="24"/>
        </w:rPr>
      </w:pPr>
      <w:r w:rsidRPr="00342FD6">
        <w:rPr>
          <w:rFonts w:ascii="Arial" w:hAnsi="Arial" w:cs="Arial"/>
          <w:b/>
          <w:bCs/>
          <w:sz w:val="24"/>
          <w:szCs w:val="24"/>
        </w:rPr>
        <w:t>It shows how many people are willing and available to work.</w:t>
      </w:r>
    </w:p>
    <w:p w14:paraId="603D851A" w14:textId="3722E5E9" w:rsidR="00342FD6" w:rsidRPr="00342FD6" w:rsidRDefault="00342FD6" w:rsidP="00342FD6">
      <w:pPr>
        <w:numPr>
          <w:ilvl w:val="0"/>
          <w:numId w:val="2"/>
        </w:numPr>
        <w:rPr>
          <w:rFonts w:ascii="Arial" w:hAnsi="Arial" w:cs="Arial"/>
          <w:b/>
          <w:bCs/>
          <w:sz w:val="24"/>
          <w:szCs w:val="24"/>
        </w:rPr>
      </w:pPr>
      <w:r w:rsidRPr="00342FD6">
        <w:rPr>
          <w:rFonts w:ascii="Arial" w:hAnsi="Arial" w:cs="Arial"/>
          <w:b/>
          <w:bCs/>
          <w:sz w:val="24"/>
          <w:szCs w:val="24"/>
        </w:rPr>
        <w:t>High LFPR → More people participating in the labo</w:t>
      </w:r>
      <w:r>
        <w:rPr>
          <w:rFonts w:ascii="Arial" w:hAnsi="Arial" w:cs="Arial"/>
          <w:b/>
          <w:bCs/>
          <w:sz w:val="24"/>
          <w:szCs w:val="24"/>
        </w:rPr>
        <w:t>u</w:t>
      </w:r>
      <w:r w:rsidRPr="00342FD6">
        <w:rPr>
          <w:rFonts w:ascii="Arial" w:hAnsi="Arial" w:cs="Arial"/>
          <w:b/>
          <w:bCs/>
          <w:sz w:val="24"/>
          <w:szCs w:val="24"/>
        </w:rPr>
        <w:t>r force.</w:t>
      </w:r>
    </w:p>
    <w:p w14:paraId="332811B6" w14:textId="50DADD5B" w:rsidR="00342FD6" w:rsidRPr="00342FD6" w:rsidRDefault="00342FD6" w:rsidP="00342FD6">
      <w:pPr>
        <w:numPr>
          <w:ilvl w:val="0"/>
          <w:numId w:val="2"/>
        </w:numPr>
        <w:rPr>
          <w:rFonts w:ascii="Arial" w:hAnsi="Arial" w:cs="Arial"/>
          <w:b/>
          <w:bCs/>
          <w:sz w:val="24"/>
          <w:szCs w:val="24"/>
        </w:rPr>
      </w:pPr>
      <w:r w:rsidRPr="00342FD6">
        <w:rPr>
          <w:rFonts w:ascii="Arial" w:hAnsi="Arial" w:cs="Arial"/>
          <w:b/>
          <w:bCs/>
          <w:sz w:val="24"/>
          <w:szCs w:val="24"/>
        </w:rPr>
        <w:t>Low LFPR → More people out of the labo</w:t>
      </w:r>
      <w:r>
        <w:rPr>
          <w:rFonts w:ascii="Arial" w:hAnsi="Arial" w:cs="Arial"/>
          <w:b/>
          <w:bCs/>
          <w:sz w:val="24"/>
          <w:szCs w:val="24"/>
        </w:rPr>
        <w:t>u</w:t>
      </w:r>
      <w:r w:rsidRPr="00342FD6">
        <w:rPr>
          <w:rFonts w:ascii="Arial" w:hAnsi="Arial" w:cs="Arial"/>
          <w:b/>
          <w:bCs/>
          <w:sz w:val="24"/>
          <w:szCs w:val="24"/>
        </w:rPr>
        <w:t>r market due to:</w:t>
      </w:r>
    </w:p>
    <w:p w14:paraId="233C2FBC" w14:textId="77777777" w:rsidR="00342FD6" w:rsidRPr="00342FD6" w:rsidRDefault="00342FD6" w:rsidP="00342FD6">
      <w:pPr>
        <w:numPr>
          <w:ilvl w:val="1"/>
          <w:numId w:val="2"/>
        </w:numPr>
        <w:rPr>
          <w:rFonts w:ascii="Arial" w:hAnsi="Arial" w:cs="Arial"/>
          <w:b/>
          <w:bCs/>
          <w:sz w:val="24"/>
          <w:szCs w:val="24"/>
        </w:rPr>
      </w:pPr>
      <w:r w:rsidRPr="00342FD6">
        <w:rPr>
          <w:rFonts w:ascii="Arial" w:hAnsi="Arial" w:cs="Arial"/>
          <w:b/>
          <w:bCs/>
          <w:sz w:val="24"/>
          <w:szCs w:val="24"/>
        </w:rPr>
        <w:t>Lack of opportunities</w:t>
      </w:r>
    </w:p>
    <w:p w14:paraId="5700171D" w14:textId="77777777" w:rsidR="00342FD6" w:rsidRPr="00342FD6" w:rsidRDefault="00342FD6" w:rsidP="00342FD6">
      <w:pPr>
        <w:numPr>
          <w:ilvl w:val="1"/>
          <w:numId w:val="2"/>
        </w:numPr>
        <w:rPr>
          <w:rFonts w:ascii="Arial" w:hAnsi="Arial" w:cs="Arial"/>
          <w:b/>
          <w:bCs/>
          <w:sz w:val="24"/>
          <w:szCs w:val="24"/>
        </w:rPr>
      </w:pPr>
      <w:r w:rsidRPr="00342FD6">
        <w:rPr>
          <w:rFonts w:ascii="Arial" w:hAnsi="Arial" w:cs="Arial"/>
          <w:b/>
          <w:bCs/>
          <w:sz w:val="24"/>
          <w:szCs w:val="24"/>
        </w:rPr>
        <w:t>Education</w:t>
      </w:r>
    </w:p>
    <w:p w14:paraId="2B481712" w14:textId="6384C0A3" w:rsidR="00342FD6" w:rsidRDefault="00342FD6" w:rsidP="00342FD6">
      <w:pPr>
        <w:numPr>
          <w:ilvl w:val="1"/>
          <w:numId w:val="2"/>
        </w:numPr>
        <w:rPr>
          <w:rFonts w:ascii="Arial" w:hAnsi="Arial" w:cs="Arial"/>
          <w:b/>
          <w:bCs/>
          <w:sz w:val="24"/>
          <w:szCs w:val="24"/>
        </w:rPr>
      </w:pPr>
      <w:r w:rsidRPr="00342FD6">
        <w:rPr>
          <w:rFonts w:ascii="Arial" w:hAnsi="Arial" w:cs="Arial"/>
          <w:b/>
          <w:bCs/>
          <w:sz w:val="24"/>
          <w:szCs w:val="24"/>
        </w:rPr>
        <w:t>Domestic responsibilities</w:t>
      </w:r>
    </w:p>
    <w:p w14:paraId="6524357F" w14:textId="2AEF9FCF" w:rsidR="00342FD6" w:rsidRPr="00342FD6" w:rsidRDefault="00342FD6" w:rsidP="00342FD6">
      <w:pPr>
        <w:rPr>
          <w:rFonts w:ascii="Arial" w:hAnsi="Arial" w:cs="Arial"/>
          <w:b/>
          <w:bCs/>
          <w:sz w:val="24"/>
          <w:szCs w:val="24"/>
        </w:rPr>
      </w:pPr>
      <w:r>
        <w:rPr>
          <w:rFonts w:ascii="Arial" w:hAnsi="Arial" w:cs="Arial"/>
          <w:b/>
          <w:bCs/>
          <w:sz w:val="24"/>
          <w:szCs w:val="24"/>
        </w:rPr>
        <w:t>Plot LFPR 1</w:t>
      </w:r>
    </w:p>
    <w:p w14:paraId="149BDB51" w14:textId="3B0177CF" w:rsidR="00342FD6" w:rsidRDefault="00342FD6" w:rsidP="00342FD6">
      <w:pPr>
        <w:rPr>
          <w:rFonts w:ascii="Arial Rounded MT Bold" w:hAnsi="Arial Rounded MT Bold"/>
          <w:b/>
          <w:bCs/>
          <w:sz w:val="24"/>
          <w:szCs w:val="24"/>
        </w:rPr>
      </w:pPr>
      <w:r>
        <w:rPr>
          <w:noProof/>
        </w:rPr>
        <w:drawing>
          <wp:inline distT="0" distB="0" distL="0" distR="0" wp14:anchorId="21209E5D" wp14:editId="6E2A4B0B">
            <wp:extent cx="4876800" cy="2686400"/>
            <wp:effectExtent l="0" t="0" r="0" b="0"/>
            <wp:docPr id="894656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0153" cy="2688247"/>
                    </a:xfrm>
                    <a:prstGeom prst="rect">
                      <a:avLst/>
                    </a:prstGeom>
                    <a:noFill/>
                    <a:ln>
                      <a:noFill/>
                    </a:ln>
                  </pic:spPr>
                </pic:pic>
              </a:graphicData>
            </a:graphic>
          </wp:inline>
        </w:drawing>
      </w:r>
    </w:p>
    <w:p w14:paraId="4FB84925" w14:textId="77777777" w:rsidR="003C0E31" w:rsidRPr="003C0E31" w:rsidRDefault="003C0E31" w:rsidP="003C0E31">
      <w:pPr>
        <w:rPr>
          <w:rFonts w:ascii="Arial" w:hAnsi="Arial" w:cs="Arial"/>
          <w:b/>
          <w:bCs/>
          <w:sz w:val="18"/>
          <w:szCs w:val="18"/>
        </w:rPr>
      </w:pPr>
      <w:r w:rsidRPr="003C0E31">
        <w:rPr>
          <w:rFonts w:ascii="Arial" w:hAnsi="Arial" w:cs="Arial"/>
          <w:b/>
          <w:bCs/>
          <w:sz w:val="18"/>
          <w:szCs w:val="18"/>
        </w:rPr>
        <w:lastRenderedPageBreak/>
        <w:t>Overall increase: LFPR grew from 49.8% in 2017-18 to 60.1% in 2023-24, indicating a consistent improvement.</w:t>
      </w:r>
    </w:p>
    <w:p w14:paraId="6BDAEEC6" w14:textId="77777777" w:rsidR="003C0E31" w:rsidRPr="003C0E31" w:rsidRDefault="003C0E31" w:rsidP="003C0E31">
      <w:pPr>
        <w:rPr>
          <w:rFonts w:ascii="Arial" w:hAnsi="Arial" w:cs="Arial"/>
          <w:b/>
          <w:bCs/>
          <w:sz w:val="18"/>
          <w:szCs w:val="18"/>
        </w:rPr>
      </w:pPr>
      <w:r w:rsidRPr="003C0E31">
        <w:rPr>
          <w:rFonts w:ascii="Arial" w:hAnsi="Arial" w:cs="Arial"/>
          <w:b/>
          <w:bCs/>
          <w:sz w:val="18"/>
          <w:szCs w:val="18"/>
        </w:rPr>
        <w:t>Male dominance: Male participation remains higher, but female participation is rising at a faster rate, closing the gender gap.</w:t>
      </w:r>
    </w:p>
    <w:p w14:paraId="49A746F6" w14:textId="77777777" w:rsidR="003C0E31" w:rsidRDefault="003C0E31" w:rsidP="00342FD6">
      <w:pPr>
        <w:rPr>
          <w:rFonts w:ascii="Arial Rounded MT Bold" w:hAnsi="Arial Rounded MT Bold"/>
          <w:b/>
          <w:bCs/>
          <w:sz w:val="24"/>
          <w:szCs w:val="24"/>
        </w:rPr>
      </w:pPr>
    </w:p>
    <w:p w14:paraId="59B33A39" w14:textId="69056585" w:rsidR="00342FD6" w:rsidRDefault="00342FD6" w:rsidP="00342FD6">
      <w:pPr>
        <w:rPr>
          <w:rFonts w:ascii="Arial Rounded MT Bold" w:hAnsi="Arial Rounded MT Bold"/>
          <w:b/>
          <w:bCs/>
          <w:sz w:val="24"/>
          <w:szCs w:val="24"/>
        </w:rPr>
      </w:pPr>
      <w:r>
        <w:rPr>
          <w:rFonts w:ascii="Arial Rounded MT Bold" w:hAnsi="Arial Rounded MT Bold"/>
          <w:b/>
          <w:bCs/>
          <w:sz w:val="24"/>
          <w:szCs w:val="24"/>
        </w:rPr>
        <w:t>Plot LFPR 2</w:t>
      </w:r>
    </w:p>
    <w:p w14:paraId="28EFB4FE" w14:textId="040CB0A0" w:rsidR="00342FD6" w:rsidRDefault="00342FD6" w:rsidP="00342FD6">
      <w:pPr>
        <w:rPr>
          <w:rFonts w:ascii="Arial Rounded MT Bold" w:hAnsi="Arial Rounded MT Bold"/>
          <w:b/>
          <w:bCs/>
          <w:sz w:val="24"/>
          <w:szCs w:val="24"/>
        </w:rPr>
      </w:pPr>
      <w:r>
        <w:rPr>
          <w:noProof/>
        </w:rPr>
        <w:drawing>
          <wp:inline distT="0" distB="0" distL="0" distR="0" wp14:anchorId="60EDDB5F" wp14:editId="35E08648">
            <wp:extent cx="5731510" cy="3157220"/>
            <wp:effectExtent l="0" t="0" r="2540" b="5080"/>
            <wp:docPr id="13374725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57220"/>
                    </a:xfrm>
                    <a:prstGeom prst="rect">
                      <a:avLst/>
                    </a:prstGeom>
                    <a:noFill/>
                    <a:ln>
                      <a:noFill/>
                    </a:ln>
                  </pic:spPr>
                </pic:pic>
              </a:graphicData>
            </a:graphic>
          </wp:inline>
        </w:drawing>
      </w:r>
    </w:p>
    <w:p w14:paraId="5E50BC4C" w14:textId="5F17F852" w:rsidR="003C0E31" w:rsidRPr="003C0E31" w:rsidRDefault="003C0E31" w:rsidP="00342FD6">
      <w:pPr>
        <w:rPr>
          <w:rFonts w:ascii="Arial" w:hAnsi="Arial" w:cs="Arial"/>
          <w:b/>
          <w:bCs/>
          <w:sz w:val="18"/>
          <w:szCs w:val="18"/>
        </w:rPr>
      </w:pPr>
      <w:r w:rsidRPr="003C0E31">
        <w:rPr>
          <w:rFonts w:ascii="Arial" w:hAnsi="Arial" w:cs="Arial"/>
          <w:b/>
          <w:bCs/>
          <w:sz w:val="18"/>
          <w:szCs w:val="18"/>
        </w:rPr>
        <w:t>Persistent gender gap: Male participation is significantly higher, although female participation has increased from 23.3% (2017-18) to 41.7% (2023-24).</w:t>
      </w:r>
    </w:p>
    <w:p w14:paraId="24FC25B5" w14:textId="6AC3D85D" w:rsidR="00342FD6" w:rsidRDefault="00342FD6" w:rsidP="00342FD6">
      <w:pPr>
        <w:rPr>
          <w:rFonts w:ascii="Arial Rounded MT Bold" w:hAnsi="Arial Rounded MT Bold"/>
          <w:b/>
          <w:bCs/>
          <w:sz w:val="24"/>
          <w:szCs w:val="24"/>
        </w:rPr>
      </w:pPr>
      <w:r>
        <w:rPr>
          <w:rFonts w:ascii="Arial Rounded MT Bold" w:hAnsi="Arial Rounded MT Bold"/>
          <w:b/>
          <w:bCs/>
          <w:sz w:val="24"/>
          <w:szCs w:val="24"/>
        </w:rPr>
        <w:t>Plot LFPR 3</w:t>
      </w:r>
    </w:p>
    <w:p w14:paraId="7E01C303" w14:textId="77777777" w:rsidR="00342FD6" w:rsidRDefault="00342FD6" w:rsidP="00342FD6">
      <w:pPr>
        <w:rPr>
          <w:rFonts w:ascii="Arial Rounded MT Bold" w:hAnsi="Arial Rounded MT Bold"/>
          <w:b/>
          <w:bCs/>
          <w:sz w:val="24"/>
          <w:szCs w:val="24"/>
        </w:rPr>
      </w:pPr>
    </w:p>
    <w:p w14:paraId="298DE3B4" w14:textId="2997E538" w:rsidR="00342FD6" w:rsidRDefault="00342FD6" w:rsidP="00342FD6">
      <w:pPr>
        <w:rPr>
          <w:rFonts w:ascii="Arial Rounded MT Bold" w:hAnsi="Arial Rounded MT Bold"/>
          <w:b/>
          <w:bCs/>
          <w:sz w:val="24"/>
          <w:szCs w:val="24"/>
        </w:rPr>
      </w:pPr>
      <w:r>
        <w:rPr>
          <w:noProof/>
        </w:rPr>
        <w:drawing>
          <wp:inline distT="0" distB="0" distL="0" distR="0" wp14:anchorId="478A811C" wp14:editId="034BF2D4">
            <wp:extent cx="5158154" cy="2197902"/>
            <wp:effectExtent l="0" t="0" r="4445" b="0"/>
            <wp:docPr id="5941613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64604" cy="2200650"/>
                    </a:xfrm>
                    <a:prstGeom prst="rect">
                      <a:avLst/>
                    </a:prstGeom>
                    <a:noFill/>
                    <a:ln>
                      <a:noFill/>
                    </a:ln>
                  </pic:spPr>
                </pic:pic>
              </a:graphicData>
            </a:graphic>
          </wp:inline>
        </w:drawing>
      </w:r>
    </w:p>
    <w:p w14:paraId="650E9DCB" w14:textId="77777777" w:rsidR="003C0E31" w:rsidRPr="003C0E31" w:rsidRDefault="003C0E31" w:rsidP="003C0E31">
      <w:pPr>
        <w:rPr>
          <w:rFonts w:ascii="Arial" w:hAnsi="Arial" w:cs="Arial"/>
          <w:b/>
          <w:bCs/>
          <w:sz w:val="18"/>
          <w:szCs w:val="18"/>
        </w:rPr>
      </w:pPr>
      <w:r w:rsidRPr="003C0E31">
        <w:rPr>
          <w:rFonts w:ascii="Arial" w:hAnsi="Arial" w:cs="Arial"/>
          <w:b/>
          <w:bCs/>
          <w:sz w:val="18"/>
          <w:szCs w:val="18"/>
        </w:rPr>
        <w:t>Rural participation is consistently higher than urban participation, driven by agricultural jobs.</w:t>
      </w:r>
    </w:p>
    <w:p w14:paraId="7CC85FBE" w14:textId="77777777" w:rsidR="003C0E31" w:rsidRPr="003C0E31" w:rsidRDefault="003C0E31" w:rsidP="003C0E31">
      <w:pPr>
        <w:rPr>
          <w:rFonts w:ascii="Arial" w:hAnsi="Arial" w:cs="Arial"/>
          <w:b/>
          <w:bCs/>
          <w:sz w:val="18"/>
          <w:szCs w:val="18"/>
        </w:rPr>
      </w:pPr>
      <w:r w:rsidRPr="003C0E31">
        <w:rPr>
          <w:rFonts w:ascii="Arial" w:hAnsi="Arial" w:cs="Arial"/>
          <w:b/>
          <w:bCs/>
          <w:sz w:val="18"/>
          <w:szCs w:val="18"/>
        </w:rPr>
        <w:t>Urban participation shows a slower but steady increase, indicating rising non-agricultural employment.</w:t>
      </w:r>
    </w:p>
    <w:p w14:paraId="47D47CCD" w14:textId="77777777" w:rsidR="003C0E31" w:rsidRDefault="003C0E31" w:rsidP="00342FD6">
      <w:pPr>
        <w:rPr>
          <w:rFonts w:ascii="Arial Rounded MT Bold" w:hAnsi="Arial Rounded MT Bold"/>
          <w:b/>
          <w:bCs/>
          <w:sz w:val="24"/>
          <w:szCs w:val="24"/>
        </w:rPr>
      </w:pPr>
    </w:p>
    <w:p w14:paraId="6885C681" w14:textId="6CDF267D" w:rsidR="00342FD6" w:rsidRDefault="00342FD6" w:rsidP="00342FD6">
      <w:pPr>
        <w:rPr>
          <w:rFonts w:ascii="Arial Rounded MT Bold" w:hAnsi="Arial Rounded MT Bold"/>
          <w:b/>
          <w:bCs/>
          <w:sz w:val="24"/>
          <w:szCs w:val="24"/>
        </w:rPr>
      </w:pPr>
      <w:r>
        <w:rPr>
          <w:rFonts w:ascii="Arial Rounded MT Bold" w:hAnsi="Arial Rounded MT Bold"/>
          <w:b/>
          <w:bCs/>
          <w:sz w:val="24"/>
          <w:szCs w:val="24"/>
        </w:rPr>
        <w:t xml:space="preserve">Plot LFPR </w:t>
      </w:r>
      <w:r w:rsidR="00FB2777">
        <w:rPr>
          <w:rFonts w:ascii="Arial Rounded MT Bold" w:hAnsi="Arial Rounded MT Bold"/>
          <w:b/>
          <w:bCs/>
          <w:sz w:val="24"/>
          <w:szCs w:val="24"/>
        </w:rPr>
        <w:t>4</w:t>
      </w:r>
    </w:p>
    <w:p w14:paraId="26CD74DC" w14:textId="291852C3" w:rsidR="00342FD6" w:rsidRDefault="00342FD6" w:rsidP="00342FD6">
      <w:pPr>
        <w:rPr>
          <w:rFonts w:ascii="Arial Rounded MT Bold" w:hAnsi="Arial Rounded MT Bold"/>
          <w:b/>
          <w:bCs/>
          <w:sz w:val="24"/>
          <w:szCs w:val="24"/>
        </w:rPr>
      </w:pPr>
      <w:r>
        <w:rPr>
          <w:noProof/>
        </w:rPr>
        <w:drawing>
          <wp:inline distT="0" distB="0" distL="0" distR="0" wp14:anchorId="33AF27B3" wp14:editId="52D472DA">
            <wp:extent cx="5731510" cy="3183890"/>
            <wp:effectExtent l="0" t="0" r="2540" b="0"/>
            <wp:docPr id="18193708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83890"/>
                    </a:xfrm>
                    <a:prstGeom prst="rect">
                      <a:avLst/>
                    </a:prstGeom>
                    <a:noFill/>
                    <a:ln>
                      <a:noFill/>
                    </a:ln>
                  </pic:spPr>
                </pic:pic>
              </a:graphicData>
            </a:graphic>
          </wp:inline>
        </w:drawing>
      </w:r>
    </w:p>
    <w:p w14:paraId="47D68B4C" w14:textId="77777777" w:rsidR="00CF0EC4" w:rsidRPr="00CF0EC4" w:rsidRDefault="00CF0EC4" w:rsidP="00CF0EC4">
      <w:pPr>
        <w:rPr>
          <w:rFonts w:ascii="Arial" w:hAnsi="Arial" w:cs="Arial"/>
          <w:b/>
          <w:bCs/>
          <w:sz w:val="18"/>
          <w:szCs w:val="18"/>
        </w:rPr>
      </w:pPr>
      <w:r w:rsidRPr="00CF0EC4">
        <w:rPr>
          <w:rFonts w:ascii="Arial" w:hAnsi="Arial" w:cs="Arial"/>
          <w:b/>
          <w:bCs/>
          <w:sz w:val="18"/>
          <w:szCs w:val="18"/>
        </w:rPr>
        <w:t>The largest growth was between 2021-22 and 2022-23, with a significant rise in participation.</w:t>
      </w:r>
    </w:p>
    <w:p w14:paraId="0CAAAEF7" w14:textId="77777777" w:rsidR="00CF0EC4" w:rsidRPr="00CF0EC4" w:rsidRDefault="00CF0EC4" w:rsidP="00CF0EC4">
      <w:pPr>
        <w:rPr>
          <w:rFonts w:ascii="Arial" w:hAnsi="Arial" w:cs="Arial"/>
          <w:b/>
          <w:bCs/>
          <w:sz w:val="18"/>
          <w:szCs w:val="18"/>
        </w:rPr>
      </w:pPr>
      <w:r w:rsidRPr="00CF0EC4">
        <w:rPr>
          <w:rFonts w:ascii="Arial" w:hAnsi="Arial" w:cs="Arial"/>
          <w:b/>
          <w:bCs/>
          <w:sz w:val="18"/>
          <w:szCs w:val="18"/>
        </w:rPr>
        <w:t>Positive YoY growth throughout the years highlights consistent economic recovery.</w:t>
      </w:r>
    </w:p>
    <w:p w14:paraId="158E4867" w14:textId="77777777" w:rsidR="00CF0EC4" w:rsidRDefault="00CF0EC4" w:rsidP="00342FD6">
      <w:pPr>
        <w:rPr>
          <w:rFonts w:ascii="Arial Rounded MT Bold" w:hAnsi="Arial Rounded MT Bold"/>
          <w:b/>
          <w:bCs/>
          <w:sz w:val="24"/>
          <w:szCs w:val="24"/>
        </w:rPr>
      </w:pPr>
    </w:p>
    <w:p w14:paraId="2A334A9E" w14:textId="2FCA7AA9" w:rsidR="00342FD6" w:rsidRDefault="00342FD6" w:rsidP="00342FD6">
      <w:pPr>
        <w:rPr>
          <w:rFonts w:ascii="Arial Rounded MT Bold" w:hAnsi="Arial Rounded MT Bold"/>
          <w:b/>
          <w:bCs/>
          <w:sz w:val="24"/>
          <w:szCs w:val="24"/>
        </w:rPr>
      </w:pPr>
      <w:r>
        <w:rPr>
          <w:rFonts w:ascii="Arial Rounded MT Bold" w:hAnsi="Arial Rounded MT Bold"/>
          <w:b/>
          <w:bCs/>
          <w:sz w:val="24"/>
          <w:szCs w:val="24"/>
        </w:rPr>
        <w:t xml:space="preserve">Plot LFPR </w:t>
      </w:r>
      <w:r w:rsidR="00FB2777">
        <w:rPr>
          <w:rFonts w:ascii="Arial Rounded MT Bold" w:hAnsi="Arial Rounded MT Bold"/>
          <w:b/>
          <w:bCs/>
          <w:sz w:val="24"/>
          <w:szCs w:val="24"/>
        </w:rPr>
        <w:t>5</w:t>
      </w:r>
    </w:p>
    <w:p w14:paraId="4833E562" w14:textId="7DC9AF20" w:rsidR="00342FD6" w:rsidRDefault="00342FD6" w:rsidP="00342FD6">
      <w:pPr>
        <w:rPr>
          <w:rFonts w:ascii="Arial Rounded MT Bold" w:hAnsi="Arial Rounded MT Bold"/>
          <w:b/>
          <w:bCs/>
          <w:sz w:val="24"/>
          <w:szCs w:val="24"/>
        </w:rPr>
      </w:pPr>
      <w:r>
        <w:rPr>
          <w:noProof/>
        </w:rPr>
        <w:drawing>
          <wp:inline distT="0" distB="0" distL="0" distR="0" wp14:anchorId="7B929C36" wp14:editId="3C98E255">
            <wp:extent cx="5731510" cy="3157220"/>
            <wp:effectExtent l="0" t="0" r="2540" b="5080"/>
            <wp:docPr id="21404585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57220"/>
                    </a:xfrm>
                    <a:prstGeom prst="rect">
                      <a:avLst/>
                    </a:prstGeom>
                    <a:noFill/>
                    <a:ln>
                      <a:noFill/>
                    </a:ln>
                  </pic:spPr>
                </pic:pic>
              </a:graphicData>
            </a:graphic>
          </wp:inline>
        </w:drawing>
      </w:r>
    </w:p>
    <w:p w14:paraId="4ED528F3" w14:textId="39A479AC" w:rsidR="00342FD6" w:rsidRPr="00CF0EC4" w:rsidRDefault="00CF0EC4" w:rsidP="00342FD6">
      <w:pPr>
        <w:rPr>
          <w:rFonts w:ascii="Arial" w:hAnsi="Arial" w:cs="Arial"/>
          <w:b/>
          <w:bCs/>
          <w:sz w:val="18"/>
          <w:szCs w:val="18"/>
        </w:rPr>
      </w:pPr>
      <w:r w:rsidRPr="00CF0EC4">
        <w:rPr>
          <w:rFonts w:ascii="Arial" w:hAnsi="Arial" w:cs="Arial"/>
          <w:b/>
          <w:bCs/>
          <w:sz w:val="18"/>
          <w:szCs w:val="18"/>
        </w:rPr>
        <w:t>The gender gap reduced from 52.5% in 2017-18 to 37.1% in 2023-24, indicating gradual progress.</w:t>
      </w:r>
    </w:p>
    <w:p w14:paraId="7418B36A" w14:textId="77777777" w:rsidR="00CF0EC4" w:rsidRDefault="00CF0EC4" w:rsidP="00342FD6">
      <w:pPr>
        <w:rPr>
          <w:rFonts w:ascii="Arial Rounded MT Bold" w:hAnsi="Arial Rounded MT Bold"/>
          <w:b/>
          <w:bCs/>
          <w:sz w:val="24"/>
          <w:szCs w:val="24"/>
        </w:rPr>
      </w:pPr>
    </w:p>
    <w:p w14:paraId="2FA97243" w14:textId="77777777" w:rsidR="00CF0EC4" w:rsidRDefault="00CF0EC4" w:rsidP="00342FD6">
      <w:pPr>
        <w:rPr>
          <w:rFonts w:ascii="Arial Rounded MT Bold" w:hAnsi="Arial Rounded MT Bold"/>
          <w:b/>
          <w:bCs/>
          <w:sz w:val="24"/>
          <w:szCs w:val="24"/>
        </w:rPr>
      </w:pPr>
    </w:p>
    <w:p w14:paraId="67B9EF28" w14:textId="72A7EFDA" w:rsidR="00342FD6" w:rsidRDefault="00342FD6" w:rsidP="00342FD6">
      <w:pPr>
        <w:rPr>
          <w:rFonts w:ascii="Arial Rounded MT Bold" w:hAnsi="Arial Rounded MT Bold"/>
          <w:b/>
          <w:bCs/>
          <w:sz w:val="24"/>
          <w:szCs w:val="24"/>
        </w:rPr>
      </w:pPr>
      <w:r>
        <w:rPr>
          <w:rFonts w:ascii="Arial Rounded MT Bold" w:hAnsi="Arial Rounded MT Bold"/>
          <w:b/>
          <w:bCs/>
          <w:sz w:val="24"/>
          <w:szCs w:val="24"/>
        </w:rPr>
        <w:t xml:space="preserve">Plot LFPR </w:t>
      </w:r>
      <w:r w:rsidR="00FB2777">
        <w:rPr>
          <w:rFonts w:ascii="Arial Rounded MT Bold" w:hAnsi="Arial Rounded MT Bold"/>
          <w:b/>
          <w:bCs/>
          <w:sz w:val="24"/>
          <w:szCs w:val="24"/>
        </w:rPr>
        <w:t>6</w:t>
      </w:r>
    </w:p>
    <w:p w14:paraId="6B7A96BD" w14:textId="31634363" w:rsidR="00342FD6" w:rsidRDefault="00342FD6" w:rsidP="00342FD6">
      <w:pPr>
        <w:rPr>
          <w:rFonts w:ascii="Arial Rounded MT Bold" w:hAnsi="Arial Rounded MT Bold"/>
          <w:b/>
          <w:bCs/>
          <w:sz w:val="24"/>
          <w:szCs w:val="24"/>
        </w:rPr>
      </w:pPr>
      <w:r>
        <w:rPr>
          <w:noProof/>
        </w:rPr>
        <w:drawing>
          <wp:inline distT="0" distB="0" distL="0" distR="0" wp14:anchorId="748B8039" wp14:editId="66ACDA5D">
            <wp:extent cx="5731510" cy="4286885"/>
            <wp:effectExtent l="0" t="0" r="2540" b="0"/>
            <wp:docPr id="7494889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286885"/>
                    </a:xfrm>
                    <a:prstGeom prst="rect">
                      <a:avLst/>
                    </a:prstGeom>
                    <a:noFill/>
                    <a:ln>
                      <a:noFill/>
                    </a:ln>
                  </pic:spPr>
                </pic:pic>
              </a:graphicData>
            </a:graphic>
          </wp:inline>
        </w:drawing>
      </w:r>
    </w:p>
    <w:p w14:paraId="6D27A785" w14:textId="77777777" w:rsidR="00CF0EC4" w:rsidRPr="00CF0EC4" w:rsidRDefault="00CF0EC4" w:rsidP="00CF0EC4">
      <w:pPr>
        <w:numPr>
          <w:ilvl w:val="0"/>
          <w:numId w:val="5"/>
        </w:numPr>
        <w:rPr>
          <w:rFonts w:ascii="Arial" w:hAnsi="Arial" w:cs="Arial"/>
          <w:b/>
          <w:bCs/>
          <w:sz w:val="18"/>
          <w:szCs w:val="18"/>
        </w:rPr>
      </w:pPr>
      <w:r w:rsidRPr="00CF0EC4">
        <w:rPr>
          <w:rFonts w:ascii="Arial" w:hAnsi="Arial" w:cs="Arial"/>
          <w:b/>
          <w:bCs/>
          <w:sz w:val="18"/>
          <w:szCs w:val="18"/>
        </w:rPr>
        <w:t>Rural Female LFPR shows occasional low outliers, indicating drops in participation.</w:t>
      </w:r>
    </w:p>
    <w:p w14:paraId="25527E2C" w14:textId="77777777" w:rsidR="00CF0EC4" w:rsidRPr="00CF0EC4" w:rsidRDefault="00CF0EC4" w:rsidP="00CF0EC4">
      <w:pPr>
        <w:numPr>
          <w:ilvl w:val="0"/>
          <w:numId w:val="5"/>
        </w:numPr>
        <w:rPr>
          <w:rFonts w:ascii="Arial" w:hAnsi="Arial" w:cs="Arial"/>
          <w:b/>
          <w:bCs/>
          <w:sz w:val="18"/>
          <w:szCs w:val="18"/>
        </w:rPr>
      </w:pPr>
      <w:r w:rsidRPr="00CF0EC4">
        <w:rPr>
          <w:rFonts w:ascii="Arial" w:hAnsi="Arial" w:cs="Arial"/>
          <w:b/>
          <w:bCs/>
          <w:sz w:val="18"/>
          <w:szCs w:val="18"/>
        </w:rPr>
        <w:t>Total Female LFPR also has low outliers, reflecting volatility.</w:t>
      </w:r>
    </w:p>
    <w:p w14:paraId="68BF2457" w14:textId="77777777" w:rsidR="00CF0EC4" w:rsidRPr="00CF0EC4" w:rsidRDefault="00CF0EC4" w:rsidP="00CF0EC4">
      <w:pPr>
        <w:numPr>
          <w:ilvl w:val="0"/>
          <w:numId w:val="5"/>
        </w:numPr>
        <w:rPr>
          <w:rFonts w:ascii="Arial" w:hAnsi="Arial" w:cs="Arial"/>
          <w:b/>
          <w:bCs/>
          <w:sz w:val="18"/>
          <w:szCs w:val="18"/>
        </w:rPr>
      </w:pPr>
      <w:r w:rsidRPr="00CF0EC4">
        <w:rPr>
          <w:rFonts w:ascii="Arial" w:hAnsi="Arial" w:cs="Arial"/>
          <w:b/>
          <w:bCs/>
          <w:sz w:val="18"/>
          <w:szCs w:val="18"/>
        </w:rPr>
        <w:t>Urban LFPR is more stable with fewer outliers and compact distributions.</w:t>
      </w:r>
    </w:p>
    <w:p w14:paraId="07E20CF4" w14:textId="77777777" w:rsidR="00CF0EC4" w:rsidRPr="00CF0EC4" w:rsidRDefault="00CF0EC4" w:rsidP="00CF0EC4">
      <w:pPr>
        <w:numPr>
          <w:ilvl w:val="0"/>
          <w:numId w:val="5"/>
        </w:numPr>
        <w:rPr>
          <w:rFonts w:ascii="Arial" w:hAnsi="Arial" w:cs="Arial"/>
          <w:b/>
          <w:bCs/>
          <w:sz w:val="18"/>
          <w:szCs w:val="18"/>
        </w:rPr>
      </w:pPr>
      <w:r w:rsidRPr="00CF0EC4">
        <w:rPr>
          <w:rFonts w:ascii="Arial" w:hAnsi="Arial" w:cs="Arial"/>
          <w:b/>
          <w:bCs/>
          <w:sz w:val="18"/>
          <w:szCs w:val="18"/>
        </w:rPr>
        <w:t>Male LFPR is consistently higher and more stable than female LFPR.</w:t>
      </w:r>
    </w:p>
    <w:p w14:paraId="06179CF9" w14:textId="77777777" w:rsidR="00CF0EC4" w:rsidRPr="00CF0EC4" w:rsidRDefault="00CF0EC4" w:rsidP="00CF0EC4">
      <w:pPr>
        <w:numPr>
          <w:ilvl w:val="0"/>
          <w:numId w:val="5"/>
        </w:numPr>
        <w:rPr>
          <w:rFonts w:ascii="Arial" w:hAnsi="Arial" w:cs="Arial"/>
          <w:b/>
          <w:bCs/>
          <w:sz w:val="18"/>
          <w:szCs w:val="18"/>
        </w:rPr>
      </w:pPr>
      <w:r w:rsidRPr="00CF0EC4">
        <w:rPr>
          <w:rFonts w:ascii="Arial" w:hAnsi="Arial" w:cs="Arial"/>
          <w:b/>
          <w:bCs/>
          <w:sz w:val="18"/>
          <w:szCs w:val="18"/>
        </w:rPr>
        <w:t>Female LFPR shows greater variability with more outliers.</w:t>
      </w:r>
    </w:p>
    <w:p w14:paraId="52EDB600" w14:textId="77777777" w:rsidR="00CF0EC4" w:rsidRPr="00CF0EC4" w:rsidRDefault="00CF0EC4" w:rsidP="00CF0EC4">
      <w:pPr>
        <w:numPr>
          <w:ilvl w:val="0"/>
          <w:numId w:val="5"/>
        </w:numPr>
        <w:rPr>
          <w:rFonts w:ascii="Arial" w:hAnsi="Arial" w:cs="Arial"/>
          <w:b/>
          <w:bCs/>
          <w:sz w:val="18"/>
          <w:szCs w:val="18"/>
        </w:rPr>
      </w:pPr>
      <w:r w:rsidRPr="00CF0EC4">
        <w:rPr>
          <w:rFonts w:ascii="Arial" w:hAnsi="Arial" w:cs="Arial"/>
          <w:b/>
          <w:bCs/>
          <w:sz w:val="18"/>
          <w:szCs w:val="18"/>
        </w:rPr>
        <w:t>Urban violins are thicker around the median, indicating consistent participation.</w:t>
      </w:r>
    </w:p>
    <w:p w14:paraId="3FEFA3AC" w14:textId="0230191B" w:rsidR="00CF0EC4" w:rsidRPr="00CF0EC4" w:rsidRDefault="00CF0EC4" w:rsidP="00CF0EC4">
      <w:pPr>
        <w:numPr>
          <w:ilvl w:val="0"/>
          <w:numId w:val="5"/>
        </w:numPr>
        <w:rPr>
          <w:rFonts w:ascii="Arial" w:hAnsi="Arial" w:cs="Arial"/>
          <w:b/>
          <w:bCs/>
          <w:sz w:val="18"/>
          <w:szCs w:val="18"/>
        </w:rPr>
      </w:pPr>
      <w:r w:rsidRPr="00CF0EC4">
        <w:rPr>
          <w:rFonts w:ascii="Arial" w:hAnsi="Arial" w:cs="Arial"/>
          <w:b/>
          <w:bCs/>
          <w:sz w:val="18"/>
          <w:szCs w:val="18"/>
        </w:rPr>
        <w:t>Rural violins are wider, highlighting higher volatility, especially for females.</w:t>
      </w:r>
    </w:p>
    <w:p w14:paraId="67C7F68A" w14:textId="77777777" w:rsidR="00CF0EC4" w:rsidRDefault="00CF0EC4" w:rsidP="00342FD6">
      <w:pPr>
        <w:rPr>
          <w:rFonts w:ascii="Arial Rounded MT Bold" w:hAnsi="Arial Rounded MT Bold"/>
          <w:b/>
          <w:bCs/>
          <w:sz w:val="24"/>
          <w:szCs w:val="24"/>
        </w:rPr>
      </w:pPr>
    </w:p>
    <w:p w14:paraId="508DF4B5" w14:textId="77777777" w:rsidR="00FB2777" w:rsidRPr="00FB2777" w:rsidRDefault="00FB2777" w:rsidP="00FB2777">
      <w:pPr>
        <w:rPr>
          <w:rFonts w:ascii="Arial" w:hAnsi="Arial" w:cs="Arial"/>
          <w:b/>
          <w:bCs/>
          <w:sz w:val="24"/>
          <w:szCs w:val="24"/>
        </w:rPr>
      </w:pPr>
      <w:r w:rsidRPr="00FB2777">
        <w:rPr>
          <w:rFonts w:ascii="Arial" w:hAnsi="Arial" w:cs="Arial"/>
          <w:b/>
          <w:bCs/>
          <w:sz w:val="24"/>
          <w:szCs w:val="24"/>
        </w:rPr>
        <w:t>B) Worker Population Ratio (WPR)</w:t>
      </w:r>
    </w:p>
    <w:p w14:paraId="70F1A0F6" w14:textId="77777777" w:rsidR="00FB2777" w:rsidRPr="00FB2777" w:rsidRDefault="00FB2777" w:rsidP="00FB2777">
      <w:pPr>
        <w:numPr>
          <w:ilvl w:val="0"/>
          <w:numId w:val="3"/>
        </w:numPr>
        <w:rPr>
          <w:rFonts w:ascii="Arial" w:hAnsi="Arial" w:cs="Arial"/>
          <w:b/>
          <w:bCs/>
          <w:sz w:val="24"/>
          <w:szCs w:val="24"/>
        </w:rPr>
      </w:pPr>
      <w:r w:rsidRPr="00FB2777">
        <w:rPr>
          <w:rFonts w:ascii="Arial" w:hAnsi="Arial" w:cs="Arial"/>
          <w:b/>
          <w:bCs/>
          <w:sz w:val="24"/>
          <w:szCs w:val="24"/>
        </w:rPr>
        <w:t>WPR refers to the percentage of the working-age population that is actually employed.</w:t>
      </w:r>
    </w:p>
    <w:p w14:paraId="00B8FC13" w14:textId="77777777" w:rsidR="00FB2777" w:rsidRPr="00FB2777" w:rsidRDefault="00FB2777" w:rsidP="00FB2777">
      <w:pPr>
        <w:numPr>
          <w:ilvl w:val="0"/>
          <w:numId w:val="3"/>
        </w:numPr>
        <w:rPr>
          <w:rFonts w:ascii="Arial" w:hAnsi="Arial" w:cs="Arial"/>
          <w:b/>
          <w:bCs/>
          <w:sz w:val="24"/>
          <w:szCs w:val="24"/>
        </w:rPr>
      </w:pPr>
      <w:r w:rsidRPr="00FB2777">
        <w:rPr>
          <w:rFonts w:ascii="Arial" w:hAnsi="Arial" w:cs="Arial"/>
          <w:b/>
          <w:bCs/>
          <w:sz w:val="24"/>
          <w:szCs w:val="24"/>
        </w:rPr>
        <w:t xml:space="preserve">It measures the extent of employment in the </w:t>
      </w:r>
      <w:proofErr w:type="spellStart"/>
      <w:r w:rsidRPr="00FB2777">
        <w:rPr>
          <w:rFonts w:ascii="Arial" w:hAnsi="Arial" w:cs="Arial"/>
          <w:b/>
          <w:bCs/>
          <w:sz w:val="24"/>
          <w:szCs w:val="24"/>
        </w:rPr>
        <w:t>labor</w:t>
      </w:r>
      <w:proofErr w:type="spellEnd"/>
      <w:r w:rsidRPr="00FB2777">
        <w:rPr>
          <w:rFonts w:ascii="Arial" w:hAnsi="Arial" w:cs="Arial"/>
          <w:b/>
          <w:bCs/>
          <w:sz w:val="24"/>
          <w:szCs w:val="24"/>
        </w:rPr>
        <w:t xml:space="preserve"> force.</w:t>
      </w:r>
    </w:p>
    <w:p w14:paraId="53AB1E5F" w14:textId="77777777" w:rsidR="00FB2777" w:rsidRPr="00FB2777" w:rsidRDefault="00FB2777" w:rsidP="00FB2777">
      <w:pPr>
        <w:numPr>
          <w:ilvl w:val="0"/>
          <w:numId w:val="3"/>
        </w:numPr>
        <w:rPr>
          <w:rFonts w:ascii="Arial" w:hAnsi="Arial" w:cs="Arial"/>
          <w:b/>
          <w:bCs/>
          <w:sz w:val="24"/>
          <w:szCs w:val="24"/>
        </w:rPr>
      </w:pPr>
      <w:r w:rsidRPr="00FB2777">
        <w:rPr>
          <w:rFonts w:ascii="Arial" w:hAnsi="Arial" w:cs="Arial"/>
          <w:b/>
          <w:bCs/>
          <w:sz w:val="24"/>
          <w:szCs w:val="24"/>
        </w:rPr>
        <w:t>Higher WPR → More people are employed.</w:t>
      </w:r>
    </w:p>
    <w:p w14:paraId="66B90890" w14:textId="77777777" w:rsidR="00FB2777" w:rsidRPr="00FB2777" w:rsidRDefault="00FB2777" w:rsidP="00FB2777">
      <w:pPr>
        <w:numPr>
          <w:ilvl w:val="0"/>
          <w:numId w:val="3"/>
        </w:numPr>
        <w:rPr>
          <w:rFonts w:ascii="Arial" w:hAnsi="Arial" w:cs="Arial"/>
          <w:b/>
          <w:bCs/>
          <w:sz w:val="24"/>
          <w:szCs w:val="24"/>
        </w:rPr>
      </w:pPr>
      <w:r w:rsidRPr="00FB2777">
        <w:rPr>
          <w:rFonts w:ascii="Arial" w:hAnsi="Arial" w:cs="Arial"/>
          <w:b/>
          <w:bCs/>
          <w:sz w:val="24"/>
          <w:szCs w:val="24"/>
        </w:rPr>
        <w:t>Lower WPR → Higher unemployment or inactivity.</w:t>
      </w:r>
    </w:p>
    <w:p w14:paraId="4AAC29A1" w14:textId="77777777" w:rsidR="00CF0EC4" w:rsidRDefault="00CF0EC4" w:rsidP="00342FD6">
      <w:pPr>
        <w:rPr>
          <w:rFonts w:ascii="Arial Rounded MT Bold" w:hAnsi="Arial Rounded MT Bold"/>
          <w:b/>
          <w:bCs/>
          <w:sz w:val="24"/>
          <w:szCs w:val="24"/>
        </w:rPr>
      </w:pPr>
    </w:p>
    <w:p w14:paraId="73D3B03D" w14:textId="0A3FBFC2" w:rsidR="00342FD6" w:rsidRDefault="00342FD6" w:rsidP="00342FD6">
      <w:pPr>
        <w:rPr>
          <w:rFonts w:ascii="Arial Rounded MT Bold" w:hAnsi="Arial Rounded MT Bold"/>
          <w:b/>
          <w:bCs/>
          <w:sz w:val="24"/>
          <w:szCs w:val="24"/>
        </w:rPr>
      </w:pPr>
      <w:r>
        <w:rPr>
          <w:rFonts w:ascii="Arial Rounded MT Bold" w:hAnsi="Arial Rounded MT Bold"/>
          <w:b/>
          <w:bCs/>
          <w:sz w:val="24"/>
          <w:szCs w:val="24"/>
        </w:rPr>
        <w:t>Plot WPR 1</w:t>
      </w:r>
    </w:p>
    <w:p w14:paraId="28388722" w14:textId="1089C39E" w:rsidR="00342FD6" w:rsidRDefault="00543BB1" w:rsidP="00342FD6">
      <w:pPr>
        <w:rPr>
          <w:rFonts w:ascii="Arial Rounded MT Bold" w:hAnsi="Arial Rounded MT Bold"/>
          <w:b/>
          <w:bCs/>
          <w:sz w:val="24"/>
          <w:szCs w:val="24"/>
        </w:rPr>
      </w:pPr>
      <w:r>
        <w:rPr>
          <w:noProof/>
        </w:rPr>
        <w:drawing>
          <wp:inline distT="0" distB="0" distL="0" distR="0" wp14:anchorId="11BA547B" wp14:editId="23A3E668">
            <wp:extent cx="5731510" cy="3161665"/>
            <wp:effectExtent l="0" t="0" r="2540" b="635"/>
            <wp:docPr id="12566150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61665"/>
                    </a:xfrm>
                    <a:prstGeom prst="rect">
                      <a:avLst/>
                    </a:prstGeom>
                    <a:noFill/>
                    <a:ln>
                      <a:noFill/>
                    </a:ln>
                  </pic:spPr>
                </pic:pic>
              </a:graphicData>
            </a:graphic>
          </wp:inline>
        </w:drawing>
      </w:r>
    </w:p>
    <w:p w14:paraId="7386167A" w14:textId="66AC8037" w:rsidR="00342FD6" w:rsidRPr="00CF0EC4" w:rsidRDefault="00CF0EC4" w:rsidP="00342FD6">
      <w:pPr>
        <w:rPr>
          <w:rFonts w:ascii="Arial" w:hAnsi="Arial" w:cs="Arial"/>
          <w:b/>
          <w:bCs/>
          <w:sz w:val="18"/>
          <w:szCs w:val="18"/>
        </w:rPr>
      </w:pPr>
      <w:r w:rsidRPr="00CF0EC4">
        <w:rPr>
          <w:rFonts w:ascii="Arial" w:hAnsi="Arial" w:cs="Arial"/>
          <w:b/>
          <w:bCs/>
          <w:sz w:val="18"/>
          <w:szCs w:val="18"/>
        </w:rPr>
        <w:t>WPR has generally increased from 2017-18 to 2023-24 for the 15+ age group, with a faster rise in female participation compared to males, although the gap persists. Overall, the total WPR has shown a consistent upward trend indicating positive workforce participation growth over the years.</w:t>
      </w:r>
    </w:p>
    <w:p w14:paraId="37430DF6" w14:textId="77777777" w:rsidR="00342FD6" w:rsidRPr="00CF0EC4" w:rsidRDefault="00342FD6" w:rsidP="00342FD6">
      <w:pPr>
        <w:rPr>
          <w:rFonts w:ascii="Arial" w:hAnsi="Arial" w:cs="Arial"/>
          <w:b/>
          <w:bCs/>
          <w:sz w:val="18"/>
          <w:szCs w:val="18"/>
        </w:rPr>
      </w:pPr>
    </w:p>
    <w:p w14:paraId="7367401D" w14:textId="051E7D3C" w:rsidR="00342FD6" w:rsidRDefault="00342FD6" w:rsidP="00342FD6">
      <w:pPr>
        <w:rPr>
          <w:rFonts w:ascii="Arial Rounded MT Bold" w:hAnsi="Arial Rounded MT Bold"/>
          <w:b/>
          <w:bCs/>
          <w:sz w:val="24"/>
          <w:szCs w:val="24"/>
        </w:rPr>
      </w:pPr>
      <w:r>
        <w:rPr>
          <w:rFonts w:ascii="Arial Rounded MT Bold" w:hAnsi="Arial Rounded MT Bold"/>
          <w:b/>
          <w:bCs/>
          <w:sz w:val="24"/>
          <w:szCs w:val="24"/>
        </w:rPr>
        <w:t>Plot WPR 2</w:t>
      </w:r>
    </w:p>
    <w:p w14:paraId="55C61A26" w14:textId="198B57D6" w:rsidR="00342FD6" w:rsidRDefault="00884988" w:rsidP="00342FD6">
      <w:pPr>
        <w:rPr>
          <w:rFonts w:ascii="Arial Rounded MT Bold" w:hAnsi="Arial Rounded MT Bold"/>
          <w:b/>
          <w:bCs/>
          <w:sz w:val="24"/>
          <w:szCs w:val="24"/>
        </w:rPr>
      </w:pPr>
      <w:r>
        <w:rPr>
          <w:noProof/>
        </w:rPr>
        <w:drawing>
          <wp:inline distT="0" distB="0" distL="0" distR="0" wp14:anchorId="2EAD8F45" wp14:editId="4B8FEBEA">
            <wp:extent cx="5731510" cy="3161665"/>
            <wp:effectExtent l="0" t="0" r="2540" b="635"/>
            <wp:docPr id="5069914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161665"/>
                    </a:xfrm>
                    <a:prstGeom prst="rect">
                      <a:avLst/>
                    </a:prstGeom>
                    <a:noFill/>
                    <a:ln>
                      <a:noFill/>
                    </a:ln>
                  </pic:spPr>
                </pic:pic>
              </a:graphicData>
            </a:graphic>
          </wp:inline>
        </w:drawing>
      </w:r>
    </w:p>
    <w:p w14:paraId="51F46518" w14:textId="4D4385D4" w:rsidR="00FB2777" w:rsidRPr="00CF0EC4" w:rsidRDefault="00CF0EC4" w:rsidP="00342FD6">
      <w:pPr>
        <w:rPr>
          <w:rFonts w:ascii="Arial" w:hAnsi="Arial" w:cs="Arial"/>
          <w:b/>
          <w:bCs/>
          <w:sz w:val="18"/>
          <w:szCs w:val="18"/>
        </w:rPr>
      </w:pPr>
      <w:r w:rsidRPr="00CF0EC4">
        <w:rPr>
          <w:rFonts w:ascii="Arial" w:hAnsi="Arial" w:cs="Arial"/>
          <w:b/>
          <w:bCs/>
          <w:sz w:val="18"/>
          <w:szCs w:val="18"/>
        </w:rPr>
        <w:t>This visualizes the gender disparity in workforce participation using a bar plot, highlighting the consistently higher participation of males compared to females across the years, although a gradual increase in female participation is observed. This suggests a persistent gender gap in the workforce, despite some positive changes over time.</w:t>
      </w:r>
    </w:p>
    <w:p w14:paraId="03BB33C8" w14:textId="77777777" w:rsidR="00FB2777" w:rsidRPr="00CF0EC4" w:rsidRDefault="00FB2777" w:rsidP="00342FD6">
      <w:pPr>
        <w:rPr>
          <w:rFonts w:ascii="Arial" w:hAnsi="Arial" w:cs="Arial"/>
          <w:b/>
          <w:bCs/>
          <w:sz w:val="18"/>
          <w:szCs w:val="18"/>
        </w:rPr>
      </w:pPr>
    </w:p>
    <w:p w14:paraId="1DFE64C3" w14:textId="3ABA7BCF" w:rsidR="00FB2777" w:rsidRDefault="00FB2777" w:rsidP="00342FD6">
      <w:pPr>
        <w:rPr>
          <w:rFonts w:ascii="Arial Rounded MT Bold" w:hAnsi="Arial Rounded MT Bold"/>
          <w:b/>
          <w:bCs/>
          <w:sz w:val="24"/>
          <w:szCs w:val="24"/>
        </w:rPr>
      </w:pPr>
      <w:r>
        <w:rPr>
          <w:rFonts w:ascii="Arial Rounded MT Bold" w:hAnsi="Arial Rounded MT Bold"/>
          <w:b/>
          <w:bCs/>
          <w:sz w:val="24"/>
          <w:szCs w:val="24"/>
        </w:rPr>
        <w:t>Plot WPR 3</w:t>
      </w:r>
    </w:p>
    <w:p w14:paraId="4375A647" w14:textId="7D38B553" w:rsidR="00AB6B6B" w:rsidRDefault="00AB6B6B" w:rsidP="00342FD6">
      <w:pPr>
        <w:rPr>
          <w:rFonts w:ascii="Arial Rounded MT Bold" w:hAnsi="Arial Rounded MT Bold"/>
          <w:b/>
          <w:bCs/>
          <w:sz w:val="24"/>
          <w:szCs w:val="24"/>
        </w:rPr>
      </w:pPr>
      <w:r>
        <w:rPr>
          <w:noProof/>
        </w:rPr>
        <w:drawing>
          <wp:inline distT="0" distB="0" distL="0" distR="0" wp14:anchorId="034963F0" wp14:editId="28E8EC3F">
            <wp:extent cx="5969703" cy="2546350"/>
            <wp:effectExtent l="0" t="0" r="0" b="6350"/>
            <wp:docPr id="376192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3629" cy="2548025"/>
                    </a:xfrm>
                    <a:prstGeom prst="rect">
                      <a:avLst/>
                    </a:prstGeom>
                    <a:noFill/>
                    <a:ln>
                      <a:noFill/>
                    </a:ln>
                  </pic:spPr>
                </pic:pic>
              </a:graphicData>
            </a:graphic>
          </wp:inline>
        </w:drawing>
      </w:r>
    </w:p>
    <w:p w14:paraId="0E7C4635" w14:textId="57513802" w:rsidR="00FB2777" w:rsidRDefault="00CF0EC4" w:rsidP="00342FD6">
      <w:pPr>
        <w:rPr>
          <w:rFonts w:ascii="Arial Rounded MT Bold" w:hAnsi="Arial Rounded MT Bold"/>
          <w:b/>
          <w:bCs/>
          <w:sz w:val="24"/>
          <w:szCs w:val="24"/>
        </w:rPr>
      </w:pPr>
      <w:r w:rsidRPr="00CF0EC4">
        <w:rPr>
          <w:rFonts w:ascii="Arial" w:hAnsi="Arial" w:cs="Arial"/>
          <w:b/>
          <w:bCs/>
          <w:sz w:val="18"/>
          <w:szCs w:val="18"/>
        </w:rPr>
        <w:t>Rural WPR is consistently higher than urban WPR, but urban WPR shows a slower but steady increase, indicating rising non-agricultural employment. This difference in trends highlights the varying economic structures and opportunities in rural and urban areas, influencing workforce participation</w:t>
      </w:r>
      <w:r w:rsidRPr="00CF0EC4">
        <w:rPr>
          <w:rFonts w:ascii="Arial Rounded MT Bold" w:hAnsi="Arial Rounded MT Bold"/>
          <w:b/>
          <w:bCs/>
          <w:sz w:val="24"/>
          <w:szCs w:val="24"/>
        </w:rPr>
        <w:t>.</w:t>
      </w:r>
    </w:p>
    <w:p w14:paraId="5AE91AFC" w14:textId="77777777" w:rsidR="00CF0EC4" w:rsidRDefault="00CF0EC4" w:rsidP="00342FD6">
      <w:pPr>
        <w:rPr>
          <w:rFonts w:ascii="Arial Rounded MT Bold" w:hAnsi="Arial Rounded MT Bold"/>
          <w:b/>
          <w:bCs/>
          <w:sz w:val="24"/>
          <w:szCs w:val="24"/>
        </w:rPr>
      </w:pPr>
    </w:p>
    <w:p w14:paraId="361D6AF9" w14:textId="063FDC0A" w:rsidR="00FB2777" w:rsidRDefault="00FB2777" w:rsidP="00342FD6">
      <w:pPr>
        <w:rPr>
          <w:rFonts w:ascii="Arial Rounded MT Bold" w:hAnsi="Arial Rounded MT Bold"/>
          <w:b/>
          <w:bCs/>
          <w:sz w:val="24"/>
          <w:szCs w:val="24"/>
        </w:rPr>
      </w:pPr>
      <w:r>
        <w:rPr>
          <w:rFonts w:ascii="Arial Rounded MT Bold" w:hAnsi="Arial Rounded MT Bold"/>
          <w:b/>
          <w:bCs/>
          <w:sz w:val="24"/>
          <w:szCs w:val="24"/>
        </w:rPr>
        <w:t>Plot WPR 4</w:t>
      </w:r>
    </w:p>
    <w:p w14:paraId="7778AED8" w14:textId="5B05941C" w:rsidR="00FB2777" w:rsidRDefault="00FB2777" w:rsidP="00342FD6">
      <w:pPr>
        <w:rPr>
          <w:rFonts w:ascii="Arial Rounded MT Bold" w:hAnsi="Arial Rounded MT Bold"/>
          <w:b/>
          <w:bCs/>
          <w:sz w:val="24"/>
          <w:szCs w:val="24"/>
        </w:rPr>
      </w:pPr>
      <w:r>
        <w:rPr>
          <w:noProof/>
        </w:rPr>
        <w:drawing>
          <wp:inline distT="0" distB="0" distL="0" distR="0" wp14:anchorId="3CB0E904" wp14:editId="12B2AE21">
            <wp:extent cx="5731510" cy="3183890"/>
            <wp:effectExtent l="0" t="0" r="2540" b="0"/>
            <wp:docPr id="33184940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183890"/>
                    </a:xfrm>
                    <a:prstGeom prst="rect">
                      <a:avLst/>
                    </a:prstGeom>
                    <a:noFill/>
                    <a:ln>
                      <a:noFill/>
                    </a:ln>
                  </pic:spPr>
                </pic:pic>
              </a:graphicData>
            </a:graphic>
          </wp:inline>
        </w:drawing>
      </w:r>
    </w:p>
    <w:p w14:paraId="491CB343" w14:textId="2034A0D5" w:rsidR="00CF0EC4" w:rsidRPr="00CF0EC4" w:rsidRDefault="00CF0EC4" w:rsidP="00342FD6">
      <w:pPr>
        <w:rPr>
          <w:rFonts w:ascii="Arial" w:hAnsi="Arial" w:cs="Arial"/>
          <w:b/>
          <w:bCs/>
          <w:sz w:val="18"/>
          <w:szCs w:val="18"/>
        </w:rPr>
      </w:pPr>
      <w:r w:rsidRPr="00CF0EC4">
        <w:rPr>
          <w:rFonts w:ascii="Arial" w:hAnsi="Arial" w:cs="Arial"/>
          <w:b/>
          <w:bCs/>
          <w:sz w:val="18"/>
          <w:szCs w:val="18"/>
        </w:rPr>
        <w:t>The WPR shows a general upward trend with the most significant growth occurring between 2017-18 and 2019-20, and between 2021-22 and 2022-23, suggesting periods of economic improvement or policy impact. Despite some volatility, the overall positive year-over-year changes indicate a consistent improvement in workforce participation.</w:t>
      </w:r>
    </w:p>
    <w:p w14:paraId="7DF4897B" w14:textId="77777777" w:rsidR="00CF0EC4" w:rsidRDefault="00CF0EC4" w:rsidP="00342FD6">
      <w:pPr>
        <w:rPr>
          <w:rFonts w:ascii="Arial Rounded MT Bold" w:hAnsi="Arial Rounded MT Bold"/>
          <w:b/>
          <w:bCs/>
          <w:sz w:val="24"/>
          <w:szCs w:val="24"/>
        </w:rPr>
      </w:pPr>
    </w:p>
    <w:p w14:paraId="10A2741B" w14:textId="77777777" w:rsidR="00EA3068" w:rsidRDefault="00EA3068" w:rsidP="00342FD6">
      <w:pPr>
        <w:rPr>
          <w:rFonts w:ascii="Arial Rounded MT Bold" w:hAnsi="Arial Rounded MT Bold"/>
          <w:b/>
          <w:bCs/>
          <w:sz w:val="24"/>
          <w:szCs w:val="24"/>
        </w:rPr>
      </w:pPr>
    </w:p>
    <w:p w14:paraId="7A2ADCFF" w14:textId="77777777" w:rsidR="00EA3068" w:rsidRDefault="00EA3068" w:rsidP="00342FD6">
      <w:pPr>
        <w:rPr>
          <w:rFonts w:ascii="Arial Rounded MT Bold" w:hAnsi="Arial Rounded MT Bold"/>
          <w:b/>
          <w:bCs/>
          <w:sz w:val="24"/>
          <w:szCs w:val="24"/>
        </w:rPr>
      </w:pPr>
    </w:p>
    <w:p w14:paraId="33DE367B" w14:textId="434CF39E" w:rsidR="00342FD6" w:rsidRDefault="00FB2777" w:rsidP="00342FD6">
      <w:pPr>
        <w:rPr>
          <w:rFonts w:ascii="Arial Rounded MT Bold" w:hAnsi="Arial Rounded MT Bold"/>
          <w:b/>
          <w:bCs/>
          <w:sz w:val="24"/>
          <w:szCs w:val="24"/>
        </w:rPr>
      </w:pPr>
      <w:r>
        <w:rPr>
          <w:rFonts w:ascii="Arial Rounded MT Bold" w:hAnsi="Arial Rounded MT Bold"/>
          <w:b/>
          <w:bCs/>
          <w:sz w:val="24"/>
          <w:szCs w:val="24"/>
        </w:rPr>
        <w:t>Plot WPR 5</w:t>
      </w:r>
    </w:p>
    <w:p w14:paraId="3C1C3702" w14:textId="5E4AF5A3" w:rsidR="00FB2777" w:rsidRDefault="00FB2777" w:rsidP="00342FD6">
      <w:pPr>
        <w:rPr>
          <w:rFonts w:ascii="Arial Rounded MT Bold" w:hAnsi="Arial Rounded MT Bold"/>
          <w:b/>
          <w:bCs/>
          <w:sz w:val="24"/>
          <w:szCs w:val="24"/>
        </w:rPr>
      </w:pPr>
      <w:r>
        <w:rPr>
          <w:noProof/>
        </w:rPr>
        <w:drawing>
          <wp:inline distT="0" distB="0" distL="0" distR="0" wp14:anchorId="05574237" wp14:editId="100454BA">
            <wp:extent cx="5731510" cy="3157220"/>
            <wp:effectExtent l="0" t="0" r="2540" b="5080"/>
            <wp:docPr id="9786508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157220"/>
                    </a:xfrm>
                    <a:prstGeom prst="rect">
                      <a:avLst/>
                    </a:prstGeom>
                    <a:noFill/>
                    <a:ln>
                      <a:noFill/>
                    </a:ln>
                  </pic:spPr>
                </pic:pic>
              </a:graphicData>
            </a:graphic>
          </wp:inline>
        </w:drawing>
      </w:r>
    </w:p>
    <w:p w14:paraId="7C9489DA" w14:textId="21F45A2C" w:rsidR="00FB2777" w:rsidRDefault="00CF0EC4" w:rsidP="00342FD6">
      <w:pPr>
        <w:rPr>
          <w:rFonts w:ascii="Arial Rounded MT Bold" w:hAnsi="Arial Rounded MT Bold"/>
          <w:b/>
          <w:bCs/>
          <w:sz w:val="24"/>
          <w:szCs w:val="24"/>
        </w:rPr>
      </w:pPr>
      <w:r w:rsidRPr="00CF0EC4">
        <w:rPr>
          <w:rFonts w:ascii="Arial" w:hAnsi="Arial" w:cs="Arial"/>
          <w:b/>
          <w:bCs/>
          <w:sz w:val="18"/>
          <w:szCs w:val="18"/>
        </w:rPr>
        <w:t>The visualization reveals a persistent gender gap in worker participation, with men consistently having higher rates than women. However, the gap appears to be gradually narrowing over the years, indicating slow but positive progress towards greater workforce equality</w:t>
      </w:r>
      <w:r w:rsidRPr="00CF0EC4">
        <w:rPr>
          <w:rFonts w:ascii="Arial Rounded MT Bold" w:hAnsi="Arial Rounded MT Bold"/>
          <w:b/>
          <w:bCs/>
          <w:sz w:val="24"/>
          <w:szCs w:val="24"/>
        </w:rPr>
        <w:t>.</w:t>
      </w:r>
    </w:p>
    <w:p w14:paraId="70A0A468" w14:textId="77777777" w:rsidR="00FB2777" w:rsidRDefault="00FB2777" w:rsidP="00342FD6">
      <w:pPr>
        <w:rPr>
          <w:rFonts w:ascii="Arial Rounded MT Bold" w:hAnsi="Arial Rounded MT Bold"/>
          <w:b/>
          <w:bCs/>
          <w:sz w:val="24"/>
          <w:szCs w:val="24"/>
        </w:rPr>
      </w:pPr>
    </w:p>
    <w:p w14:paraId="6EA948CE" w14:textId="4B57D91D" w:rsidR="00FB2777" w:rsidRDefault="00FB2777" w:rsidP="00342FD6">
      <w:pPr>
        <w:rPr>
          <w:rFonts w:ascii="Arial Rounded MT Bold" w:hAnsi="Arial Rounded MT Bold"/>
          <w:b/>
          <w:bCs/>
          <w:sz w:val="24"/>
          <w:szCs w:val="24"/>
        </w:rPr>
      </w:pPr>
      <w:r>
        <w:rPr>
          <w:rFonts w:ascii="Arial Rounded MT Bold" w:hAnsi="Arial Rounded MT Bold"/>
          <w:b/>
          <w:bCs/>
          <w:sz w:val="24"/>
          <w:szCs w:val="24"/>
        </w:rPr>
        <w:t>Plot WPR 6</w:t>
      </w:r>
    </w:p>
    <w:p w14:paraId="340B5B37" w14:textId="11F43AC7" w:rsidR="00FB2777" w:rsidRDefault="00FB2777" w:rsidP="00342FD6">
      <w:pPr>
        <w:rPr>
          <w:rFonts w:ascii="Arial Rounded MT Bold" w:hAnsi="Arial Rounded MT Bold"/>
          <w:b/>
          <w:bCs/>
          <w:sz w:val="24"/>
          <w:szCs w:val="24"/>
        </w:rPr>
      </w:pPr>
      <w:r>
        <w:rPr>
          <w:noProof/>
        </w:rPr>
        <w:drawing>
          <wp:inline distT="0" distB="0" distL="0" distR="0" wp14:anchorId="21B95CB9" wp14:editId="67598687">
            <wp:extent cx="5731510" cy="2209800"/>
            <wp:effectExtent l="0" t="0" r="2540" b="0"/>
            <wp:docPr id="128943154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209800"/>
                    </a:xfrm>
                    <a:prstGeom prst="rect">
                      <a:avLst/>
                    </a:prstGeom>
                    <a:noFill/>
                    <a:ln>
                      <a:noFill/>
                    </a:ln>
                  </pic:spPr>
                </pic:pic>
              </a:graphicData>
            </a:graphic>
          </wp:inline>
        </w:drawing>
      </w:r>
    </w:p>
    <w:p w14:paraId="14C64507" w14:textId="7F017C00" w:rsidR="00CF0EC4" w:rsidRPr="00EF2884" w:rsidRDefault="00EF2884" w:rsidP="00342FD6">
      <w:pPr>
        <w:rPr>
          <w:rFonts w:ascii="Arial" w:hAnsi="Arial" w:cs="Arial"/>
          <w:b/>
          <w:bCs/>
          <w:sz w:val="18"/>
          <w:szCs w:val="18"/>
        </w:rPr>
      </w:pPr>
      <w:r w:rsidRPr="00EF2884">
        <w:rPr>
          <w:rFonts w:ascii="Arial" w:hAnsi="Arial" w:cs="Arial"/>
          <w:b/>
          <w:bCs/>
          <w:sz w:val="18"/>
          <w:szCs w:val="18"/>
        </w:rPr>
        <w:t>The distribution of male WPR is more concentrated and stable compared to females, indicating less fluctuation in male employment patterns over time.</w:t>
      </w:r>
    </w:p>
    <w:p w14:paraId="35A29939" w14:textId="6AC8527A" w:rsidR="00EF2884" w:rsidRDefault="00EF2884" w:rsidP="00342FD6">
      <w:pPr>
        <w:rPr>
          <w:rFonts w:ascii="Arial Rounded MT Bold" w:hAnsi="Arial Rounded MT Bold"/>
          <w:b/>
          <w:bCs/>
          <w:sz w:val="24"/>
          <w:szCs w:val="24"/>
        </w:rPr>
      </w:pPr>
      <w:r w:rsidRPr="00EF2884">
        <w:rPr>
          <w:rFonts w:ascii="Arial" w:hAnsi="Arial" w:cs="Arial"/>
          <w:b/>
          <w:bCs/>
          <w:sz w:val="18"/>
          <w:szCs w:val="18"/>
        </w:rPr>
        <w:t>Female WPR distributions are wider and show more outliers, reflecting greater variability and potential employment fluctuations for women due to socio-economic factors or policy changes</w:t>
      </w:r>
      <w:r w:rsidRPr="00EF2884">
        <w:rPr>
          <w:rFonts w:ascii="Arial Rounded MT Bold" w:hAnsi="Arial Rounded MT Bold"/>
          <w:b/>
          <w:bCs/>
          <w:sz w:val="24"/>
          <w:szCs w:val="24"/>
        </w:rPr>
        <w:t>.</w:t>
      </w:r>
    </w:p>
    <w:p w14:paraId="2D6B7276" w14:textId="77777777" w:rsidR="00EF2884" w:rsidRDefault="00EF2884" w:rsidP="00A97FDC">
      <w:pPr>
        <w:rPr>
          <w:rFonts w:ascii="Arial" w:hAnsi="Arial" w:cs="Arial"/>
          <w:b/>
          <w:bCs/>
          <w:sz w:val="24"/>
          <w:szCs w:val="24"/>
        </w:rPr>
      </w:pPr>
    </w:p>
    <w:p w14:paraId="0588F75D" w14:textId="77777777" w:rsidR="00EF2884" w:rsidRDefault="00EF2884" w:rsidP="00A97FDC">
      <w:pPr>
        <w:rPr>
          <w:rFonts w:ascii="Arial" w:hAnsi="Arial" w:cs="Arial"/>
          <w:b/>
          <w:bCs/>
          <w:sz w:val="24"/>
          <w:szCs w:val="24"/>
        </w:rPr>
      </w:pPr>
    </w:p>
    <w:p w14:paraId="3C59ED17" w14:textId="77777777" w:rsidR="005F38EB" w:rsidRDefault="005F38EB" w:rsidP="00A97FDC">
      <w:pPr>
        <w:rPr>
          <w:rFonts w:ascii="Arial" w:hAnsi="Arial" w:cs="Arial"/>
          <w:b/>
          <w:bCs/>
          <w:sz w:val="24"/>
          <w:szCs w:val="24"/>
        </w:rPr>
      </w:pPr>
    </w:p>
    <w:p w14:paraId="1A708E5F" w14:textId="41E9AB35" w:rsidR="00A97FDC" w:rsidRPr="00A97FDC" w:rsidRDefault="00A97FDC" w:rsidP="00A97FDC">
      <w:pPr>
        <w:rPr>
          <w:rFonts w:ascii="Arial" w:hAnsi="Arial" w:cs="Arial"/>
          <w:b/>
          <w:bCs/>
          <w:sz w:val="24"/>
          <w:szCs w:val="24"/>
        </w:rPr>
      </w:pPr>
      <w:r w:rsidRPr="00A97FDC">
        <w:rPr>
          <w:rFonts w:ascii="Arial" w:hAnsi="Arial" w:cs="Arial"/>
          <w:b/>
          <w:bCs/>
          <w:sz w:val="24"/>
          <w:szCs w:val="24"/>
        </w:rPr>
        <w:t>C) Unemployment Rate (UR)</w:t>
      </w:r>
    </w:p>
    <w:p w14:paraId="6B128CCE" w14:textId="7286659A" w:rsidR="00A97FDC" w:rsidRPr="00A97FDC" w:rsidRDefault="00A97FDC" w:rsidP="00A97FDC">
      <w:pPr>
        <w:numPr>
          <w:ilvl w:val="0"/>
          <w:numId w:val="4"/>
        </w:numPr>
        <w:rPr>
          <w:rFonts w:ascii="Arial" w:hAnsi="Arial" w:cs="Arial"/>
          <w:b/>
          <w:bCs/>
          <w:sz w:val="24"/>
          <w:szCs w:val="24"/>
        </w:rPr>
      </w:pPr>
      <w:r w:rsidRPr="00A97FDC">
        <w:rPr>
          <w:rFonts w:ascii="Arial" w:hAnsi="Arial" w:cs="Arial"/>
          <w:b/>
          <w:bCs/>
          <w:sz w:val="24"/>
          <w:szCs w:val="24"/>
        </w:rPr>
        <w:t>UR refers to the percentage of the labo</w:t>
      </w:r>
      <w:r w:rsidR="00EF2884">
        <w:rPr>
          <w:rFonts w:ascii="Arial" w:hAnsi="Arial" w:cs="Arial"/>
          <w:b/>
          <w:bCs/>
          <w:sz w:val="24"/>
          <w:szCs w:val="24"/>
        </w:rPr>
        <w:t>u</w:t>
      </w:r>
      <w:r w:rsidRPr="00A97FDC">
        <w:rPr>
          <w:rFonts w:ascii="Arial" w:hAnsi="Arial" w:cs="Arial"/>
          <w:b/>
          <w:bCs/>
          <w:sz w:val="24"/>
          <w:szCs w:val="24"/>
        </w:rPr>
        <w:t>r force that is unemployed but actively seeking work.</w:t>
      </w:r>
    </w:p>
    <w:p w14:paraId="41B0A0D0" w14:textId="77777777" w:rsidR="00A97FDC" w:rsidRPr="00A97FDC" w:rsidRDefault="00A97FDC" w:rsidP="00A97FDC">
      <w:pPr>
        <w:numPr>
          <w:ilvl w:val="0"/>
          <w:numId w:val="4"/>
        </w:numPr>
        <w:rPr>
          <w:rFonts w:ascii="Arial" w:hAnsi="Arial" w:cs="Arial"/>
          <w:b/>
          <w:bCs/>
          <w:sz w:val="24"/>
          <w:szCs w:val="24"/>
        </w:rPr>
      </w:pPr>
      <w:r w:rsidRPr="00A97FDC">
        <w:rPr>
          <w:rFonts w:ascii="Arial" w:hAnsi="Arial" w:cs="Arial"/>
          <w:b/>
          <w:bCs/>
          <w:sz w:val="24"/>
          <w:szCs w:val="24"/>
        </w:rPr>
        <w:t>It reveals the demand-supply gap in the job market.</w:t>
      </w:r>
    </w:p>
    <w:p w14:paraId="30162DA5" w14:textId="77777777" w:rsidR="00A97FDC" w:rsidRPr="00A97FDC" w:rsidRDefault="00A97FDC" w:rsidP="00A97FDC">
      <w:pPr>
        <w:numPr>
          <w:ilvl w:val="0"/>
          <w:numId w:val="4"/>
        </w:numPr>
        <w:rPr>
          <w:rFonts w:ascii="Arial" w:hAnsi="Arial" w:cs="Arial"/>
          <w:b/>
          <w:bCs/>
          <w:sz w:val="24"/>
          <w:szCs w:val="24"/>
        </w:rPr>
      </w:pPr>
      <w:r w:rsidRPr="00A97FDC">
        <w:rPr>
          <w:rFonts w:ascii="Arial" w:hAnsi="Arial" w:cs="Arial"/>
          <w:b/>
          <w:bCs/>
          <w:sz w:val="24"/>
          <w:szCs w:val="24"/>
        </w:rPr>
        <w:t>Higher UR → More people actively seeking work but unable to find it.</w:t>
      </w:r>
    </w:p>
    <w:p w14:paraId="5DE1E3DD" w14:textId="77777777" w:rsidR="00A97FDC" w:rsidRPr="00A97FDC" w:rsidRDefault="00A97FDC" w:rsidP="00A97FDC">
      <w:pPr>
        <w:numPr>
          <w:ilvl w:val="0"/>
          <w:numId w:val="4"/>
        </w:numPr>
        <w:rPr>
          <w:rFonts w:ascii="Arial" w:hAnsi="Arial" w:cs="Arial"/>
          <w:b/>
          <w:bCs/>
          <w:sz w:val="24"/>
          <w:szCs w:val="24"/>
        </w:rPr>
      </w:pPr>
      <w:r w:rsidRPr="00A97FDC">
        <w:rPr>
          <w:rFonts w:ascii="Arial" w:hAnsi="Arial" w:cs="Arial"/>
          <w:b/>
          <w:bCs/>
          <w:sz w:val="24"/>
          <w:szCs w:val="24"/>
        </w:rPr>
        <w:t>Lower UR → Fewer unemployed people or more job opportunities.</w:t>
      </w:r>
    </w:p>
    <w:p w14:paraId="36B81F34" w14:textId="3788B698" w:rsidR="00FB2777" w:rsidRDefault="00A97FDC" w:rsidP="00342FD6">
      <w:pPr>
        <w:rPr>
          <w:rFonts w:ascii="Arial" w:hAnsi="Arial" w:cs="Arial"/>
          <w:b/>
          <w:bCs/>
          <w:sz w:val="24"/>
          <w:szCs w:val="24"/>
        </w:rPr>
      </w:pPr>
      <w:r>
        <w:rPr>
          <w:rFonts w:ascii="Arial" w:hAnsi="Arial" w:cs="Arial"/>
          <w:b/>
          <w:bCs/>
          <w:sz w:val="24"/>
          <w:szCs w:val="24"/>
        </w:rPr>
        <w:t>Plot UR 1</w:t>
      </w:r>
    </w:p>
    <w:p w14:paraId="10FAD263" w14:textId="74736F9C" w:rsidR="00A97FDC" w:rsidRPr="00A97FDC" w:rsidRDefault="005A76E2" w:rsidP="00342FD6">
      <w:pPr>
        <w:rPr>
          <w:rFonts w:ascii="Arial" w:hAnsi="Arial" w:cs="Arial"/>
          <w:b/>
          <w:bCs/>
          <w:sz w:val="24"/>
          <w:szCs w:val="24"/>
        </w:rPr>
      </w:pPr>
      <w:r>
        <w:rPr>
          <w:noProof/>
        </w:rPr>
        <w:drawing>
          <wp:inline distT="0" distB="0" distL="0" distR="0" wp14:anchorId="1615AB13" wp14:editId="02F7A771">
            <wp:extent cx="5731510" cy="3146425"/>
            <wp:effectExtent l="0" t="0" r="2540" b="0"/>
            <wp:docPr id="21224091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146425"/>
                    </a:xfrm>
                    <a:prstGeom prst="rect">
                      <a:avLst/>
                    </a:prstGeom>
                    <a:noFill/>
                    <a:ln>
                      <a:noFill/>
                    </a:ln>
                  </pic:spPr>
                </pic:pic>
              </a:graphicData>
            </a:graphic>
          </wp:inline>
        </w:drawing>
      </w:r>
    </w:p>
    <w:p w14:paraId="07F163B5" w14:textId="52B8B82F" w:rsidR="00FB2777" w:rsidRPr="00EF2884" w:rsidRDefault="00EF2884" w:rsidP="00342FD6">
      <w:pPr>
        <w:rPr>
          <w:rFonts w:ascii="Arial" w:hAnsi="Arial" w:cs="Arial"/>
          <w:b/>
          <w:bCs/>
          <w:sz w:val="18"/>
          <w:szCs w:val="18"/>
        </w:rPr>
      </w:pPr>
      <w:r w:rsidRPr="00EF2884">
        <w:rPr>
          <w:rFonts w:ascii="Arial" w:hAnsi="Arial" w:cs="Arial"/>
          <w:b/>
          <w:bCs/>
          <w:sz w:val="18"/>
          <w:szCs w:val="18"/>
        </w:rPr>
        <w:t>Unemployment rates for the 15+ age group show a decline over time, with females experiencing higher unemployment rates compared to males. Overall, the unemployment rate is decreasing but a gender gap in unemployment persists.</w:t>
      </w:r>
    </w:p>
    <w:p w14:paraId="76386176" w14:textId="6C60818F" w:rsidR="00A97FDC" w:rsidRDefault="00A97FDC" w:rsidP="00342FD6">
      <w:pPr>
        <w:rPr>
          <w:rFonts w:ascii="Arial" w:hAnsi="Arial" w:cs="Arial"/>
          <w:b/>
          <w:bCs/>
          <w:sz w:val="24"/>
          <w:szCs w:val="24"/>
        </w:rPr>
      </w:pPr>
      <w:r>
        <w:rPr>
          <w:rFonts w:ascii="Arial" w:hAnsi="Arial" w:cs="Arial"/>
          <w:b/>
          <w:bCs/>
          <w:sz w:val="24"/>
          <w:szCs w:val="24"/>
        </w:rPr>
        <w:t>Plot UR 2</w:t>
      </w:r>
    </w:p>
    <w:p w14:paraId="248F9B18" w14:textId="1454A84C" w:rsidR="00A97FDC" w:rsidRDefault="00A97FDC" w:rsidP="00342FD6">
      <w:pPr>
        <w:rPr>
          <w:rFonts w:ascii="Arial" w:hAnsi="Arial" w:cs="Arial"/>
          <w:b/>
          <w:bCs/>
          <w:sz w:val="24"/>
          <w:szCs w:val="24"/>
        </w:rPr>
      </w:pPr>
      <w:r>
        <w:rPr>
          <w:noProof/>
        </w:rPr>
        <w:drawing>
          <wp:inline distT="0" distB="0" distL="0" distR="0" wp14:anchorId="4FD19343" wp14:editId="6F4C0A8F">
            <wp:extent cx="4470400" cy="2483335"/>
            <wp:effectExtent l="0" t="0" r="6350" b="0"/>
            <wp:docPr id="27816931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75794" cy="2486332"/>
                    </a:xfrm>
                    <a:prstGeom prst="rect">
                      <a:avLst/>
                    </a:prstGeom>
                    <a:noFill/>
                    <a:ln>
                      <a:noFill/>
                    </a:ln>
                  </pic:spPr>
                </pic:pic>
              </a:graphicData>
            </a:graphic>
          </wp:inline>
        </w:drawing>
      </w:r>
    </w:p>
    <w:p w14:paraId="0A3BB0C1" w14:textId="084B5F96" w:rsidR="00EF2884" w:rsidRPr="00EF2884" w:rsidRDefault="00EF2884" w:rsidP="00342FD6">
      <w:pPr>
        <w:rPr>
          <w:rFonts w:ascii="Arial" w:hAnsi="Arial" w:cs="Arial"/>
          <w:b/>
          <w:bCs/>
          <w:sz w:val="18"/>
          <w:szCs w:val="18"/>
        </w:rPr>
      </w:pPr>
      <w:r w:rsidRPr="00EF2884">
        <w:rPr>
          <w:rFonts w:ascii="Arial" w:hAnsi="Arial" w:cs="Arial"/>
          <w:b/>
          <w:bCs/>
          <w:sz w:val="18"/>
          <w:szCs w:val="18"/>
        </w:rPr>
        <w:t>The bar plot reveals a consistent gender gap in unemployment rates over the years, with female unemployment generally higher than male unemployment. Although both male and female unemployment rates appear to be generally declining over time, the disparity between them persists.</w:t>
      </w:r>
    </w:p>
    <w:p w14:paraId="7BFCC0E4" w14:textId="77777777" w:rsidR="00EF2884" w:rsidRDefault="00EF2884" w:rsidP="00342FD6">
      <w:pPr>
        <w:rPr>
          <w:rFonts w:ascii="Arial" w:hAnsi="Arial" w:cs="Arial"/>
          <w:b/>
          <w:bCs/>
          <w:sz w:val="24"/>
          <w:szCs w:val="24"/>
        </w:rPr>
      </w:pPr>
    </w:p>
    <w:p w14:paraId="232AE95F" w14:textId="7EFE4728" w:rsidR="00A97FDC" w:rsidRDefault="00A97FDC" w:rsidP="00342FD6">
      <w:pPr>
        <w:rPr>
          <w:rFonts w:ascii="Arial" w:hAnsi="Arial" w:cs="Arial"/>
          <w:b/>
          <w:bCs/>
          <w:sz w:val="24"/>
          <w:szCs w:val="24"/>
        </w:rPr>
      </w:pPr>
      <w:r>
        <w:rPr>
          <w:rFonts w:ascii="Arial" w:hAnsi="Arial" w:cs="Arial"/>
          <w:b/>
          <w:bCs/>
          <w:sz w:val="24"/>
          <w:szCs w:val="24"/>
        </w:rPr>
        <w:t>Plot UR 3</w:t>
      </w:r>
    </w:p>
    <w:p w14:paraId="7817F3F6" w14:textId="438620FF" w:rsidR="00A97FDC" w:rsidRDefault="00A97FDC" w:rsidP="00342FD6">
      <w:pPr>
        <w:rPr>
          <w:rFonts w:ascii="Arial" w:hAnsi="Arial" w:cs="Arial"/>
          <w:b/>
          <w:bCs/>
          <w:sz w:val="24"/>
          <w:szCs w:val="24"/>
        </w:rPr>
      </w:pPr>
      <w:r>
        <w:rPr>
          <w:noProof/>
        </w:rPr>
        <w:drawing>
          <wp:inline distT="0" distB="0" distL="0" distR="0" wp14:anchorId="0BBDF52C" wp14:editId="1D0927E3">
            <wp:extent cx="5731510" cy="2433320"/>
            <wp:effectExtent l="0" t="0" r="2540" b="5080"/>
            <wp:docPr id="65716619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433320"/>
                    </a:xfrm>
                    <a:prstGeom prst="rect">
                      <a:avLst/>
                    </a:prstGeom>
                    <a:noFill/>
                    <a:ln>
                      <a:noFill/>
                    </a:ln>
                  </pic:spPr>
                </pic:pic>
              </a:graphicData>
            </a:graphic>
          </wp:inline>
        </w:drawing>
      </w:r>
    </w:p>
    <w:p w14:paraId="2D21B689" w14:textId="0899E3BC" w:rsidR="00EF2884" w:rsidRPr="00EF2884" w:rsidRDefault="00EF2884" w:rsidP="00342FD6">
      <w:pPr>
        <w:rPr>
          <w:rFonts w:ascii="Arial" w:hAnsi="Arial" w:cs="Arial"/>
          <w:b/>
          <w:bCs/>
          <w:sz w:val="18"/>
          <w:szCs w:val="18"/>
        </w:rPr>
      </w:pPr>
      <w:r w:rsidRPr="00EF2884">
        <w:rPr>
          <w:rFonts w:ascii="Arial" w:hAnsi="Arial" w:cs="Arial"/>
          <w:b/>
          <w:bCs/>
          <w:sz w:val="18"/>
          <w:szCs w:val="18"/>
        </w:rPr>
        <w:t>The code visualizes rural and urban unemployment rates over time for males, females, and the total population using line plots. The visualization reveals that rural unemployment is generally lower than urban, and that there are gender disparities in unemployment rates across locations, particularly in urban areas.</w:t>
      </w:r>
    </w:p>
    <w:p w14:paraId="3E8E5D4E" w14:textId="5FAE6E67" w:rsidR="00A97FDC" w:rsidRDefault="00A97FDC" w:rsidP="00342FD6">
      <w:pPr>
        <w:rPr>
          <w:rFonts w:ascii="Arial" w:hAnsi="Arial" w:cs="Arial"/>
          <w:b/>
          <w:bCs/>
          <w:sz w:val="24"/>
          <w:szCs w:val="24"/>
        </w:rPr>
      </w:pPr>
      <w:r>
        <w:rPr>
          <w:rFonts w:ascii="Arial" w:hAnsi="Arial" w:cs="Arial"/>
          <w:b/>
          <w:bCs/>
          <w:sz w:val="24"/>
          <w:szCs w:val="24"/>
        </w:rPr>
        <w:t>Plot UR 4</w:t>
      </w:r>
    </w:p>
    <w:p w14:paraId="0122672E" w14:textId="4573E870" w:rsidR="003C0E31" w:rsidRDefault="003C0E31" w:rsidP="00342FD6">
      <w:pPr>
        <w:rPr>
          <w:rFonts w:ascii="Arial" w:hAnsi="Arial" w:cs="Arial"/>
          <w:b/>
          <w:bCs/>
          <w:sz w:val="24"/>
          <w:szCs w:val="24"/>
        </w:rPr>
      </w:pPr>
      <w:r>
        <w:rPr>
          <w:noProof/>
        </w:rPr>
        <w:drawing>
          <wp:inline distT="0" distB="0" distL="0" distR="0" wp14:anchorId="44ED3D55" wp14:editId="186E9B92">
            <wp:extent cx="4898654" cy="3663950"/>
            <wp:effectExtent l="0" t="0" r="0" b="0"/>
            <wp:docPr id="196557981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99259" cy="3664403"/>
                    </a:xfrm>
                    <a:prstGeom prst="rect">
                      <a:avLst/>
                    </a:prstGeom>
                    <a:noFill/>
                    <a:ln>
                      <a:noFill/>
                    </a:ln>
                  </pic:spPr>
                </pic:pic>
              </a:graphicData>
            </a:graphic>
          </wp:inline>
        </w:drawing>
      </w:r>
    </w:p>
    <w:p w14:paraId="468AF522" w14:textId="025196DD" w:rsidR="00A97FDC" w:rsidRPr="00A97FDC" w:rsidRDefault="00EF2884" w:rsidP="00342FD6">
      <w:pPr>
        <w:rPr>
          <w:rFonts w:ascii="Arial" w:hAnsi="Arial" w:cs="Arial"/>
          <w:b/>
          <w:bCs/>
          <w:sz w:val="24"/>
          <w:szCs w:val="24"/>
        </w:rPr>
      </w:pPr>
      <w:r w:rsidRPr="00EF2884">
        <w:rPr>
          <w:rFonts w:ascii="Arial" w:hAnsi="Arial" w:cs="Arial"/>
          <w:b/>
          <w:bCs/>
          <w:sz w:val="18"/>
          <w:szCs w:val="18"/>
        </w:rPr>
        <w:t xml:space="preserve">The visualizations reveal that urban females consistently experience the highest unemployment rates with significant variability, while rural areas generally have lower unemployment. A persistent gender gap exists, with females facing </w:t>
      </w:r>
      <w:proofErr w:type="spellStart"/>
      <w:r w:rsidRPr="00EF2884">
        <w:rPr>
          <w:rFonts w:ascii="Arial" w:hAnsi="Arial" w:cs="Arial"/>
          <w:b/>
          <w:bCs/>
          <w:sz w:val="18"/>
          <w:szCs w:val="18"/>
        </w:rPr>
        <w:t>high</w:t>
      </w:r>
      <w:r w:rsidR="00F26507">
        <w:rPr>
          <w:rFonts w:ascii="Arial" w:hAnsi="Arial" w:cs="Arial"/>
          <w:b/>
          <w:bCs/>
          <w:sz w:val="18"/>
          <w:szCs w:val="18"/>
        </w:rPr>
        <w:t>&amp;</w:t>
      </w:r>
      <w:r w:rsidRPr="00EF2884">
        <w:rPr>
          <w:rFonts w:ascii="Arial" w:hAnsi="Arial" w:cs="Arial"/>
          <w:b/>
          <w:bCs/>
          <w:sz w:val="18"/>
          <w:szCs w:val="18"/>
        </w:rPr>
        <w:t>er</w:t>
      </w:r>
      <w:proofErr w:type="spellEnd"/>
      <w:r w:rsidRPr="00EF2884">
        <w:rPr>
          <w:rFonts w:ascii="Arial" w:hAnsi="Arial" w:cs="Arial"/>
          <w:b/>
          <w:bCs/>
          <w:sz w:val="18"/>
          <w:szCs w:val="18"/>
        </w:rPr>
        <w:t xml:space="preserve"> unemployment than males across both regions</w:t>
      </w:r>
      <w:r w:rsidRPr="00EF2884">
        <w:rPr>
          <w:rFonts w:ascii="Arial" w:hAnsi="Arial" w:cs="Arial"/>
          <w:b/>
          <w:bCs/>
          <w:sz w:val="24"/>
          <w:szCs w:val="24"/>
        </w:rPr>
        <w:t>.</w:t>
      </w:r>
    </w:p>
    <w:sectPr w:rsidR="00A97FDC" w:rsidRPr="00A97F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C4D51"/>
    <w:multiLevelType w:val="multilevel"/>
    <w:tmpl w:val="9FF63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5D33A0"/>
    <w:multiLevelType w:val="multilevel"/>
    <w:tmpl w:val="7C62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806EB8"/>
    <w:multiLevelType w:val="multilevel"/>
    <w:tmpl w:val="9EEC6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C14BF5"/>
    <w:multiLevelType w:val="multilevel"/>
    <w:tmpl w:val="9C341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B30F4F"/>
    <w:multiLevelType w:val="multilevel"/>
    <w:tmpl w:val="18D0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4216813">
    <w:abstractNumId w:val="0"/>
  </w:num>
  <w:num w:numId="2" w16cid:durableId="1177772728">
    <w:abstractNumId w:val="3"/>
  </w:num>
  <w:num w:numId="3" w16cid:durableId="777722464">
    <w:abstractNumId w:val="4"/>
  </w:num>
  <w:num w:numId="4" w16cid:durableId="1375151885">
    <w:abstractNumId w:val="1"/>
  </w:num>
  <w:num w:numId="5" w16cid:durableId="7784552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FD6"/>
    <w:rsid w:val="00133768"/>
    <w:rsid w:val="00196E18"/>
    <w:rsid w:val="00342FD6"/>
    <w:rsid w:val="003C0E31"/>
    <w:rsid w:val="00543BB1"/>
    <w:rsid w:val="005A76E2"/>
    <w:rsid w:val="005F38EB"/>
    <w:rsid w:val="006657E0"/>
    <w:rsid w:val="00771C94"/>
    <w:rsid w:val="00884988"/>
    <w:rsid w:val="00A97FDC"/>
    <w:rsid w:val="00AB6B6B"/>
    <w:rsid w:val="00B45A8A"/>
    <w:rsid w:val="00CF0EC4"/>
    <w:rsid w:val="00CF5704"/>
    <w:rsid w:val="00E56A70"/>
    <w:rsid w:val="00EA3068"/>
    <w:rsid w:val="00ED4BB1"/>
    <w:rsid w:val="00EF2884"/>
    <w:rsid w:val="00F26507"/>
    <w:rsid w:val="00FB27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CA7B1"/>
  <w15:chartTrackingRefBased/>
  <w15:docId w15:val="{CBC35996-2C51-4540-AB26-7ED9E4E1B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2F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2F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2F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2F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2F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2F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2F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2F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2F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F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2F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2F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2F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2F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2F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2F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2F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2FD6"/>
    <w:rPr>
      <w:rFonts w:eastAsiaTheme="majorEastAsia" w:cstheme="majorBidi"/>
      <w:color w:val="272727" w:themeColor="text1" w:themeTint="D8"/>
    </w:rPr>
  </w:style>
  <w:style w:type="paragraph" w:styleId="Title">
    <w:name w:val="Title"/>
    <w:basedOn w:val="Normal"/>
    <w:next w:val="Normal"/>
    <w:link w:val="TitleChar"/>
    <w:uiPriority w:val="10"/>
    <w:qFormat/>
    <w:rsid w:val="00342F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F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2F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2F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2FD6"/>
    <w:pPr>
      <w:spacing w:before="160"/>
      <w:jc w:val="center"/>
    </w:pPr>
    <w:rPr>
      <w:i/>
      <w:iCs/>
      <w:color w:val="404040" w:themeColor="text1" w:themeTint="BF"/>
    </w:rPr>
  </w:style>
  <w:style w:type="character" w:customStyle="1" w:styleId="QuoteChar">
    <w:name w:val="Quote Char"/>
    <w:basedOn w:val="DefaultParagraphFont"/>
    <w:link w:val="Quote"/>
    <w:uiPriority w:val="29"/>
    <w:rsid w:val="00342FD6"/>
    <w:rPr>
      <w:i/>
      <w:iCs/>
      <w:color w:val="404040" w:themeColor="text1" w:themeTint="BF"/>
    </w:rPr>
  </w:style>
  <w:style w:type="paragraph" w:styleId="ListParagraph">
    <w:name w:val="List Paragraph"/>
    <w:basedOn w:val="Normal"/>
    <w:uiPriority w:val="34"/>
    <w:qFormat/>
    <w:rsid w:val="00342FD6"/>
    <w:pPr>
      <w:ind w:left="720"/>
      <w:contextualSpacing/>
    </w:pPr>
  </w:style>
  <w:style w:type="character" w:styleId="IntenseEmphasis">
    <w:name w:val="Intense Emphasis"/>
    <w:basedOn w:val="DefaultParagraphFont"/>
    <w:uiPriority w:val="21"/>
    <w:qFormat/>
    <w:rsid w:val="00342FD6"/>
    <w:rPr>
      <w:i/>
      <w:iCs/>
      <w:color w:val="2F5496" w:themeColor="accent1" w:themeShade="BF"/>
    </w:rPr>
  </w:style>
  <w:style w:type="paragraph" w:styleId="IntenseQuote">
    <w:name w:val="Intense Quote"/>
    <w:basedOn w:val="Normal"/>
    <w:next w:val="Normal"/>
    <w:link w:val="IntenseQuoteChar"/>
    <w:uiPriority w:val="30"/>
    <w:qFormat/>
    <w:rsid w:val="00342F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2FD6"/>
    <w:rPr>
      <w:i/>
      <w:iCs/>
      <w:color w:val="2F5496" w:themeColor="accent1" w:themeShade="BF"/>
    </w:rPr>
  </w:style>
  <w:style w:type="character" w:styleId="IntenseReference">
    <w:name w:val="Intense Reference"/>
    <w:basedOn w:val="DefaultParagraphFont"/>
    <w:uiPriority w:val="32"/>
    <w:qFormat/>
    <w:rsid w:val="00342FD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63882">
      <w:bodyDiv w:val="1"/>
      <w:marLeft w:val="0"/>
      <w:marRight w:val="0"/>
      <w:marTop w:val="0"/>
      <w:marBottom w:val="0"/>
      <w:divBdr>
        <w:top w:val="none" w:sz="0" w:space="0" w:color="auto"/>
        <w:left w:val="none" w:sz="0" w:space="0" w:color="auto"/>
        <w:bottom w:val="none" w:sz="0" w:space="0" w:color="auto"/>
        <w:right w:val="none" w:sz="0" w:space="0" w:color="auto"/>
      </w:divBdr>
      <w:divsChild>
        <w:div w:id="806044603">
          <w:marLeft w:val="0"/>
          <w:marRight w:val="0"/>
          <w:marTop w:val="0"/>
          <w:marBottom w:val="0"/>
          <w:divBdr>
            <w:top w:val="none" w:sz="0" w:space="0" w:color="auto"/>
            <w:left w:val="none" w:sz="0" w:space="0" w:color="auto"/>
            <w:bottom w:val="none" w:sz="0" w:space="0" w:color="auto"/>
            <w:right w:val="none" w:sz="0" w:space="0" w:color="auto"/>
          </w:divBdr>
          <w:divsChild>
            <w:div w:id="1341161249">
              <w:marLeft w:val="0"/>
              <w:marRight w:val="0"/>
              <w:marTop w:val="0"/>
              <w:marBottom w:val="0"/>
              <w:divBdr>
                <w:top w:val="none" w:sz="0" w:space="0" w:color="auto"/>
                <w:left w:val="none" w:sz="0" w:space="0" w:color="auto"/>
                <w:bottom w:val="none" w:sz="0" w:space="0" w:color="auto"/>
                <w:right w:val="none" w:sz="0" w:space="0" w:color="auto"/>
              </w:divBdr>
              <w:divsChild>
                <w:div w:id="1975870109">
                  <w:marLeft w:val="0"/>
                  <w:marRight w:val="0"/>
                  <w:marTop w:val="0"/>
                  <w:marBottom w:val="0"/>
                  <w:divBdr>
                    <w:top w:val="none" w:sz="0" w:space="0" w:color="auto"/>
                    <w:left w:val="none" w:sz="0" w:space="0" w:color="auto"/>
                    <w:bottom w:val="none" w:sz="0" w:space="0" w:color="auto"/>
                    <w:right w:val="none" w:sz="0" w:space="0" w:color="auto"/>
                  </w:divBdr>
                  <w:divsChild>
                    <w:div w:id="2133278804">
                      <w:marLeft w:val="0"/>
                      <w:marRight w:val="0"/>
                      <w:marTop w:val="0"/>
                      <w:marBottom w:val="0"/>
                      <w:divBdr>
                        <w:top w:val="none" w:sz="0" w:space="0" w:color="auto"/>
                        <w:left w:val="none" w:sz="0" w:space="0" w:color="auto"/>
                        <w:bottom w:val="none" w:sz="0" w:space="0" w:color="auto"/>
                        <w:right w:val="none" w:sz="0" w:space="0" w:color="auto"/>
                      </w:divBdr>
                      <w:divsChild>
                        <w:div w:id="1817262127">
                          <w:marLeft w:val="0"/>
                          <w:marRight w:val="0"/>
                          <w:marTop w:val="0"/>
                          <w:marBottom w:val="0"/>
                          <w:divBdr>
                            <w:top w:val="none" w:sz="0" w:space="0" w:color="auto"/>
                            <w:left w:val="none" w:sz="0" w:space="0" w:color="auto"/>
                            <w:bottom w:val="none" w:sz="0" w:space="0" w:color="auto"/>
                            <w:right w:val="none" w:sz="0" w:space="0" w:color="auto"/>
                          </w:divBdr>
                          <w:divsChild>
                            <w:div w:id="981468400">
                              <w:marLeft w:val="0"/>
                              <w:marRight w:val="0"/>
                              <w:marTop w:val="0"/>
                              <w:marBottom w:val="0"/>
                              <w:divBdr>
                                <w:top w:val="none" w:sz="0" w:space="0" w:color="auto"/>
                                <w:left w:val="none" w:sz="0" w:space="0" w:color="auto"/>
                                <w:bottom w:val="none" w:sz="0" w:space="0" w:color="auto"/>
                                <w:right w:val="none" w:sz="0" w:space="0" w:color="auto"/>
                              </w:divBdr>
                              <w:divsChild>
                                <w:div w:id="666514233">
                                  <w:marLeft w:val="0"/>
                                  <w:marRight w:val="0"/>
                                  <w:marTop w:val="0"/>
                                  <w:marBottom w:val="0"/>
                                  <w:divBdr>
                                    <w:top w:val="none" w:sz="0" w:space="0" w:color="auto"/>
                                    <w:left w:val="none" w:sz="0" w:space="0" w:color="auto"/>
                                    <w:bottom w:val="none" w:sz="0" w:space="0" w:color="auto"/>
                                    <w:right w:val="none" w:sz="0" w:space="0" w:color="auto"/>
                                  </w:divBdr>
                                  <w:divsChild>
                                    <w:div w:id="69353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267017">
                          <w:marLeft w:val="0"/>
                          <w:marRight w:val="0"/>
                          <w:marTop w:val="0"/>
                          <w:marBottom w:val="0"/>
                          <w:divBdr>
                            <w:top w:val="none" w:sz="0" w:space="0" w:color="auto"/>
                            <w:left w:val="none" w:sz="0" w:space="0" w:color="auto"/>
                            <w:bottom w:val="none" w:sz="0" w:space="0" w:color="auto"/>
                            <w:right w:val="none" w:sz="0" w:space="0" w:color="auto"/>
                          </w:divBdr>
                          <w:divsChild>
                            <w:div w:id="1359043603">
                              <w:marLeft w:val="0"/>
                              <w:marRight w:val="0"/>
                              <w:marTop w:val="0"/>
                              <w:marBottom w:val="0"/>
                              <w:divBdr>
                                <w:top w:val="none" w:sz="0" w:space="0" w:color="auto"/>
                                <w:left w:val="none" w:sz="0" w:space="0" w:color="auto"/>
                                <w:bottom w:val="none" w:sz="0" w:space="0" w:color="auto"/>
                                <w:right w:val="none" w:sz="0" w:space="0" w:color="auto"/>
                              </w:divBdr>
                              <w:divsChild>
                                <w:div w:id="206224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183344">
      <w:bodyDiv w:val="1"/>
      <w:marLeft w:val="0"/>
      <w:marRight w:val="0"/>
      <w:marTop w:val="0"/>
      <w:marBottom w:val="0"/>
      <w:divBdr>
        <w:top w:val="none" w:sz="0" w:space="0" w:color="auto"/>
        <w:left w:val="none" w:sz="0" w:space="0" w:color="auto"/>
        <w:bottom w:val="none" w:sz="0" w:space="0" w:color="auto"/>
        <w:right w:val="none" w:sz="0" w:space="0" w:color="auto"/>
      </w:divBdr>
    </w:div>
    <w:div w:id="239220602">
      <w:bodyDiv w:val="1"/>
      <w:marLeft w:val="0"/>
      <w:marRight w:val="0"/>
      <w:marTop w:val="0"/>
      <w:marBottom w:val="0"/>
      <w:divBdr>
        <w:top w:val="none" w:sz="0" w:space="0" w:color="auto"/>
        <w:left w:val="none" w:sz="0" w:space="0" w:color="auto"/>
        <w:bottom w:val="none" w:sz="0" w:space="0" w:color="auto"/>
        <w:right w:val="none" w:sz="0" w:space="0" w:color="auto"/>
      </w:divBdr>
    </w:div>
    <w:div w:id="578058621">
      <w:bodyDiv w:val="1"/>
      <w:marLeft w:val="0"/>
      <w:marRight w:val="0"/>
      <w:marTop w:val="0"/>
      <w:marBottom w:val="0"/>
      <w:divBdr>
        <w:top w:val="none" w:sz="0" w:space="0" w:color="auto"/>
        <w:left w:val="none" w:sz="0" w:space="0" w:color="auto"/>
        <w:bottom w:val="none" w:sz="0" w:space="0" w:color="auto"/>
        <w:right w:val="none" w:sz="0" w:space="0" w:color="auto"/>
      </w:divBdr>
    </w:div>
    <w:div w:id="613632912">
      <w:bodyDiv w:val="1"/>
      <w:marLeft w:val="0"/>
      <w:marRight w:val="0"/>
      <w:marTop w:val="0"/>
      <w:marBottom w:val="0"/>
      <w:divBdr>
        <w:top w:val="none" w:sz="0" w:space="0" w:color="auto"/>
        <w:left w:val="none" w:sz="0" w:space="0" w:color="auto"/>
        <w:bottom w:val="none" w:sz="0" w:space="0" w:color="auto"/>
        <w:right w:val="none" w:sz="0" w:space="0" w:color="auto"/>
      </w:divBdr>
    </w:div>
    <w:div w:id="716780581">
      <w:bodyDiv w:val="1"/>
      <w:marLeft w:val="0"/>
      <w:marRight w:val="0"/>
      <w:marTop w:val="0"/>
      <w:marBottom w:val="0"/>
      <w:divBdr>
        <w:top w:val="none" w:sz="0" w:space="0" w:color="auto"/>
        <w:left w:val="none" w:sz="0" w:space="0" w:color="auto"/>
        <w:bottom w:val="none" w:sz="0" w:space="0" w:color="auto"/>
        <w:right w:val="none" w:sz="0" w:space="0" w:color="auto"/>
      </w:divBdr>
      <w:divsChild>
        <w:div w:id="1978996435">
          <w:marLeft w:val="0"/>
          <w:marRight w:val="0"/>
          <w:marTop w:val="0"/>
          <w:marBottom w:val="0"/>
          <w:divBdr>
            <w:top w:val="none" w:sz="0" w:space="0" w:color="auto"/>
            <w:left w:val="none" w:sz="0" w:space="0" w:color="auto"/>
            <w:bottom w:val="none" w:sz="0" w:space="0" w:color="auto"/>
            <w:right w:val="none" w:sz="0" w:space="0" w:color="auto"/>
          </w:divBdr>
          <w:divsChild>
            <w:div w:id="1023481871">
              <w:marLeft w:val="0"/>
              <w:marRight w:val="0"/>
              <w:marTop w:val="0"/>
              <w:marBottom w:val="0"/>
              <w:divBdr>
                <w:top w:val="none" w:sz="0" w:space="0" w:color="auto"/>
                <w:left w:val="none" w:sz="0" w:space="0" w:color="auto"/>
                <w:bottom w:val="none" w:sz="0" w:space="0" w:color="auto"/>
                <w:right w:val="none" w:sz="0" w:space="0" w:color="auto"/>
              </w:divBdr>
              <w:divsChild>
                <w:div w:id="2007514758">
                  <w:marLeft w:val="0"/>
                  <w:marRight w:val="0"/>
                  <w:marTop w:val="0"/>
                  <w:marBottom w:val="0"/>
                  <w:divBdr>
                    <w:top w:val="none" w:sz="0" w:space="0" w:color="auto"/>
                    <w:left w:val="none" w:sz="0" w:space="0" w:color="auto"/>
                    <w:bottom w:val="none" w:sz="0" w:space="0" w:color="auto"/>
                    <w:right w:val="none" w:sz="0" w:space="0" w:color="auto"/>
                  </w:divBdr>
                  <w:divsChild>
                    <w:div w:id="1532182215">
                      <w:marLeft w:val="0"/>
                      <w:marRight w:val="0"/>
                      <w:marTop w:val="0"/>
                      <w:marBottom w:val="0"/>
                      <w:divBdr>
                        <w:top w:val="none" w:sz="0" w:space="0" w:color="auto"/>
                        <w:left w:val="none" w:sz="0" w:space="0" w:color="auto"/>
                        <w:bottom w:val="none" w:sz="0" w:space="0" w:color="auto"/>
                        <w:right w:val="none" w:sz="0" w:space="0" w:color="auto"/>
                      </w:divBdr>
                      <w:divsChild>
                        <w:div w:id="2057386791">
                          <w:marLeft w:val="0"/>
                          <w:marRight w:val="0"/>
                          <w:marTop w:val="0"/>
                          <w:marBottom w:val="0"/>
                          <w:divBdr>
                            <w:top w:val="none" w:sz="0" w:space="0" w:color="auto"/>
                            <w:left w:val="none" w:sz="0" w:space="0" w:color="auto"/>
                            <w:bottom w:val="none" w:sz="0" w:space="0" w:color="auto"/>
                            <w:right w:val="none" w:sz="0" w:space="0" w:color="auto"/>
                          </w:divBdr>
                          <w:divsChild>
                            <w:div w:id="1385985829">
                              <w:marLeft w:val="0"/>
                              <w:marRight w:val="0"/>
                              <w:marTop w:val="0"/>
                              <w:marBottom w:val="0"/>
                              <w:divBdr>
                                <w:top w:val="none" w:sz="0" w:space="0" w:color="auto"/>
                                <w:left w:val="none" w:sz="0" w:space="0" w:color="auto"/>
                                <w:bottom w:val="none" w:sz="0" w:space="0" w:color="auto"/>
                                <w:right w:val="none" w:sz="0" w:space="0" w:color="auto"/>
                              </w:divBdr>
                              <w:divsChild>
                                <w:div w:id="1713722322">
                                  <w:marLeft w:val="0"/>
                                  <w:marRight w:val="0"/>
                                  <w:marTop w:val="0"/>
                                  <w:marBottom w:val="0"/>
                                  <w:divBdr>
                                    <w:top w:val="none" w:sz="0" w:space="0" w:color="auto"/>
                                    <w:left w:val="none" w:sz="0" w:space="0" w:color="auto"/>
                                    <w:bottom w:val="none" w:sz="0" w:space="0" w:color="auto"/>
                                    <w:right w:val="none" w:sz="0" w:space="0" w:color="auto"/>
                                  </w:divBdr>
                                  <w:divsChild>
                                    <w:div w:id="139921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489509">
                          <w:marLeft w:val="0"/>
                          <w:marRight w:val="0"/>
                          <w:marTop w:val="0"/>
                          <w:marBottom w:val="0"/>
                          <w:divBdr>
                            <w:top w:val="none" w:sz="0" w:space="0" w:color="auto"/>
                            <w:left w:val="none" w:sz="0" w:space="0" w:color="auto"/>
                            <w:bottom w:val="none" w:sz="0" w:space="0" w:color="auto"/>
                            <w:right w:val="none" w:sz="0" w:space="0" w:color="auto"/>
                          </w:divBdr>
                          <w:divsChild>
                            <w:div w:id="1194808014">
                              <w:marLeft w:val="0"/>
                              <w:marRight w:val="0"/>
                              <w:marTop w:val="0"/>
                              <w:marBottom w:val="0"/>
                              <w:divBdr>
                                <w:top w:val="none" w:sz="0" w:space="0" w:color="auto"/>
                                <w:left w:val="none" w:sz="0" w:space="0" w:color="auto"/>
                                <w:bottom w:val="none" w:sz="0" w:space="0" w:color="auto"/>
                                <w:right w:val="none" w:sz="0" w:space="0" w:color="auto"/>
                              </w:divBdr>
                              <w:divsChild>
                                <w:div w:id="190933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5629756">
      <w:bodyDiv w:val="1"/>
      <w:marLeft w:val="0"/>
      <w:marRight w:val="0"/>
      <w:marTop w:val="0"/>
      <w:marBottom w:val="0"/>
      <w:divBdr>
        <w:top w:val="none" w:sz="0" w:space="0" w:color="auto"/>
        <w:left w:val="none" w:sz="0" w:space="0" w:color="auto"/>
        <w:bottom w:val="none" w:sz="0" w:space="0" w:color="auto"/>
        <w:right w:val="none" w:sz="0" w:space="0" w:color="auto"/>
      </w:divBdr>
    </w:div>
    <w:div w:id="846333865">
      <w:bodyDiv w:val="1"/>
      <w:marLeft w:val="0"/>
      <w:marRight w:val="0"/>
      <w:marTop w:val="0"/>
      <w:marBottom w:val="0"/>
      <w:divBdr>
        <w:top w:val="none" w:sz="0" w:space="0" w:color="auto"/>
        <w:left w:val="none" w:sz="0" w:space="0" w:color="auto"/>
        <w:bottom w:val="none" w:sz="0" w:space="0" w:color="auto"/>
        <w:right w:val="none" w:sz="0" w:space="0" w:color="auto"/>
      </w:divBdr>
    </w:div>
    <w:div w:id="1038242517">
      <w:bodyDiv w:val="1"/>
      <w:marLeft w:val="0"/>
      <w:marRight w:val="0"/>
      <w:marTop w:val="0"/>
      <w:marBottom w:val="0"/>
      <w:divBdr>
        <w:top w:val="none" w:sz="0" w:space="0" w:color="auto"/>
        <w:left w:val="none" w:sz="0" w:space="0" w:color="auto"/>
        <w:bottom w:val="none" w:sz="0" w:space="0" w:color="auto"/>
        <w:right w:val="none" w:sz="0" w:space="0" w:color="auto"/>
      </w:divBdr>
    </w:div>
    <w:div w:id="1159997803">
      <w:bodyDiv w:val="1"/>
      <w:marLeft w:val="0"/>
      <w:marRight w:val="0"/>
      <w:marTop w:val="0"/>
      <w:marBottom w:val="0"/>
      <w:divBdr>
        <w:top w:val="none" w:sz="0" w:space="0" w:color="auto"/>
        <w:left w:val="none" w:sz="0" w:space="0" w:color="auto"/>
        <w:bottom w:val="none" w:sz="0" w:space="0" w:color="auto"/>
        <w:right w:val="none" w:sz="0" w:space="0" w:color="auto"/>
      </w:divBdr>
    </w:div>
    <w:div w:id="1541356081">
      <w:bodyDiv w:val="1"/>
      <w:marLeft w:val="0"/>
      <w:marRight w:val="0"/>
      <w:marTop w:val="0"/>
      <w:marBottom w:val="0"/>
      <w:divBdr>
        <w:top w:val="none" w:sz="0" w:space="0" w:color="auto"/>
        <w:left w:val="none" w:sz="0" w:space="0" w:color="auto"/>
        <w:bottom w:val="none" w:sz="0" w:space="0" w:color="auto"/>
        <w:right w:val="none" w:sz="0" w:space="0" w:color="auto"/>
      </w:divBdr>
    </w:div>
    <w:div w:id="1562206636">
      <w:bodyDiv w:val="1"/>
      <w:marLeft w:val="0"/>
      <w:marRight w:val="0"/>
      <w:marTop w:val="0"/>
      <w:marBottom w:val="0"/>
      <w:divBdr>
        <w:top w:val="none" w:sz="0" w:space="0" w:color="auto"/>
        <w:left w:val="none" w:sz="0" w:space="0" w:color="auto"/>
        <w:bottom w:val="none" w:sz="0" w:space="0" w:color="auto"/>
        <w:right w:val="none" w:sz="0" w:space="0" w:color="auto"/>
      </w:divBdr>
    </w:div>
    <w:div w:id="1620719300">
      <w:bodyDiv w:val="1"/>
      <w:marLeft w:val="0"/>
      <w:marRight w:val="0"/>
      <w:marTop w:val="0"/>
      <w:marBottom w:val="0"/>
      <w:divBdr>
        <w:top w:val="none" w:sz="0" w:space="0" w:color="auto"/>
        <w:left w:val="none" w:sz="0" w:space="0" w:color="auto"/>
        <w:bottom w:val="none" w:sz="0" w:space="0" w:color="auto"/>
        <w:right w:val="none" w:sz="0" w:space="0" w:color="auto"/>
      </w:divBdr>
    </w:div>
    <w:div w:id="1659530115">
      <w:bodyDiv w:val="1"/>
      <w:marLeft w:val="0"/>
      <w:marRight w:val="0"/>
      <w:marTop w:val="0"/>
      <w:marBottom w:val="0"/>
      <w:divBdr>
        <w:top w:val="none" w:sz="0" w:space="0" w:color="auto"/>
        <w:left w:val="none" w:sz="0" w:space="0" w:color="auto"/>
        <w:bottom w:val="none" w:sz="0" w:space="0" w:color="auto"/>
        <w:right w:val="none" w:sz="0" w:space="0" w:color="auto"/>
      </w:divBdr>
    </w:div>
    <w:div w:id="1690178089">
      <w:bodyDiv w:val="1"/>
      <w:marLeft w:val="0"/>
      <w:marRight w:val="0"/>
      <w:marTop w:val="0"/>
      <w:marBottom w:val="0"/>
      <w:divBdr>
        <w:top w:val="none" w:sz="0" w:space="0" w:color="auto"/>
        <w:left w:val="none" w:sz="0" w:space="0" w:color="auto"/>
        <w:bottom w:val="none" w:sz="0" w:space="0" w:color="auto"/>
        <w:right w:val="none" w:sz="0" w:space="0" w:color="auto"/>
      </w:divBdr>
    </w:div>
    <w:div w:id="1760636438">
      <w:bodyDiv w:val="1"/>
      <w:marLeft w:val="0"/>
      <w:marRight w:val="0"/>
      <w:marTop w:val="0"/>
      <w:marBottom w:val="0"/>
      <w:divBdr>
        <w:top w:val="none" w:sz="0" w:space="0" w:color="auto"/>
        <w:left w:val="none" w:sz="0" w:space="0" w:color="auto"/>
        <w:bottom w:val="none" w:sz="0" w:space="0" w:color="auto"/>
        <w:right w:val="none" w:sz="0" w:space="0" w:color="auto"/>
      </w:divBdr>
    </w:div>
    <w:div w:id="1800802526">
      <w:bodyDiv w:val="1"/>
      <w:marLeft w:val="0"/>
      <w:marRight w:val="0"/>
      <w:marTop w:val="0"/>
      <w:marBottom w:val="0"/>
      <w:divBdr>
        <w:top w:val="none" w:sz="0" w:space="0" w:color="auto"/>
        <w:left w:val="none" w:sz="0" w:space="0" w:color="auto"/>
        <w:bottom w:val="none" w:sz="0" w:space="0" w:color="auto"/>
        <w:right w:val="none" w:sz="0" w:space="0" w:color="auto"/>
      </w:divBdr>
    </w:div>
    <w:div w:id="1956521214">
      <w:bodyDiv w:val="1"/>
      <w:marLeft w:val="0"/>
      <w:marRight w:val="0"/>
      <w:marTop w:val="0"/>
      <w:marBottom w:val="0"/>
      <w:divBdr>
        <w:top w:val="none" w:sz="0" w:space="0" w:color="auto"/>
        <w:left w:val="none" w:sz="0" w:space="0" w:color="auto"/>
        <w:bottom w:val="none" w:sz="0" w:space="0" w:color="auto"/>
        <w:right w:val="none" w:sz="0" w:space="0" w:color="auto"/>
      </w:divBdr>
    </w:div>
    <w:div w:id="2011832320">
      <w:bodyDiv w:val="1"/>
      <w:marLeft w:val="0"/>
      <w:marRight w:val="0"/>
      <w:marTop w:val="0"/>
      <w:marBottom w:val="0"/>
      <w:divBdr>
        <w:top w:val="none" w:sz="0" w:space="0" w:color="auto"/>
        <w:left w:val="none" w:sz="0" w:space="0" w:color="auto"/>
        <w:bottom w:val="none" w:sz="0" w:space="0" w:color="auto"/>
        <w:right w:val="none" w:sz="0" w:space="0" w:color="auto"/>
      </w:divBdr>
    </w:div>
    <w:div w:id="208372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898</Words>
  <Characters>5121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Garima Singh</dc:creator>
  <cp:keywords/>
  <dc:description/>
  <cp:lastModifiedBy>Garima Singh</cp:lastModifiedBy>
  <cp:revision>13</cp:revision>
  <dcterms:created xsi:type="dcterms:W3CDTF">2025-03-30T15:22:00Z</dcterms:created>
  <dcterms:modified xsi:type="dcterms:W3CDTF">2025-03-31T08:31:00Z</dcterms:modified>
</cp:coreProperties>
</file>