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jc w:val="center"/>
      </w:pPr>
      <w:r>
        <w:rPr>
          <w:rFonts w:ascii="Calibri" w:cs="Calibri" w:eastAsia="Calibri" w:hAnsi="Calibri"/>
          <w:b/>
          <w:bCs/>
          <w:color w:val="1F4E9E"/>
          <w:spacing w:val="60"/>
          <w:sz w:val="26"/>
          <w:szCs w:val="26"/>
        </w:rPr>
        <w:t xml:space="preserve">PROJECT REPORT</w:t>
      </w:r>
    </w:p>
    <w:p>
      <w:pPr>
        <w:spacing w:after="100"/>
        <w:jc w:val="center"/>
      </w:pPr>
      <w:r>
        <w:rPr>
          <w:rFonts w:ascii="Calibri" w:cs="Calibri" w:eastAsia="Calibri" w:hAnsi="Calibri"/>
          <w:b/>
          <w:bCs/>
          <w:color w:val="111827"/>
          <w:sz w:val="48"/>
          <w:szCs w:val="48"/>
        </w:rPr>
        <w:t xml:space="preserve">Cryptocurrency Market Analysis System</w:t>
      </w:r>
    </w:p>
    <w:p>
      <w:pPr>
        <w:spacing w:after="60"/>
        <w:jc w:val="center"/>
      </w:pPr>
      <w:r>
        <w:rPr>
          <w:rFonts w:ascii="Calibri" w:cs="Calibri" w:eastAsia="Calibri" w:hAnsi="Calibri"/>
          <w:color w:val="374151"/>
          <w:sz w:val="24"/>
          <w:szCs w:val="24"/>
        </w:rPr>
        <w:t xml:space="preserve">A Data Science System for Digital-Asset Market Analytics,</w:t>
      </w:r>
    </w:p>
    <w:p>
      <w:pPr>
        <w:spacing w:after="320"/>
        <w:jc w:val="center"/>
      </w:pPr>
      <w:r>
        <w:rPr>
          <w:rFonts w:ascii="Calibri" w:cs="Calibri" w:eastAsia="Calibri" w:hAnsi="Calibri"/>
          <w:color w:val="374151"/>
          <w:sz w:val="24"/>
          <w:szCs w:val="24"/>
        </w:rPr>
        <w:t xml:space="preserve">Risk Assessment, Market-Cycle Identification, and Forecasting</w:t>
      </w:r>
    </w:p>
    <w:p>
      <w:pPr>
        <w:spacing w:after="480"/>
        <w:jc w:val="center"/>
      </w:pPr>
      <w:r>
        <w:rPr>
          <w:rFonts w:ascii="Calibri" w:cs="Calibri" w:eastAsia="Calibri" w:hAnsi="Calibri"/>
          <w:i/>
          <w:iCs/>
          <w:color w:val="374151"/>
          <w:sz w:val="22"/>
          <w:szCs w:val="22"/>
        </w:rPr>
        <w:t xml:space="preserve">Submitted for the IBM Data Science Internship</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3000"/>
        <w:gridCol w:w="6026"/>
      </w:tblGrid>
      <w:tr>
        <w:trPr>
          <w:tblHeader/>
        </w:trPr>
        <w:tc>
          <w:tcPr>
            <w:tcW w:type="dxa" w:w="30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60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Detail</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Author</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Garima Aishwarya</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Programme</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B.Tech, Computer Science &amp; Engineering (AI/ML)</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Institution</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UPES, Dehradun</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Domain</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Data Science / Financial Analytics</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Deliverable</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Interactive analytics dashboard and analysis pipeline</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Denomination</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Indian Rupees (INR)</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Data snapshot</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31 August 2025 – 30 August 2026</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Date</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August 2026</w:t>
            </w:r>
          </w:p>
        </w:tc>
      </w:tr>
    </w:tbl>
    <w:p>
      <w:r>
        <w:br w:type="page"/>
      </w:r>
    </w:p>
    <w:p>
      <w:pPr>
        <w:pStyle w:val="Heading1"/>
        <w:spacing w:after="160" w:before="320"/>
      </w:pPr>
      <w:r>
        <w:rPr>
          <w:rFonts w:ascii="Calibri" w:cs="Calibri" w:eastAsia="Calibri" w:hAnsi="Calibri"/>
          <w:b/>
          <w:bCs/>
          <w:color w:val="1F4E9E"/>
          <w:sz w:val="30"/>
          <w:szCs w:val="30"/>
        </w:rPr>
        <w:t xml:space="preserve">Table of Contents</w:t>
      </w:r>
    </w:p>
    <w:p>
      <w:pPr>
        <w:tabs>
          <w:tab w:val="right" w:pos="9026" w:leader="dot"/>
        </w:tabs>
        <w:spacing w:after="70" w:line="264"/>
      </w:pPr>
      <w:r>
        <w:rPr>
          <w:rFonts w:ascii="Calibri" w:cs="Calibri" w:eastAsia="Calibri" w:hAnsi="Calibri"/>
          <w:b/>
          <w:bCs/>
          <w:color w:val="111827"/>
          <w:sz w:val="21"/>
          <w:szCs w:val="21"/>
        </w:rPr>
        <w:t xml:space="preserve">1. Abstract</w:t>
      </w:r>
      <w:r>
        <w:rPr>
          <w:rFonts w:ascii="Calibri" w:cs="Calibri" w:eastAsia="Calibri" w:hAnsi="Calibri"/>
          <w:b/>
          <w:bCs/>
          <w:color w:val="111827"/>
          <w:sz w:val="21"/>
          <w:szCs w:val="21"/>
        </w:rPr>
        <w:t xml:space="preserve">	3</w:t>
      </w:r>
    </w:p>
    <w:p>
      <w:pPr>
        <w:tabs>
          <w:tab w:val="right" w:pos="9026" w:leader="dot"/>
        </w:tabs>
        <w:spacing w:after="70" w:line="264"/>
      </w:pPr>
      <w:r>
        <w:rPr>
          <w:rFonts w:ascii="Calibri" w:cs="Calibri" w:eastAsia="Calibri" w:hAnsi="Calibri"/>
          <w:b/>
          <w:bCs/>
          <w:color w:val="111827"/>
          <w:sz w:val="21"/>
          <w:szCs w:val="21"/>
        </w:rPr>
        <w:t xml:space="preserve">2. Introduction</w:t>
      </w:r>
      <w:r>
        <w:rPr>
          <w:rFonts w:ascii="Calibri" w:cs="Calibri" w:eastAsia="Calibri" w:hAnsi="Calibri"/>
          <w:b/>
          <w:bCs/>
          <w:color w:val="111827"/>
          <w:sz w:val="21"/>
          <w:szCs w:val="21"/>
        </w:rPr>
        <w:t xml:space="preserve">	3</w:t>
      </w:r>
    </w:p>
    <w:p>
      <w:pPr>
        <w:tabs>
          <w:tab w:val="right" w:pos="9026" w:leader="dot"/>
        </w:tabs>
        <w:spacing w:after="40" w:line="264"/>
        <w:ind w:left="380"/>
      </w:pPr>
      <w:r>
        <w:rPr>
          <w:rFonts w:ascii="Calibri" w:cs="Calibri" w:eastAsia="Calibri" w:hAnsi="Calibri"/>
          <w:b w:val="false"/>
          <w:bCs w:val="false"/>
          <w:color w:val="374151"/>
          <w:sz w:val="21"/>
          <w:szCs w:val="21"/>
        </w:rPr>
        <w:t xml:space="preserve">2.1 Background</w:t>
      </w:r>
      <w:r>
        <w:rPr>
          <w:rFonts w:ascii="Calibri" w:cs="Calibri" w:eastAsia="Calibri" w:hAnsi="Calibri"/>
          <w:b w:val="false"/>
          <w:bCs w:val="false"/>
          <w:color w:val="374151"/>
          <w:sz w:val="21"/>
          <w:szCs w:val="21"/>
        </w:rPr>
        <w:t xml:space="preserve">	3</w:t>
      </w:r>
    </w:p>
    <w:p>
      <w:pPr>
        <w:tabs>
          <w:tab w:val="right" w:pos="9026" w:leader="dot"/>
        </w:tabs>
        <w:spacing w:after="40" w:line="264"/>
        <w:ind w:left="380"/>
      </w:pPr>
      <w:r>
        <w:rPr>
          <w:rFonts w:ascii="Calibri" w:cs="Calibri" w:eastAsia="Calibri" w:hAnsi="Calibri"/>
          <w:b w:val="false"/>
          <w:bCs w:val="false"/>
          <w:color w:val="374151"/>
          <w:sz w:val="21"/>
          <w:szCs w:val="21"/>
        </w:rPr>
        <w:t xml:space="preserve">2.2 Problem Statement</w:t>
      </w:r>
      <w:r>
        <w:rPr>
          <w:rFonts w:ascii="Calibri" w:cs="Calibri" w:eastAsia="Calibri" w:hAnsi="Calibri"/>
          <w:b w:val="false"/>
          <w:bCs w:val="false"/>
          <w:color w:val="374151"/>
          <w:sz w:val="21"/>
          <w:szCs w:val="21"/>
        </w:rPr>
        <w:t xml:space="preserve">	3</w:t>
      </w:r>
    </w:p>
    <w:p>
      <w:pPr>
        <w:tabs>
          <w:tab w:val="right" w:pos="9026" w:leader="dot"/>
        </w:tabs>
        <w:spacing w:after="40" w:line="264"/>
        <w:ind w:left="380"/>
      </w:pPr>
      <w:r>
        <w:rPr>
          <w:rFonts w:ascii="Calibri" w:cs="Calibri" w:eastAsia="Calibri" w:hAnsi="Calibri"/>
          <w:b w:val="false"/>
          <w:bCs w:val="false"/>
          <w:color w:val="374151"/>
          <w:sz w:val="21"/>
          <w:szCs w:val="21"/>
        </w:rPr>
        <w:t xml:space="preserve">2.3 Objectives</w:t>
      </w:r>
      <w:r>
        <w:rPr>
          <w:rFonts w:ascii="Calibri" w:cs="Calibri" w:eastAsia="Calibri" w:hAnsi="Calibri"/>
          <w:b w:val="false"/>
          <w:bCs w:val="false"/>
          <w:color w:val="374151"/>
          <w:sz w:val="21"/>
          <w:szCs w:val="21"/>
        </w:rPr>
        <w:t xml:space="preserve">	3</w:t>
      </w:r>
    </w:p>
    <w:p>
      <w:pPr>
        <w:tabs>
          <w:tab w:val="right" w:pos="9026" w:leader="dot"/>
        </w:tabs>
        <w:spacing w:after="40" w:line="264"/>
        <w:ind w:left="380"/>
      </w:pPr>
      <w:r>
        <w:rPr>
          <w:rFonts w:ascii="Calibri" w:cs="Calibri" w:eastAsia="Calibri" w:hAnsi="Calibri"/>
          <w:b w:val="false"/>
          <w:bCs w:val="false"/>
          <w:color w:val="374151"/>
          <w:sz w:val="21"/>
          <w:szCs w:val="21"/>
        </w:rPr>
        <w:t xml:space="preserve">2.4 Scope</w:t>
      </w:r>
      <w:r>
        <w:rPr>
          <w:rFonts w:ascii="Calibri" w:cs="Calibri" w:eastAsia="Calibri" w:hAnsi="Calibri"/>
          <w:b w:val="false"/>
          <w:bCs w:val="false"/>
          <w:color w:val="374151"/>
          <w:sz w:val="21"/>
          <w:szCs w:val="21"/>
        </w:rPr>
        <w:t xml:space="preserve">	4</w:t>
      </w:r>
    </w:p>
    <w:p>
      <w:pPr>
        <w:tabs>
          <w:tab w:val="right" w:pos="9026" w:leader="dot"/>
        </w:tabs>
        <w:spacing w:after="70" w:line="264"/>
      </w:pPr>
      <w:r>
        <w:rPr>
          <w:rFonts w:ascii="Calibri" w:cs="Calibri" w:eastAsia="Calibri" w:hAnsi="Calibri"/>
          <w:b/>
          <w:bCs/>
          <w:color w:val="111827"/>
          <w:sz w:val="21"/>
          <w:szCs w:val="21"/>
        </w:rPr>
        <w:t xml:space="preserve">3. System Overview and Architecture</w:t>
      </w:r>
      <w:r>
        <w:rPr>
          <w:rFonts w:ascii="Calibri" w:cs="Calibri" w:eastAsia="Calibri" w:hAnsi="Calibri"/>
          <w:b/>
          <w:bCs/>
          <w:color w:val="111827"/>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3.1 Data Flow</w:t>
      </w:r>
      <w:r>
        <w:rPr>
          <w:rFonts w:ascii="Calibri" w:cs="Calibri" w:eastAsia="Calibri" w:hAnsi="Calibri"/>
          <w:b w:val="false"/>
          <w:bCs w:val="false"/>
          <w:color w:val="374151"/>
          <w:sz w:val="21"/>
          <w:szCs w:val="21"/>
        </w:rPr>
        <w:t xml:space="preserve">	4</w:t>
      </w:r>
    </w:p>
    <w:p>
      <w:pPr>
        <w:tabs>
          <w:tab w:val="right" w:pos="9026" w:leader="dot"/>
        </w:tabs>
        <w:spacing w:after="40" w:line="264"/>
        <w:ind w:left="380"/>
      </w:pPr>
      <w:r>
        <w:rPr>
          <w:rFonts w:ascii="Calibri" w:cs="Calibri" w:eastAsia="Calibri" w:hAnsi="Calibri"/>
          <w:b w:val="false"/>
          <w:bCs w:val="false"/>
          <w:color w:val="374151"/>
          <w:sz w:val="21"/>
          <w:szCs w:val="21"/>
        </w:rPr>
        <w:t xml:space="preserve">3.2 Design Principles</w:t>
      </w:r>
      <w:r>
        <w:rPr>
          <w:rFonts w:ascii="Calibri" w:cs="Calibri" w:eastAsia="Calibri" w:hAnsi="Calibri"/>
          <w:b w:val="false"/>
          <w:bCs w:val="false"/>
          <w:color w:val="374151"/>
          <w:sz w:val="21"/>
          <w:szCs w:val="21"/>
        </w:rPr>
        <w:t xml:space="preserve">	4</w:t>
      </w:r>
    </w:p>
    <w:p>
      <w:pPr>
        <w:tabs>
          <w:tab w:val="right" w:pos="9026" w:leader="dot"/>
        </w:tabs>
        <w:spacing w:after="70" w:line="264"/>
      </w:pPr>
      <w:r>
        <w:rPr>
          <w:rFonts w:ascii="Calibri" w:cs="Calibri" w:eastAsia="Calibri" w:hAnsi="Calibri"/>
          <w:b/>
          <w:bCs/>
          <w:color w:val="111827"/>
          <w:sz w:val="21"/>
          <w:szCs w:val="21"/>
        </w:rPr>
        <w:t xml:space="preserve">4. Technology Stack</w:t>
      </w:r>
      <w:r>
        <w:rPr>
          <w:rFonts w:ascii="Calibri" w:cs="Calibri" w:eastAsia="Calibri" w:hAnsi="Calibri"/>
          <w:b/>
          <w:bCs/>
          <w:color w:val="111827"/>
          <w:sz w:val="21"/>
          <w:szCs w:val="21"/>
        </w:rPr>
        <w:t xml:space="preserve">	5</w:t>
      </w:r>
    </w:p>
    <w:p>
      <w:pPr>
        <w:tabs>
          <w:tab w:val="right" w:pos="9026" w:leader="dot"/>
        </w:tabs>
        <w:spacing w:after="70" w:line="264"/>
      </w:pPr>
      <w:r>
        <w:rPr>
          <w:rFonts w:ascii="Calibri" w:cs="Calibri" w:eastAsia="Calibri" w:hAnsi="Calibri"/>
          <w:b/>
          <w:bCs/>
          <w:color w:val="111827"/>
          <w:sz w:val="21"/>
          <w:szCs w:val="21"/>
        </w:rPr>
        <w:t xml:space="preserve">5. Data Sources and Ingestion</w:t>
      </w:r>
      <w:r>
        <w:rPr>
          <w:rFonts w:ascii="Calibri" w:cs="Calibri" w:eastAsia="Calibri" w:hAnsi="Calibri"/>
          <w:b/>
          <w:bCs/>
          <w:color w:val="111827"/>
          <w:sz w:val="21"/>
          <w:szCs w:val="21"/>
        </w:rPr>
        <w:t xml:space="preserve">	5</w:t>
      </w:r>
    </w:p>
    <w:p>
      <w:pPr>
        <w:tabs>
          <w:tab w:val="right" w:pos="9026" w:leader="dot"/>
        </w:tabs>
        <w:spacing w:after="40" w:line="264"/>
        <w:ind w:left="380"/>
      </w:pPr>
      <w:r>
        <w:rPr>
          <w:rFonts w:ascii="Calibri" w:cs="Calibri" w:eastAsia="Calibri" w:hAnsi="Calibri"/>
          <w:b w:val="false"/>
          <w:bCs w:val="false"/>
          <w:color w:val="374151"/>
          <w:sz w:val="21"/>
          <w:szCs w:val="21"/>
        </w:rPr>
        <w:t xml:space="preserve">5.1 Ingestion, Rate Limiting and Caching</w:t>
      </w:r>
      <w:r>
        <w:rPr>
          <w:rFonts w:ascii="Calibri" w:cs="Calibri" w:eastAsia="Calibri" w:hAnsi="Calibri"/>
          <w:b w:val="false"/>
          <w:bCs w:val="false"/>
          <w:color w:val="374151"/>
          <w:sz w:val="21"/>
          <w:szCs w:val="21"/>
        </w:rPr>
        <w:t xml:space="preserve">	5</w:t>
      </w:r>
    </w:p>
    <w:p>
      <w:pPr>
        <w:tabs>
          <w:tab w:val="right" w:pos="9026" w:leader="dot"/>
        </w:tabs>
        <w:spacing w:after="40" w:line="264"/>
        <w:ind w:left="380"/>
      </w:pPr>
      <w:r>
        <w:rPr>
          <w:rFonts w:ascii="Calibri" w:cs="Calibri" w:eastAsia="Calibri" w:hAnsi="Calibri"/>
          <w:b w:val="false"/>
          <w:bCs w:val="false"/>
          <w:color w:val="374151"/>
          <w:sz w:val="21"/>
          <w:szCs w:val="21"/>
        </w:rPr>
        <w:t xml:space="preserve">5.2 Preprocessing</w:t>
      </w:r>
      <w:r>
        <w:rPr>
          <w:rFonts w:ascii="Calibri" w:cs="Calibri" w:eastAsia="Calibri" w:hAnsi="Calibri"/>
          <w:b w:val="false"/>
          <w:bCs w:val="false"/>
          <w:color w:val="374151"/>
          <w:sz w:val="21"/>
          <w:szCs w:val="21"/>
        </w:rPr>
        <w:t xml:space="preserve">	6</w:t>
      </w:r>
    </w:p>
    <w:p>
      <w:pPr>
        <w:tabs>
          <w:tab w:val="right" w:pos="9026" w:leader="dot"/>
        </w:tabs>
        <w:spacing w:after="40" w:line="264"/>
        <w:ind w:left="380"/>
      </w:pPr>
      <w:r>
        <w:rPr>
          <w:rFonts w:ascii="Calibri" w:cs="Calibri" w:eastAsia="Calibri" w:hAnsi="Calibri"/>
          <w:b w:val="false"/>
          <w:bCs w:val="false"/>
          <w:color w:val="374151"/>
          <w:sz w:val="21"/>
          <w:szCs w:val="21"/>
        </w:rPr>
        <w:t xml:space="preserve">5.3 Currency Treatment</w:t>
      </w:r>
      <w:r>
        <w:rPr>
          <w:rFonts w:ascii="Calibri" w:cs="Calibri" w:eastAsia="Calibri" w:hAnsi="Calibri"/>
          <w:b w:val="false"/>
          <w:bCs w:val="false"/>
          <w:color w:val="374151"/>
          <w:sz w:val="21"/>
          <w:szCs w:val="21"/>
        </w:rPr>
        <w:t xml:space="preserve">	6</w:t>
      </w:r>
    </w:p>
    <w:p>
      <w:pPr>
        <w:tabs>
          <w:tab w:val="right" w:pos="9026" w:leader="dot"/>
        </w:tabs>
        <w:spacing w:after="40" w:line="264"/>
        <w:ind w:left="380"/>
      </w:pPr>
      <w:r>
        <w:rPr>
          <w:rFonts w:ascii="Calibri" w:cs="Calibri" w:eastAsia="Calibri" w:hAnsi="Calibri"/>
          <w:b w:val="false"/>
          <w:bCs w:val="false"/>
          <w:color w:val="374151"/>
          <w:sz w:val="21"/>
          <w:szCs w:val="21"/>
        </w:rPr>
        <w:t xml:space="preserve">5.4 Distribution and Offline Operation</w:t>
      </w:r>
      <w:r>
        <w:rPr>
          <w:rFonts w:ascii="Calibri" w:cs="Calibri" w:eastAsia="Calibri" w:hAnsi="Calibri"/>
          <w:b w:val="false"/>
          <w:bCs w:val="false"/>
          <w:color w:val="374151"/>
          <w:sz w:val="21"/>
          <w:szCs w:val="21"/>
        </w:rPr>
        <w:t xml:space="preserve">	6</w:t>
      </w:r>
    </w:p>
    <w:p>
      <w:pPr>
        <w:tabs>
          <w:tab w:val="right" w:pos="9026" w:leader="dot"/>
        </w:tabs>
        <w:spacing w:after="70" w:line="264"/>
      </w:pPr>
      <w:r>
        <w:rPr>
          <w:rFonts w:ascii="Calibri" w:cs="Calibri" w:eastAsia="Calibri" w:hAnsi="Calibri"/>
          <w:b/>
          <w:bCs/>
          <w:color w:val="111827"/>
          <w:sz w:val="21"/>
          <w:szCs w:val="21"/>
        </w:rPr>
        <w:t xml:space="preserve">6. Module Design</w:t>
      </w:r>
      <w:r>
        <w:rPr>
          <w:rFonts w:ascii="Calibri" w:cs="Calibri" w:eastAsia="Calibri" w:hAnsi="Calibri"/>
          <w:b/>
          <w:bCs/>
          <w:color w:val="111827"/>
          <w:sz w:val="21"/>
          <w:szCs w:val="21"/>
        </w:rPr>
        <w:t xml:space="preserve">	7</w:t>
      </w:r>
    </w:p>
    <w:p>
      <w:pPr>
        <w:tabs>
          <w:tab w:val="right" w:pos="9026" w:leader="dot"/>
        </w:tabs>
        <w:spacing w:after="70" w:line="264"/>
      </w:pPr>
      <w:r>
        <w:rPr>
          <w:rFonts w:ascii="Calibri" w:cs="Calibri" w:eastAsia="Calibri" w:hAnsi="Calibri"/>
          <w:b/>
          <w:bCs/>
          <w:color w:val="111827"/>
          <w:sz w:val="21"/>
          <w:szCs w:val="21"/>
        </w:rPr>
        <w:t xml:space="preserve">7. Algorithms and Methods</w:t>
      </w:r>
      <w:r>
        <w:rPr>
          <w:rFonts w:ascii="Calibri" w:cs="Calibri" w:eastAsia="Calibri" w:hAnsi="Calibri"/>
          <w:b/>
          <w:bCs/>
          <w:color w:val="111827"/>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7.1 Returns and Volatility</w:t>
      </w:r>
      <w:r>
        <w:rPr>
          <w:rFonts w:ascii="Calibri" w:cs="Calibri" w:eastAsia="Calibri" w:hAnsi="Calibri"/>
          <w:b w:val="false"/>
          <w:bCs w:val="false"/>
          <w:color w:val="374151"/>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7.2 Risk Metrics</w:t>
      </w:r>
      <w:r>
        <w:rPr>
          <w:rFonts w:ascii="Calibri" w:cs="Calibri" w:eastAsia="Calibri" w:hAnsi="Calibri"/>
          <w:b w:val="false"/>
          <w:bCs w:val="false"/>
          <w:color w:val="374151"/>
          <w:sz w:val="21"/>
          <w:szCs w:val="21"/>
        </w:rPr>
        <w:t xml:space="preserve">	7</w:t>
      </w:r>
    </w:p>
    <w:p>
      <w:pPr>
        <w:tabs>
          <w:tab w:val="right" w:pos="9026" w:leader="dot"/>
        </w:tabs>
        <w:spacing w:after="40" w:line="264"/>
        <w:ind w:left="380"/>
      </w:pPr>
      <w:r>
        <w:rPr>
          <w:rFonts w:ascii="Calibri" w:cs="Calibri" w:eastAsia="Calibri" w:hAnsi="Calibri"/>
          <w:b w:val="false"/>
          <w:bCs w:val="false"/>
          <w:color w:val="374151"/>
          <w:sz w:val="21"/>
          <w:szCs w:val="21"/>
        </w:rPr>
        <w:t xml:space="preserve">7.3 Volatility Clustering: GARCH(1,1)</w:t>
      </w:r>
      <w:r>
        <w:rPr>
          <w:rFonts w:ascii="Calibri" w:cs="Calibri" w:eastAsia="Calibri" w:hAnsi="Calibri"/>
          <w:b w:val="false"/>
          <w:bCs w:val="false"/>
          <w:color w:val="374151"/>
          <w:sz w:val="21"/>
          <w:szCs w:val="21"/>
        </w:rPr>
        <w:t xml:space="preserve">	8</w:t>
      </w:r>
    </w:p>
    <w:p>
      <w:pPr>
        <w:tabs>
          <w:tab w:val="right" w:pos="9026" w:leader="dot"/>
        </w:tabs>
        <w:spacing w:after="40" w:line="264"/>
        <w:ind w:left="380"/>
      </w:pPr>
      <w:r>
        <w:rPr>
          <w:rFonts w:ascii="Calibri" w:cs="Calibri" w:eastAsia="Calibri" w:hAnsi="Calibri"/>
          <w:b w:val="false"/>
          <w:bCs w:val="false"/>
          <w:color w:val="374151"/>
          <w:sz w:val="21"/>
          <w:szCs w:val="21"/>
        </w:rPr>
        <w:t xml:space="preserve">7.4 Market-Cycle Phase Identification</w:t>
      </w:r>
      <w:r>
        <w:rPr>
          <w:rFonts w:ascii="Calibri" w:cs="Calibri" w:eastAsia="Calibri" w:hAnsi="Calibri"/>
          <w:b w:val="false"/>
          <w:bCs w:val="false"/>
          <w:color w:val="374151"/>
          <w:sz w:val="21"/>
          <w:szCs w:val="21"/>
        </w:rPr>
        <w:t xml:space="preserve">	8</w:t>
      </w:r>
    </w:p>
    <w:p>
      <w:pPr>
        <w:tabs>
          <w:tab w:val="right" w:pos="9026" w:leader="dot"/>
        </w:tabs>
        <w:spacing w:after="40" w:line="264"/>
        <w:ind w:left="380"/>
      </w:pPr>
      <w:r>
        <w:rPr>
          <w:rFonts w:ascii="Calibri" w:cs="Calibri" w:eastAsia="Calibri" w:hAnsi="Calibri"/>
          <w:b w:val="false"/>
          <w:bCs w:val="false"/>
          <w:color w:val="374151"/>
          <w:sz w:val="21"/>
          <w:szCs w:val="21"/>
        </w:rPr>
        <w:t xml:space="preserve">7.5 Correlation Analysis</w:t>
      </w:r>
      <w:r>
        <w:rPr>
          <w:rFonts w:ascii="Calibri" w:cs="Calibri" w:eastAsia="Calibri" w:hAnsi="Calibri"/>
          <w:b w:val="false"/>
          <w:bCs w:val="false"/>
          <w:color w:val="374151"/>
          <w:sz w:val="21"/>
          <w:szCs w:val="21"/>
        </w:rPr>
        <w:t xml:space="preserve">	8</w:t>
      </w:r>
    </w:p>
    <w:p>
      <w:pPr>
        <w:tabs>
          <w:tab w:val="right" w:pos="9026" w:leader="dot"/>
        </w:tabs>
        <w:spacing w:after="40" w:line="264"/>
        <w:ind w:left="380"/>
      </w:pPr>
      <w:r>
        <w:rPr>
          <w:rFonts w:ascii="Calibri" w:cs="Calibri" w:eastAsia="Calibri" w:hAnsi="Calibri"/>
          <w:b w:val="false"/>
          <w:bCs w:val="false"/>
          <w:color w:val="374151"/>
          <w:sz w:val="21"/>
          <w:szCs w:val="21"/>
        </w:rPr>
        <w:t xml:space="preserve">7.6 Time-Series Forecasting</w:t>
      </w:r>
      <w:r>
        <w:rPr>
          <w:rFonts w:ascii="Calibri" w:cs="Calibri" w:eastAsia="Calibri" w:hAnsi="Calibri"/>
          <w:b w:val="false"/>
          <w:bCs w:val="false"/>
          <w:color w:val="374151"/>
          <w:sz w:val="21"/>
          <w:szCs w:val="21"/>
        </w:rPr>
        <w:t xml:space="preserve">	9</w:t>
      </w:r>
    </w:p>
    <w:p>
      <w:pPr>
        <w:tabs>
          <w:tab w:val="right" w:pos="9026" w:leader="dot"/>
        </w:tabs>
        <w:spacing w:after="40" w:line="264"/>
        <w:ind w:left="380"/>
      </w:pPr>
      <w:r>
        <w:rPr>
          <w:rFonts w:ascii="Calibri" w:cs="Calibri" w:eastAsia="Calibri" w:hAnsi="Calibri"/>
          <w:b w:val="false"/>
          <w:bCs w:val="false"/>
          <w:color w:val="374151"/>
          <w:sz w:val="21"/>
          <w:szCs w:val="21"/>
        </w:rPr>
        <w:t xml:space="preserve">7.7 Next-Day Direction Classification</w:t>
      </w:r>
      <w:r>
        <w:rPr>
          <w:rFonts w:ascii="Calibri" w:cs="Calibri" w:eastAsia="Calibri" w:hAnsi="Calibri"/>
          <w:b w:val="false"/>
          <w:bCs w:val="false"/>
          <w:color w:val="374151"/>
          <w:sz w:val="21"/>
          <w:szCs w:val="21"/>
        </w:rPr>
        <w:t xml:space="preserve">	9</w:t>
      </w:r>
    </w:p>
    <w:p>
      <w:pPr>
        <w:tabs>
          <w:tab w:val="right" w:pos="9026" w:leader="dot"/>
        </w:tabs>
        <w:spacing w:after="70" w:line="264"/>
      </w:pPr>
      <w:r>
        <w:rPr>
          <w:rFonts w:ascii="Calibri" w:cs="Calibri" w:eastAsia="Calibri" w:hAnsi="Calibri"/>
          <w:b/>
          <w:bCs/>
          <w:color w:val="111827"/>
          <w:sz w:val="21"/>
          <w:szCs w:val="21"/>
        </w:rPr>
        <w:t xml:space="preserve">8. Validation and Testing</w:t>
      </w:r>
      <w:r>
        <w:rPr>
          <w:rFonts w:ascii="Calibri" w:cs="Calibri" w:eastAsia="Calibri" w:hAnsi="Calibri"/>
          <w:b/>
          <w:bCs/>
          <w:color w:val="111827"/>
          <w:sz w:val="21"/>
          <w:szCs w:val="21"/>
        </w:rPr>
        <w:t xml:space="preserve">	9</w:t>
      </w:r>
    </w:p>
    <w:p>
      <w:pPr>
        <w:tabs>
          <w:tab w:val="right" w:pos="9026" w:leader="dot"/>
        </w:tabs>
        <w:spacing w:after="70" w:line="264"/>
      </w:pPr>
      <w:r>
        <w:rPr>
          <w:rFonts w:ascii="Calibri" w:cs="Calibri" w:eastAsia="Calibri" w:hAnsi="Calibri"/>
          <w:b/>
          <w:bCs/>
          <w:color w:val="111827"/>
          <w:sz w:val="21"/>
          <w:szCs w:val="21"/>
        </w:rPr>
        <w:t xml:space="preserve">9. Dashboard Walkthrough</w:t>
      </w:r>
      <w:r>
        <w:rPr>
          <w:rFonts w:ascii="Calibri" w:cs="Calibri" w:eastAsia="Calibri" w:hAnsi="Calibri"/>
          <w:b/>
          <w:bCs/>
          <w:color w:val="111827"/>
          <w:sz w:val="21"/>
          <w:szCs w:val="21"/>
        </w:rPr>
        <w:t xml:space="preserve">	10</w:t>
      </w:r>
    </w:p>
    <w:p>
      <w:pPr>
        <w:tabs>
          <w:tab w:val="right" w:pos="9026" w:leader="dot"/>
        </w:tabs>
        <w:spacing w:after="70" w:line="264"/>
      </w:pPr>
      <w:r>
        <w:rPr>
          <w:rFonts w:ascii="Calibri" w:cs="Calibri" w:eastAsia="Calibri" w:hAnsi="Calibri"/>
          <w:b/>
          <w:bCs/>
          <w:color w:val="111827"/>
          <w:sz w:val="21"/>
          <w:szCs w:val="21"/>
        </w:rPr>
        <w:t xml:space="preserve">10. Results and Observations</w:t>
      </w:r>
      <w:r>
        <w:rPr>
          <w:rFonts w:ascii="Calibri" w:cs="Calibri" w:eastAsia="Calibri" w:hAnsi="Calibri"/>
          <w:b/>
          <w:bCs/>
          <w:color w:val="111827"/>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10.1 Risk Profile</w:t>
      </w:r>
      <w:r>
        <w:rPr>
          <w:rFonts w:ascii="Calibri" w:cs="Calibri" w:eastAsia="Calibri" w:hAnsi="Calibri"/>
          <w:b w:val="false"/>
          <w:bCs w:val="false"/>
          <w:color w:val="374151"/>
          <w:sz w:val="21"/>
          <w:szCs w:val="21"/>
        </w:rPr>
        <w:t xml:space="preserve">	10</w:t>
      </w:r>
    </w:p>
    <w:p>
      <w:pPr>
        <w:tabs>
          <w:tab w:val="right" w:pos="9026" w:leader="dot"/>
        </w:tabs>
        <w:spacing w:after="40" w:line="264"/>
        <w:ind w:left="380"/>
      </w:pPr>
      <w:r>
        <w:rPr>
          <w:rFonts w:ascii="Calibri" w:cs="Calibri" w:eastAsia="Calibri" w:hAnsi="Calibri"/>
          <w:b w:val="false"/>
          <w:bCs w:val="false"/>
          <w:color w:val="374151"/>
          <w:sz w:val="21"/>
          <w:szCs w:val="21"/>
        </w:rPr>
        <w:t xml:space="preserve">10.2 Digital-to-Traditional Correlation</w:t>
      </w:r>
      <w:r>
        <w:rPr>
          <w:rFonts w:ascii="Calibri" w:cs="Calibri" w:eastAsia="Calibri" w:hAnsi="Calibri"/>
          <w:b w:val="false"/>
          <w:bCs w:val="false"/>
          <w:color w:val="374151"/>
          <w:sz w:val="21"/>
          <w:szCs w:val="21"/>
        </w:rPr>
        <w:t xml:space="preserve">	11</w:t>
      </w:r>
    </w:p>
    <w:p>
      <w:pPr>
        <w:tabs>
          <w:tab w:val="right" w:pos="9026" w:leader="dot"/>
        </w:tabs>
        <w:spacing w:after="40" w:line="264"/>
        <w:ind w:left="380"/>
      </w:pPr>
      <w:r>
        <w:rPr>
          <w:rFonts w:ascii="Calibri" w:cs="Calibri" w:eastAsia="Calibri" w:hAnsi="Calibri"/>
          <w:b w:val="false"/>
          <w:bCs w:val="false"/>
          <w:color w:val="374151"/>
          <w:sz w:val="21"/>
          <w:szCs w:val="21"/>
        </w:rPr>
        <w:t xml:space="preserve">10.3 Forecasting</w:t>
      </w:r>
      <w:r>
        <w:rPr>
          <w:rFonts w:ascii="Calibri" w:cs="Calibri" w:eastAsia="Calibri" w:hAnsi="Calibri"/>
          <w:b w:val="false"/>
          <w:bCs w:val="false"/>
          <w:color w:val="374151"/>
          <w:sz w:val="21"/>
          <w:szCs w:val="21"/>
        </w:rPr>
        <w:t xml:space="preserve">	11</w:t>
      </w:r>
    </w:p>
    <w:p>
      <w:pPr>
        <w:tabs>
          <w:tab w:val="right" w:pos="9026" w:leader="dot"/>
        </w:tabs>
        <w:spacing w:after="40" w:line="264"/>
        <w:ind w:left="380"/>
      </w:pPr>
      <w:r>
        <w:rPr>
          <w:rFonts w:ascii="Calibri" w:cs="Calibri" w:eastAsia="Calibri" w:hAnsi="Calibri"/>
          <w:b w:val="false"/>
          <w:bCs w:val="false"/>
          <w:color w:val="374151"/>
          <w:sz w:val="21"/>
          <w:szCs w:val="21"/>
        </w:rPr>
        <w:t xml:space="preserve">10.4 Direction Classification</w:t>
      </w:r>
      <w:r>
        <w:rPr>
          <w:rFonts w:ascii="Calibri" w:cs="Calibri" w:eastAsia="Calibri" w:hAnsi="Calibri"/>
          <w:b w:val="false"/>
          <w:bCs w:val="false"/>
          <w:color w:val="374151"/>
          <w:sz w:val="21"/>
          <w:szCs w:val="21"/>
        </w:rPr>
        <w:t xml:space="preserve">	11</w:t>
      </w:r>
    </w:p>
    <w:p>
      <w:pPr>
        <w:tabs>
          <w:tab w:val="right" w:pos="9026" w:leader="dot"/>
        </w:tabs>
        <w:spacing w:after="70" w:line="264"/>
      </w:pPr>
      <w:r>
        <w:rPr>
          <w:rFonts w:ascii="Calibri" w:cs="Calibri" w:eastAsia="Calibri" w:hAnsi="Calibri"/>
          <w:b/>
          <w:bCs/>
          <w:color w:val="111827"/>
          <w:sz w:val="21"/>
          <w:szCs w:val="21"/>
        </w:rPr>
        <w:t xml:space="preserve">11. Limitations</w:t>
      </w:r>
      <w:r>
        <w:rPr>
          <w:rFonts w:ascii="Calibri" w:cs="Calibri" w:eastAsia="Calibri" w:hAnsi="Calibri"/>
          <w:b/>
          <w:bCs/>
          <w:color w:val="111827"/>
          <w:sz w:val="21"/>
          <w:szCs w:val="21"/>
        </w:rPr>
        <w:t xml:space="preserve">	12</w:t>
      </w:r>
    </w:p>
    <w:p>
      <w:pPr>
        <w:tabs>
          <w:tab w:val="right" w:pos="9026" w:leader="dot"/>
        </w:tabs>
        <w:spacing w:after="70" w:line="264"/>
      </w:pPr>
      <w:r>
        <w:rPr>
          <w:rFonts w:ascii="Calibri" w:cs="Calibri" w:eastAsia="Calibri" w:hAnsi="Calibri"/>
          <w:b/>
          <w:bCs/>
          <w:color w:val="111827"/>
          <w:sz w:val="21"/>
          <w:szCs w:val="21"/>
        </w:rPr>
        <w:t xml:space="preserve">12. Future Scope</w:t>
      </w:r>
      <w:r>
        <w:rPr>
          <w:rFonts w:ascii="Calibri" w:cs="Calibri" w:eastAsia="Calibri" w:hAnsi="Calibri"/>
          <w:b/>
          <w:bCs/>
          <w:color w:val="111827"/>
          <w:sz w:val="21"/>
          <w:szCs w:val="21"/>
        </w:rPr>
        <w:t xml:space="preserve">	12</w:t>
      </w:r>
    </w:p>
    <w:p>
      <w:pPr>
        <w:tabs>
          <w:tab w:val="right" w:pos="9026" w:leader="dot"/>
        </w:tabs>
        <w:spacing w:after="70" w:line="264"/>
      </w:pPr>
      <w:r>
        <w:rPr>
          <w:rFonts w:ascii="Calibri" w:cs="Calibri" w:eastAsia="Calibri" w:hAnsi="Calibri"/>
          <w:b/>
          <w:bCs/>
          <w:color w:val="111827"/>
          <w:sz w:val="21"/>
          <w:szCs w:val="21"/>
        </w:rPr>
        <w:t xml:space="preserve">13. Conclusion</w:t>
      </w:r>
      <w:r>
        <w:rPr>
          <w:rFonts w:ascii="Calibri" w:cs="Calibri" w:eastAsia="Calibri" w:hAnsi="Calibri"/>
          <w:b/>
          <w:bCs/>
          <w:color w:val="111827"/>
          <w:sz w:val="21"/>
          <w:szCs w:val="21"/>
        </w:rPr>
        <w:t xml:space="preserve">	12</w:t>
      </w:r>
    </w:p>
    <w:p>
      <w:pPr>
        <w:tabs>
          <w:tab w:val="right" w:pos="9026" w:leader="dot"/>
        </w:tabs>
        <w:spacing w:after="70" w:line="264"/>
      </w:pPr>
      <w:r>
        <w:rPr>
          <w:rFonts w:ascii="Calibri" w:cs="Calibri" w:eastAsia="Calibri" w:hAnsi="Calibri"/>
          <w:b/>
          <w:bCs/>
          <w:color w:val="111827"/>
          <w:sz w:val="21"/>
          <w:szCs w:val="21"/>
        </w:rPr>
        <w:t xml:space="preserve">14. References</w:t>
      </w:r>
      <w:r>
        <w:rPr>
          <w:rFonts w:ascii="Calibri" w:cs="Calibri" w:eastAsia="Calibri" w:hAnsi="Calibri"/>
          <w:b/>
          <w:bCs/>
          <w:color w:val="111827"/>
          <w:sz w:val="21"/>
          <w:szCs w:val="21"/>
        </w:rPr>
        <w:t xml:space="preserve">	13</w:t>
      </w:r>
    </w:p>
    <w:p>
      <w:r>
        <w:br w:type="page"/>
      </w:r>
    </w:p>
    <w:p>
      <w:pPr>
        <w:pStyle w:val="Heading1"/>
        <w:spacing w:after="160" w:before="320"/>
      </w:pPr>
      <w:r>
        <w:rPr>
          <w:rFonts w:ascii="Calibri" w:cs="Calibri" w:eastAsia="Calibri" w:hAnsi="Calibri"/>
          <w:b/>
          <w:bCs/>
          <w:color w:val="1F4E9E"/>
          <w:sz w:val="30"/>
          <w:szCs w:val="30"/>
        </w:rPr>
        <w:t xml:space="preserve">1. Abstract</w:t>
      </w:r>
    </w:p>
    <w:p>
      <w:pPr>
        <w:spacing w:after="120" w:line="276"/>
      </w:pPr>
      <w:r>
        <w:rPr>
          <w:rFonts w:ascii="Calibri" w:cs="Calibri" w:eastAsia="Calibri" w:hAnsi="Calibri"/>
          <w:color w:val="374151"/>
          <w:sz w:val="21"/>
          <w:szCs w:val="21"/>
        </w:rPr>
        <w:t xml:space="preserve">The Cryptocurrency Market Analysis System is a data-science application that analyses digital-asset markets and presents decision-relevant insight through an interactive dashboard. It ingests cryptocurrency price and trading-volume history, market-sentiment signals, blockchain on-chain activity, traditional macroeconomic asset prices, and the USD/INR exchange rate, then applies statistical analytics, financial risk modelling, and time-series methods to characterise market behaviour.</w:t>
      </w:r>
    </w:p>
    <w:p>
      <w:pPr>
        <w:spacing w:after="120" w:line="276"/>
      </w:pPr>
      <w:r>
        <w:rPr>
          <w:rFonts w:ascii="Calibri" w:cs="Calibri" w:eastAsia="Calibri" w:hAnsi="Calibri"/>
          <w:color w:val="374151"/>
          <w:sz w:val="21"/>
          <w:szCs w:val="21"/>
        </w:rPr>
        <w:t xml:space="preserve">Five analytical capabilities sit at the core of the system: volatility and risk assessment, including a GARCH(1,1) model of volatility clustering; market-cycle phase identification using transparent Wyckoff-style rules; correlation analysis between digital and traditional assets, measured separately in calm and stressed markets; short-horizon price forecasting with an ARIMA model validated walk-forward against a naive baseline; and a supervised next-day direction classifier that tests whether the sentiment and on-chain feeds carry predictive information at all.</w:t>
      </w:r>
    </w:p>
    <w:p>
      <w:pPr>
        <w:spacing w:after="120" w:line="276"/>
      </w:pPr>
      <w:r>
        <w:rPr>
          <w:rFonts w:ascii="Calibri" w:cs="Calibri" w:eastAsia="Calibri" w:hAnsi="Calibri"/>
          <w:color w:val="374151"/>
          <w:sz w:val="21"/>
          <w:szCs w:val="21"/>
        </w:rPr>
        <w:t xml:space="preserve">The system is engineered with a strict layered architecture, centralised preprocessing that reports what it did to every dataset, and a distribution that ships with a populated cache of real API responses so that it runs in under a second with no credentials and no network connection. A suite of 209 automated tests covers the analysis layer at 92–97%.</w:t>
      </w:r>
    </w:p>
    <w:p>
      <w:pPr>
        <w:spacing w:after="120" w:line="276"/>
      </w:pPr>
      <w:r>
        <w:rPr>
          <w:rFonts w:ascii="Calibri" w:cs="Calibri" w:eastAsia="Calibri" w:hAnsi="Calibri"/>
          <w:color w:val="374151"/>
          <w:sz w:val="21"/>
          <w:szCs w:val="21"/>
        </w:rPr>
        <w:t xml:space="preserve">A methodological commitment runs through the work: every model is reported against a baseline that is hard to beat by accident, and negative results are stated as findings rather than concealed. The ARIMA model does not beat a random walk, and the direction classifier shows no lift outside the noise. Both outcomes are correct for daily cryptocurrency returns, and the system says so explicitly.</w:t>
      </w:r>
    </w:p>
    <w:p>
      <w:pPr>
        <w:pStyle w:val="Heading1"/>
        <w:spacing w:after="160" w:before="320"/>
      </w:pPr>
      <w:r>
        <w:rPr>
          <w:rFonts w:ascii="Calibri" w:cs="Calibri" w:eastAsia="Calibri" w:hAnsi="Calibri"/>
          <w:b/>
          <w:bCs/>
          <w:color w:val="1F4E9E"/>
          <w:sz w:val="30"/>
          <w:szCs w:val="30"/>
        </w:rPr>
        <w:t xml:space="preserve">2. Introduction</w:t>
      </w:r>
    </w:p>
    <w:p>
      <w:pPr>
        <w:pStyle w:val="Heading2"/>
        <w:spacing w:after="120" w:before="240"/>
      </w:pPr>
      <w:r>
        <w:rPr>
          <w:rFonts w:ascii="Calibri" w:cs="Calibri" w:eastAsia="Calibri" w:hAnsi="Calibri"/>
          <w:b/>
          <w:bCs/>
          <w:color w:val="111827"/>
          <w:sz w:val="24"/>
          <w:szCs w:val="24"/>
        </w:rPr>
        <w:t xml:space="preserve">2.1 Background</w:t>
      </w:r>
    </w:p>
    <w:p>
      <w:pPr>
        <w:spacing w:after="120" w:line="276"/>
      </w:pPr>
      <w:r>
        <w:rPr>
          <w:rFonts w:ascii="Calibri" w:cs="Calibri" w:eastAsia="Calibri" w:hAnsi="Calibri"/>
          <w:color w:val="374151"/>
          <w:sz w:val="21"/>
          <w:szCs w:val="21"/>
        </w:rPr>
        <w:t xml:space="preserve">Digital-asset markets are highly volatile, trade continuously across all 365 days of the year, and are influenced by a broad set of drivers ranging from on-chain network activity and social sentiment to the behaviour of traditional financial markets. Investors therefore need tools that consolidate these heterogeneous signals and translate them into interpretable, decision-relevant metrics.</w:t>
      </w:r>
    </w:p>
    <w:p>
      <w:pPr>
        <w:spacing w:after="120" w:line="276"/>
      </w:pPr>
      <w:r>
        <w:rPr>
          <w:rFonts w:ascii="Calibri" w:cs="Calibri" w:eastAsia="Calibri" w:hAnsi="Calibri"/>
          <w:color w:val="374151"/>
          <w:sz w:val="21"/>
          <w:szCs w:val="21"/>
        </w:rPr>
        <w:t xml:space="preserve">An Indian investor faces an additional consideration that most published crypto analytics ignore: their portfolio is denominated in rupees. A gain on a dollar-quoted asset is the asset's move and the currency's move together, so an analysis conducted purely in US dollars does not describe the risk they actually carry.</w:t>
      </w:r>
    </w:p>
    <w:p>
      <w:pPr>
        <w:pStyle w:val="Heading2"/>
        <w:spacing w:after="120" w:before="240"/>
      </w:pPr>
      <w:r>
        <w:rPr>
          <w:rFonts w:ascii="Calibri" w:cs="Calibri" w:eastAsia="Calibri" w:hAnsi="Calibri"/>
          <w:b/>
          <w:bCs/>
          <w:color w:val="111827"/>
          <w:sz w:val="24"/>
          <w:szCs w:val="24"/>
        </w:rPr>
        <w:t xml:space="preserve">2.2 Problem Statement</w:t>
      </w:r>
    </w:p>
    <w:p>
      <w:pPr>
        <w:spacing w:after="120" w:line="276"/>
      </w:pPr>
      <w:r>
        <w:rPr>
          <w:rFonts w:ascii="Calibri" w:cs="Calibri" w:eastAsia="Calibri" w:hAnsi="Calibri"/>
          <w:color w:val="374151"/>
          <w:sz w:val="21"/>
          <w:szCs w:val="21"/>
        </w:rPr>
        <w:t xml:space="preserve">This project analyses cryptocurrency price history, trading-volume data, blockchain transaction records, market sentiment, and macroeconomic indicators to identify patterns and trends in digital-asset markets. Using data analytics, visualisation, and time-series modelling, the system provides insight on volatility and risk assessment, market-cycle phase identification, and correlation analysis between digital and traditional assets, presented through a dashboard that supports informed, data-driven investment decisions.</w:t>
      </w:r>
    </w:p>
    <w:p>
      <w:pPr>
        <w:pStyle w:val="Heading2"/>
        <w:spacing w:after="120" w:before="240"/>
      </w:pPr>
      <w:r>
        <w:rPr>
          <w:rFonts w:ascii="Calibri" w:cs="Calibri" w:eastAsia="Calibri" w:hAnsi="Calibri"/>
          <w:b/>
          <w:bCs/>
          <w:color w:val="111827"/>
          <w:sz w:val="24"/>
          <w:szCs w:val="24"/>
        </w:rPr>
        <w:t xml:space="preserve">2.3 Objectives</w:t>
      </w:r>
    </w:p>
    <w:p>
      <w:pPr>
        <w:pStyle w:val="ListParagraph"/>
        <w:numPr>
          <w:ilvl w:val="0"/>
          <w:numId w:val="2"/>
        </w:numPr>
        <w:spacing w:after="80" w:line="276"/>
      </w:pPr>
      <w:r>
        <w:rPr>
          <w:rFonts w:ascii="Calibri" w:cs="Calibri" w:eastAsia="Calibri" w:hAnsi="Calibri"/>
          <w:color w:val="374151"/>
          <w:sz w:val="21"/>
          <w:szCs w:val="21"/>
        </w:rPr>
        <w:t xml:space="preserve">Consolidate five market data sources — price and volume, sentiment, on-chain activity, macroeconomic assets, and foreign exchange — into a single coherent analytical pipeline.</w:t>
      </w:r>
    </w:p>
    <w:p>
      <w:pPr>
        <w:pStyle w:val="ListParagraph"/>
        <w:numPr>
          <w:ilvl w:val="0"/>
          <w:numId w:val="2"/>
        </w:numPr>
        <w:spacing w:after="80" w:line="276"/>
      </w:pPr>
      <w:r>
        <w:rPr>
          <w:rFonts w:ascii="Calibri" w:cs="Calibri" w:eastAsia="Calibri" w:hAnsi="Calibri"/>
          <w:color w:val="374151"/>
          <w:sz w:val="21"/>
          <w:szCs w:val="21"/>
        </w:rPr>
        <w:t xml:space="preserve">Quantify volatility and downside risk for each tracked asset using standard financial risk measures, and model volatility clustering explicitly.</w:t>
      </w:r>
    </w:p>
    <w:p>
      <w:pPr>
        <w:pStyle w:val="ListParagraph"/>
        <w:numPr>
          <w:ilvl w:val="0"/>
          <w:numId w:val="2"/>
        </w:numPr>
        <w:spacing w:after="80" w:line="276"/>
      </w:pPr>
      <w:r>
        <w:rPr>
          <w:rFonts w:ascii="Calibri" w:cs="Calibri" w:eastAsia="Calibri" w:hAnsi="Calibri"/>
          <w:color w:val="374151"/>
          <w:sz w:val="21"/>
          <w:szCs w:val="21"/>
        </w:rPr>
        <w:t xml:space="preserve">Identify the prevailing market-cycle phase from price structure, momentum, and drawdown using transparent, explainable rules.</w:t>
      </w:r>
    </w:p>
    <w:p>
      <w:pPr>
        <w:pStyle w:val="ListParagraph"/>
        <w:numPr>
          <w:ilvl w:val="0"/>
          <w:numId w:val="2"/>
        </w:numPr>
        <w:spacing w:after="80" w:line="276"/>
      </w:pPr>
      <w:r>
        <w:rPr>
          <w:rFonts w:ascii="Calibri" w:cs="Calibri" w:eastAsia="Calibri" w:hAnsi="Calibri"/>
          <w:color w:val="374151"/>
          <w:sz w:val="21"/>
          <w:szCs w:val="21"/>
        </w:rPr>
        <w:t xml:space="preserve">Measure the relationship between digital and traditional assets, and establish whether that relationship holds when equity markets fall.</w:t>
      </w:r>
    </w:p>
    <w:p>
      <w:pPr>
        <w:pStyle w:val="ListParagraph"/>
        <w:numPr>
          <w:ilvl w:val="0"/>
          <w:numId w:val="2"/>
        </w:numPr>
        <w:spacing w:after="80" w:line="276"/>
      </w:pPr>
      <w:r>
        <w:rPr>
          <w:rFonts w:ascii="Calibri" w:cs="Calibri" w:eastAsia="Calibri" w:hAnsi="Calibri"/>
          <w:color w:val="374151"/>
          <w:sz w:val="21"/>
          <w:szCs w:val="21"/>
        </w:rPr>
        <w:t xml:space="preserve">Provide a short-horizon forecast with rigorous out-of-sample validation and honest uncertainty bounds.</w:t>
      </w:r>
    </w:p>
    <w:p>
      <w:pPr>
        <w:pStyle w:val="ListParagraph"/>
        <w:numPr>
          <w:ilvl w:val="0"/>
          <w:numId w:val="2"/>
        </w:numPr>
        <w:spacing w:after="80" w:line="276"/>
      </w:pPr>
      <w:r>
        <w:rPr>
          <w:rFonts w:ascii="Calibri" w:cs="Calibri" w:eastAsia="Calibri" w:hAnsi="Calibri"/>
          <w:color w:val="374151"/>
          <w:sz w:val="21"/>
          <w:szCs w:val="21"/>
        </w:rPr>
        <w:t xml:space="preserve">Determine empirically whether sentiment and on-chain data carry information about next-day direction, and report the answer whether or not it is positive.</w:t>
      </w:r>
    </w:p>
    <w:p>
      <w:pPr>
        <w:pStyle w:val="ListParagraph"/>
        <w:numPr>
          <w:ilvl w:val="0"/>
          <w:numId w:val="2"/>
        </w:numPr>
        <w:spacing w:after="80" w:line="276"/>
      </w:pPr>
      <w:r>
        <w:rPr>
          <w:rFonts w:ascii="Calibri" w:cs="Calibri" w:eastAsia="Calibri" w:hAnsi="Calibri"/>
          <w:color w:val="374151"/>
          <w:sz w:val="21"/>
          <w:szCs w:val="21"/>
        </w:rPr>
        <w:t xml:space="preserve">Deliver the above through an interactive dashboard that runs without configuration, credentials, or a network connection.</w:t>
      </w:r>
    </w:p>
    <w:p>
      <w:pPr>
        <w:pStyle w:val="Heading2"/>
        <w:spacing w:after="120" w:before="240"/>
      </w:pPr>
      <w:r>
        <w:rPr>
          <w:rFonts w:ascii="Calibri" w:cs="Calibri" w:eastAsia="Calibri" w:hAnsi="Calibri"/>
          <w:b/>
          <w:bCs/>
          <w:color w:val="111827"/>
          <w:sz w:val="24"/>
          <w:szCs w:val="24"/>
        </w:rPr>
        <w:t xml:space="preserve">2.4 Scope</w:t>
      </w:r>
    </w:p>
    <w:p>
      <w:pPr>
        <w:spacing w:after="120" w:line="276"/>
      </w:pPr>
      <w:r>
        <w:rPr>
          <w:rFonts w:ascii="Calibri" w:cs="Calibri" w:eastAsia="Calibri" w:hAnsi="Calibri"/>
          <w:color w:val="374151"/>
          <w:sz w:val="21"/>
          <w:szCs w:val="21"/>
        </w:rPr>
        <w:t xml:space="preserve">The system tracks six major cryptocurrencies (BTC, ETH, SOL, BNB, XRP, ADA) and five traditional or macroeconomic series (S&amp;P 500, Gold, US Dollar Index, US 10-Year Treasury Yield, Crude Oil), together with the USD/INR exchange rate. It operates on daily data over a configurable window of up to 365 days, which is the maximum offered by the free tier of the price provider. All monetary values are presented in Indian rupees. The system is intended for educational and analytical use and does not constitute financial advice.</w:t>
      </w:r>
    </w:p>
    <w:p>
      <w:pPr>
        <w:pStyle w:val="Heading1"/>
        <w:spacing w:after="160" w:before="320"/>
      </w:pPr>
      <w:r>
        <w:rPr>
          <w:rFonts w:ascii="Calibri" w:cs="Calibri" w:eastAsia="Calibri" w:hAnsi="Calibri"/>
          <w:b/>
          <w:bCs/>
          <w:color w:val="1F4E9E"/>
          <w:sz w:val="30"/>
          <w:szCs w:val="30"/>
        </w:rPr>
        <w:t xml:space="preserve">3. System Overview and Architecture</w:t>
      </w:r>
    </w:p>
    <w:p>
      <w:pPr>
        <w:spacing w:after="120" w:line="276"/>
      </w:pPr>
      <w:r>
        <w:rPr>
          <w:rFonts w:ascii="Calibri" w:cs="Calibri" w:eastAsia="Calibri" w:hAnsi="Calibri"/>
          <w:color w:val="374151"/>
          <w:sz w:val="21"/>
          <w:szCs w:val="21"/>
        </w:rPr>
        <w:t xml:space="preserve">The system follows a strict layered architecture in which each layer depends only on the layer beneath it. External data sources feed a data-access layer; an orchestration layer assembles the results into a single bundle; the analysis layer consumes that bundle; and the presentation layer visualises the output. This separation keeps analytical logic free of input/output concerns and makes every component independently testable.</w:t>
      </w:r>
    </w:p>
    <w:p>
      <w:pPr>
        <w:spacing w:after="140" w:before="60"/>
        <w:ind w:left="340"/>
      </w:pPr>
      <w:r>
        <w:rPr>
          <w:rFonts w:ascii="Consolas" w:cs="Consolas" w:eastAsia="Consolas" w:hAnsi="Consolas"/>
          <w:color w:val="111827"/>
          <w:sz w:val="18"/>
          <w:szCs w:val="18"/>
        </w:rPr>
        <w:t xml:space="preserve">External APIs  →  Data access  →  Preprocessing  →  Orchestration  →  Analysis  →  Presentation</w:t>
      </w:r>
    </w:p>
    <w:p>
      <w:pPr>
        <w:spacing w:after="200" w:before="40"/>
        <w:jc w:val="center"/>
      </w:pPr>
      <w:r>
        <w:rPr>
          <w:rFonts w:ascii="Calibri" w:cs="Calibri" w:eastAsia="Calibri" w:hAnsi="Calibri"/>
          <w:i/>
          <w:iCs/>
          <w:color w:val="374151"/>
          <w:sz w:val="18"/>
          <w:szCs w:val="18"/>
        </w:rPr>
        <w:t xml:space="preserve">Figure 1. Layered system architecture.</w:t>
      </w:r>
    </w:p>
    <w:p>
      <w:pPr>
        <w:pStyle w:val="Heading2"/>
        <w:spacing w:after="120" w:before="240"/>
      </w:pPr>
      <w:r>
        <w:rPr>
          <w:rFonts w:ascii="Calibri" w:cs="Calibri" w:eastAsia="Calibri" w:hAnsi="Calibri"/>
          <w:b/>
          <w:bCs/>
          <w:color w:val="111827"/>
          <w:sz w:val="24"/>
          <w:szCs w:val="24"/>
        </w:rPr>
        <w:t xml:space="preserve">3.1 Data Flow</w:t>
      </w:r>
    </w:p>
    <w:p>
      <w:pPr>
        <w:spacing w:after="120" w:line="276"/>
      </w:pPr>
      <w:r>
        <w:rPr>
          <w:rFonts w:ascii="Calibri" w:cs="Calibri" w:eastAsia="Calibri" w:hAnsi="Calibri"/>
          <w:color w:val="374151"/>
          <w:sz w:val="21"/>
          <w:szCs w:val="21"/>
        </w:rPr>
        <w:t xml:space="preserve">At runtime the dashboard requests data for a chosen history window. The orchestration layer invokes each data loader, which first consults the on-disk cache and only then attempts a live API call. Every response passes through a common preprocessing stage that cleans it and records what was done. Dollar-quoted macroeconomic series are converted to rupees. The assembled bundle is then passed to the analysis modules, whose outputs populate the dashboard tabs.</w:t>
      </w:r>
    </w:p>
    <w:p>
      <w:pPr>
        <w:pStyle w:val="Heading2"/>
        <w:spacing w:after="120" w:before="240"/>
      </w:pPr>
      <w:r>
        <w:rPr>
          <w:rFonts w:ascii="Calibri" w:cs="Calibri" w:eastAsia="Calibri" w:hAnsi="Calibri"/>
          <w:b/>
          <w:bCs/>
          <w:color w:val="111827"/>
          <w:sz w:val="24"/>
          <w:szCs w:val="24"/>
        </w:rPr>
        <w:t xml:space="preserve">3.2 Design Principles</w:t>
      </w:r>
    </w:p>
    <w:p>
      <w:pPr>
        <w:pStyle w:val="ListParagraph"/>
        <w:numPr>
          <w:ilvl w:val="0"/>
          <w:numId w:val="2"/>
        </w:numPr>
        <w:spacing w:after="80" w:line="276"/>
      </w:pPr>
      <w:r>
        <w:rPr>
          <w:rFonts w:ascii="Calibri" w:cs="Calibri" w:eastAsia="Calibri" w:hAnsi="Calibri"/>
          <w:color w:val="374151"/>
          <w:sz w:val="21"/>
          <w:szCs w:val="21"/>
        </w:rPr>
        <w:t xml:space="preserve">Separation of concerns. Data access, preprocessing, analysis, visualisation, and application logic live in distinct modules with no circular dependencies.</w:t>
      </w:r>
    </w:p>
    <w:p>
      <w:pPr>
        <w:pStyle w:val="ListParagraph"/>
        <w:numPr>
          <w:ilvl w:val="0"/>
          <w:numId w:val="2"/>
        </w:numPr>
        <w:spacing w:after="80" w:line="276"/>
      </w:pPr>
      <w:r>
        <w:rPr>
          <w:rFonts w:ascii="Calibri" w:cs="Calibri" w:eastAsia="Calibri" w:hAnsi="Calibri"/>
          <w:color w:val="374151"/>
          <w:sz w:val="21"/>
          <w:szCs w:val="21"/>
        </w:rPr>
        <w:t xml:space="preserve">Pure analytical functions. Every metric is computed by a side-effect-free function operating on pandas objects, so it can be unit-tested in isolation and reused unchanged by the dashboard and the accompanying notebook.</w:t>
      </w:r>
    </w:p>
    <w:p>
      <w:pPr>
        <w:pStyle w:val="ListParagraph"/>
        <w:numPr>
          <w:ilvl w:val="0"/>
          <w:numId w:val="2"/>
        </w:numPr>
        <w:spacing w:after="80" w:line="276"/>
      </w:pPr>
      <w:r>
        <w:rPr>
          <w:rFonts w:ascii="Calibri" w:cs="Calibri" w:eastAsia="Calibri" w:hAnsi="Calibri"/>
          <w:color w:val="374151"/>
          <w:sz w:val="21"/>
          <w:szCs w:val="21"/>
        </w:rPr>
        <w:t xml:space="preserve">Fail-open resilience. No network failure can crash the dashboard. Each feed independently reports whether it is live, cached, or generated, and the interface distinguishes a deliberate choice from an unexpected failure.</w:t>
      </w:r>
    </w:p>
    <w:p>
      <w:pPr>
        <w:pStyle w:val="ListParagraph"/>
        <w:numPr>
          <w:ilvl w:val="0"/>
          <w:numId w:val="2"/>
        </w:numPr>
        <w:spacing w:after="80" w:line="276"/>
      </w:pPr>
      <w:r>
        <w:rPr>
          <w:rFonts w:ascii="Calibri" w:cs="Calibri" w:eastAsia="Calibri" w:hAnsi="Calibri"/>
          <w:color w:val="374151"/>
          <w:sz w:val="21"/>
          <w:szCs w:val="21"/>
        </w:rPr>
        <w:t xml:space="preserve">Explainability. Cycle labels and model outputs are produced by documented rules and models whose assumptions are stated in the interface itself.</w:t>
      </w:r>
    </w:p>
    <w:p>
      <w:pPr>
        <w:pStyle w:val="ListParagraph"/>
        <w:numPr>
          <w:ilvl w:val="0"/>
          <w:numId w:val="2"/>
        </w:numPr>
        <w:spacing w:after="80" w:line="276"/>
      </w:pPr>
      <w:r>
        <w:rPr>
          <w:rFonts w:ascii="Calibri" w:cs="Calibri" w:eastAsia="Calibri" w:hAnsi="Calibri"/>
          <w:color w:val="374151"/>
          <w:sz w:val="21"/>
          <w:szCs w:val="21"/>
        </w:rPr>
        <w:t xml:space="preserve">Honest reporting. Every model is scored against a baseline, and a result that fails to beat its baseline is presented as such.</w:t>
      </w:r>
    </w:p>
    <w:p>
      <w:pPr>
        <w:pStyle w:val="Heading1"/>
        <w:spacing w:after="160" w:before="320"/>
      </w:pPr>
      <w:r>
        <w:rPr>
          <w:rFonts w:ascii="Calibri" w:cs="Calibri" w:eastAsia="Calibri" w:hAnsi="Calibri"/>
          <w:b/>
          <w:bCs/>
          <w:color w:val="1F4E9E"/>
          <w:sz w:val="30"/>
          <w:szCs w:val="30"/>
        </w:rPr>
        <w:t xml:space="preserve">4. Technology Stack</w:t>
      </w:r>
    </w:p>
    <w:p>
      <w:pPr>
        <w:spacing w:after="120" w:line="276"/>
      </w:pPr>
      <w:r>
        <w:rPr>
          <w:rFonts w:ascii="Calibri" w:cs="Calibri" w:eastAsia="Calibri" w:hAnsi="Calibri"/>
          <w:color w:val="374151"/>
          <w:sz w:val="21"/>
          <w:szCs w:val="21"/>
        </w:rPr>
        <w:t xml:space="preserve">The system is built entirely on open-source Python libraries with no proprietary dependencies, which makes it portable to any standard Python environment, including containers and managed application platforms. All dependencies are pinned to exact versions for reproducibility.</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800"/>
        <w:gridCol w:w="2600"/>
        <w:gridCol w:w="4626"/>
      </w:tblGrid>
      <w:tr>
        <w:trPr>
          <w:tblHeader/>
        </w:trPr>
        <w:tc>
          <w:tcPr>
            <w:tcW w:type="dxa" w:w="18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Layer</w:t>
            </w:r>
          </w:p>
        </w:tc>
        <w:tc>
          <w:tcPr>
            <w:tcW w:type="dxa" w:w="2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Technology</w:t>
            </w:r>
          </w:p>
        </w:tc>
        <w:tc>
          <w:tcPr>
            <w:tcW w:type="dxa" w:w="46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Purpose</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Language</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Python 3.12+</w:t>
            </w:r>
          </w:p>
        </w:tc>
        <w:tc>
          <w:tcPr>
            <w:tcW w:type="dxa" w:w="4626"/>
            <w:tcMar>
              <w:top w:type="dxa" w:w="60"/>
              <w:left w:type="dxa" w:w="100"/>
              <w:bottom w:type="dxa" w:w="60"/>
              <w:right w:type="dxa" w:w="100"/>
            </w:tcMar>
          </w:tcPr>
          <w:p>
            <w:pPr>
              <w:spacing w:after="0"/>
            </w:pPr>
            <w:r>
              <w:rPr>
                <w:rFonts w:ascii="Calibri" w:cs="Calibri" w:eastAsia="Calibri" w:hAnsi="Calibri"/>
                <w:color w:val="374151"/>
                <w:sz w:val="19"/>
                <w:szCs w:val="19"/>
              </w:rPr>
              <w:t xml:space="preserve">Core implementation</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Data handling</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pandas, NumPy</w:t>
            </w:r>
          </w:p>
        </w:tc>
        <w:tc>
          <w:tcPr>
            <w:tcW w:type="dxa" w:w="46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Time-series manipulation and numerical work</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Statistics</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SciPy, statsmodels</w:t>
            </w:r>
          </w:p>
        </w:tc>
        <w:tc>
          <w:tcPr>
            <w:tcW w:type="dxa" w:w="4626"/>
            <w:tcMar>
              <w:top w:type="dxa" w:w="60"/>
              <w:left w:type="dxa" w:w="100"/>
              <w:bottom w:type="dxa" w:w="60"/>
              <w:right w:type="dxa" w:w="100"/>
            </w:tcMar>
          </w:tcPr>
          <w:p>
            <w:pPr>
              <w:spacing w:after="0"/>
            </w:pPr>
            <w:r>
              <w:rPr>
                <w:rFonts w:ascii="Calibri" w:cs="Calibri" w:eastAsia="Calibri" w:hAnsi="Calibri"/>
                <w:color w:val="374151"/>
                <w:sz w:val="19"/>
                <w:szCs w:val="19"/>
              </w:rPr>
              <w:t xml:space="preserve">Distributions and ARIMA modelling</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Volatility modelling</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arch</w:t>
            </w:r>
          </w:p>
        </w:tc>
        <w:tc>
          <w:tcPr>
            <w:tcW w:type="dxa" w:w="46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GARCH(1,1) conditional variance</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Machine learning</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scikit-learn</w:t>
            </w:r>
          </w:p>
        </w:tc>
        <w:tc>
          <w:tcPr>
            <w:tcW w:type="dxa" w:w="4626"/>
            <w:tcMar>
              <w:top w:type="dxa" w:w="60"/>
              <w:left w:type="dxa" w:w="100"/>
              <w:bottom w:type="dxa" w:w="60"/>
              <w:right w:type="dxa" w:w="100"/>
            </w:tcMar>
          </w:tcPr>
          <w:p>
            <w:pPr>
              <w:spacing w:after="0"/>
            </w:pPr>
            <w:r>
              <w:rPr>
                <w:rFonts w:ascii="Calibri" w:cs="Calibri" w:eastAsia="Calibri" w:hAnsi="Calibri"/>
                <w:color w:val="374151"/>
                <w:sz w:val="19"/>
                <w:szCs w:val="19"/>
              </w:rPr>
              <w:t xml:space="preserve">Direction classification and time-ordered cross-validation</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Data sources</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requests, yfinance</w:t>
            </w:r>
          </w:p>
        </w:tc>
        <w:tc>
          <w:tcPr>
            <w:tcW w:type="dxa" w:w="46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REST ingestion and market data</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Presentation</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Streamlit, Plotly</w:t>
            </w:r>
          </w:p>
        </w:tc>
        <w:tc>
          <w:tcPr>
            <w:tcW w:type="dxa" w:w="4626"/>
            <w:tcMar>
              <w:top w:type="dxa" w:w="60"/>
              <w:left w:type="dxa" w:w="100"/>
              <w:bottom w:type="dxa" w:w="60"/>
              <w:right w:type="dxa" w:w="100"/>
            </w:tcMar>
          </w:tcPr>
          <w:p>
            <w:pPr>
              <w:spacing w:after="0"/>
            </w:pPr>
            <w:r>
              <w:rPr>
                <w:rFonts w:ascii="Calibri" w:cs="Calibri" w:eastAsia="Calibri" w:hAnsi="Calibri"/>
                <w:color w:val="374151"/>
                <w:sz w:val="19"/>
                <w:szCs w:val="19"/>
              </w:rPr>
              <w:t xml:space="preserve">Interactive dashboard and charts</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Testing</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pytest, pytest-cov</w:t>
            </w:r>
          </w:p>
        </w:tc>
        <w:tc>
          <w:tcPr>
            <w:tcW w:type="dxa" w:w="46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Automated regression suite and coverage</w:t>
            </w:r>
          </w:p>
        </w:tc>
      </w:tr>
    </w:tbl>
    <w:p>
      <w:pPr>
        <w:pStyle w:val="Heading1"/>
        <w:spacing w:after="160" w:before="320"/>
      </w:pPr>
      <w:r>
        <w:rPr>
          <w:rFonts w:ascii="Calibri" w:cs="Calibri" w:eastAsia="Calibri" w:hAnsi="Calibri"/>
          <w:b/>
          <w:bCs/>
          <w:color w:val="1F4E9E"/>
          <w:sz w:val="30"/>
          <w:szCs w:val="30"/>
        </w:rPr>
        <w:t xml:space="preserve">5. Data Sources and Ingestion</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900"/>
        <w:gridCol w:w="3200"/>
        <w:gridCol w:w="3926"/>
      </w:tblGrid>
      <w:tr>
        <w:trPr>
          <w:tblHeader/>
        </w:trPr>
        <w:tc>
          <w:tcPr>
            <w:tcW w:type="dxa" w:w="19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Source</w:t>
            </w:r>
          </w:p>
        </w:tc>
        <w:tc>
          <w:tcPr>
            <w:tcW w:type="dxa" w:w="3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Provides</w:t>
            </w:r>
          </w:p>
        </w:tc>
        <w:tc>
          <w:tcPr>
            <w:tcW w:type="dxa" w:w="39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Role in the analysis</w:t>
            </w:r>
          </w:p>
        </w:tc>
      </w:tr>
      <w:tr>
        <w:tc>
          <w:tcPr>
            <w:tcW w:type="dxa" w:w="1900"/>
            <w:tcMar>
              <w:top w:type="dxa" w:w="60"/>
              <w:left w:type="dxa" w:w="100"/>
              <w:bottom w:type="dxa" w:w="60"/>
              <w:right w:type="dxa" w:w="100"/>
            </w:tcMar>
          </w:tcPr>
          <w:p>
            <w:pPr>
              <w:spacing w:after="0"/>
            </w:pPr>
            <w:r>
              <w:rPr>
                <w:rFonts w:ascii="Calibri" w:cs="Calibri" w:eastAsia="Calibri" w:hAnsi="Calibri"/>
                <w:color w:val="374151"/>
                <w:sz w:val="19"/>
                <w:szCs w:val="19"/>
              </w:rPr>
              <w:t xml:space="preserve">CoinGecko</w:t>
            </w:r>
          </w:p>
        </w:tc>
        <w:tc>
          <w:tcPr>
            <w:tcW w:type="dxa" w:w="3200"/>
            <w:tcMar>
              <w:top w:type="dxa" w:w="60"/>
              <w:left w:type="dxa" w:w="100"/>
              <w:bottom w:type="dxa" w:w="60"/>
              <w:right w:type="dxa" w:w="100"/>
            </w:tcMar>
          </w:tcPr>
          <w:p>
            <w:pPr>
              <w:spacing w:after="0"/>
            </w:pPr>
            <w:r>
              <w:rPr>
                <w:rFonts w:ascii="Calibri" w:cs="Calibri" w:eastAsia="Calibri" w:hAnsi="Calibri"/>
                <w:color w:val="374151"/>
                <w:sz w:val="19"/>
                <w:szCs w:val="19"/>
              </w:rPr>
              <w:t xml:space="preserve">Daily price, volume, market cap for six assets</w:t>
            </w:r>
          </w:p>
        </w:tc>
        <w:tc>
          <w:tcPr>
            <w:tcW w:type="dxa" w:w="3926"/>
            <w:tcMar>
              <w:top w:type="dxa" w:w="60"/>
              <w:left w:type="dxa" w:w="100"/>
              <w:bottom w:type="dxa" w:w="60"/>
              <w:right w:type="dxa" w:w="100"/>
            </w:tcMar>
          </w:tcPr>
          <w:p>
            <w:pPr>
              <w:spacing w:after="0"/>
            </w:pPr>
            <w:r>
              <w:rPr>
                <w:rFonts w:ascii="Calibri" w:cs="Calibri" w:eastAsia="Calibri" w:hAnsi="Calibri"/>
                <w:color w:val="374151"/>
                <w:sz w:val="19"/>
                <w:szCs w:val="19"/>
              </w:rPr>
              <w:t xml:space="preserve">Primary series for risk, cycle, correlation and forecasting</w:t>
            </w:r>
          </w:p>
        </w:tc>
      </w:tr>
      <w:tr>
        <w:tc>
          <w:tcPr>
            <w:tcW w:type="dxa" w:w="19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Yahoo Finance</w:t>
            </w:r>
          </w:p>
        </w:tc>
        <w:tc>
          <w:tcPr>
            <w:tcW w:type="dxa" w:w="3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S&amp;P 500, Gold, USD Index, 10Y Yield, Crude Oil</w:t>
            </w:r>
          </w:p>
        </w:tc>
        <w:tc>
          <w:tcPr>
            <w:tcW w:type="dxa" w:w="39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Comparison set for digital-versus-traditional correlation</w:t>
            </w:r>
          </w:p>
        </w:tc>
      </w:tr>
      <w:tr>
        <w:tc>
          <w:tcPr>
            <w:tcW w:type="dxa" w:w="1900"/>
            <w:tcMar>
              <w:top w:type="dxa" w:w="60"/>
              <w:left w:type="dxa" w:w="100"/>
              <w:bottom w:type="dxa" w:w="60"/>
              <w:right w:type="dxa" w:w="100"/>
            </w:tcMar>
          </w:tcPr>
          <w:p>
            <w:pPr>
              <w:spacing w:after="0"/>
            </w:pPr>
            <w:r>
              <w:rPr>
                <w:rFonts w:ascii="Calibri" w:cs="Calibri" w:eastAsia="Calibri" w:hAnsi="Calibri"/>
                <w:color w:val="374151"/>
                <w:sz w:val="19"/>
                <w:szCs w:val="19"/>
              </w:rPr>
              <w:t xml:space="preserve">alternative.me</w:t>
            </w:r>
          </w:p>
        </w:tc>
        <w:tc>
          <w:tcPr>
            <w:tcW w:type="dxa" w:w="3200"/>
            <w:tcMar>
              <w:top w:type="dxa" w:w="60"/>
              <w:left w:type="dxa" w:w="100"/>
              <w:bottom w:type="dxa" w:w="60"/>
              <w:right w:type="dxa" w:w="100"/>
            </w:tcMar>
          </w:tcPr>
          <w:p>
            <w:pPr>
              <w:spacing w:after="0"/>
            </w:pPr>
            <w:r>
              <w:rPr>
                <w:rFonts w:ascii="Calibri" w:cs="Calibri" w:eastAsia="Calibri" w:hAnsi="Calibri"/>
                <w:color w:val="374151"/>
                <w:sz w:val="19"/>
                <w:szCs w:val="19"/>
              </w:rPr>
              <w:t xml:space="preserve">Crypto Fear &amp; Greed index (0–100)</w:t>
            </w:r>
          </w:p>
        </w:tc>
        <w:tc>
          <w:tcPr>
            <w:tcW w:type="dxa" w:w="3926"/>
            <w:tcMar>
              <w:top w:type="dxa" w:w="60"/>
              <w:left w:type="dxa" w:w="100"/>
              <w:bottom w:type="dxa" w:w="60"/>
              <w:right w:type="dxa" w:w="100"/>
            </w:tcMar>
          </w:tcPr>
          <w:p>
            <w:pPr>
              <w:spacing w:after="0"/>
            </w:pPr>
            <w:r>
              <w:rPr>
                <w:rFonts w:ascii="Calibri" w:cs="Calibri" w:eastAsia="Calibri" w:hAnsi="Calibri"/>
                <w:color w:val="374151"/>
                <w:sz w:val="19"/>
                <w:szCs w:val="19"/>
              </w:rPr>
              <w:t xml:space="preserve">Sentiment signal and model feature</w:t>
            </w:r>
          </w:p>
        </w:tc>
      </w:tr>
      <w:tr>
        <w:tc>
          <w:tcPr>
            <w:tcW w:type="dxa" w:w="19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Blockchain.info</w:t>
            </w:r>
          </w:p>
        </w:tc>
        <w:tc>
          <w:tcPr>
            <w:tcW w:type="dxa" w:w="3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Bitcoin transactions and active addresses</w:t>
            </w:r>
          </w:p>
        </w:tc>
        <w:tc>
          <w:tcPr>
            <w:tcW w:type="dxa" w:w="39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On-chain network activity and model feature</w:t>
            </w:r>
          </w:p>
        </w:tc>
      </w:tr>
      <w:tr>
        <w:tc>
          <w:tcPr>
            <w:tcW w:type="dxa" w:w="1900"/>
            <w:tcMar>
              <w:top w:type="dxa" w:w="60"/>
              <w:left w:type="dxa" w:w="100"/>
              <w:bottom w:type="dxa" w:w="60"/>
              <w:right w:type="dxa" w:w="100"/>
            </w:tcMar>
          </w:tcPr>
          <w:p>
            <w:pPr>
              <w:spacing w:after="0"/>
            </w:pPr>
            <w:r>
              <w:rPr>
                <w:rFonts w:ascii="Calibri" w:cs="Calibri" w:eastAsia="Calibri" w:hAnsi="Calibri"/>
                <w:color w:val="374151"/>
                <w:sz w:val="19"/>
                <w:szCs w:val="19"/>
              </w:rPr>
              <w:t xml:space="preserve">Yahoo Finance (FX)</w:t>
            </w:r>
          </w:p>
        </w:tc>
        <w:tc>
          <w:tcPr>
            <w:tcW w:type="dxa" w:w="3200"/>
            <w:tcMar>
              <w:top w:type="dxa" w:w="60"/>
              <w:left w:type="dxa" w:w="100"/>
              <w:bottom w:type="dxa" w:w="60"/>
              <w:right w:type="dxa" w:w="100"/>
            </w:tcMar>
          </w:tcPr>
          <w:p>
            <w:pPr>
              <w:spacing w:after="0"/>
            </w:pPr>
            <w:r>
              <w:rPr>
                <w:rFonts w:ascii="Calibri" w:cs="Calibri" w:eastAsia="Calibri" w:hAnsi="Calibri"/>
                <w:color w:val="374151"/>
                <w:sz w:val="19"/>
                <w:szCs w:val="19"/>
              </w:rPr>
              <w:t xml:space="preserve">USD/INR daily rate</w:t>
            </w:r>
          </w:p>
        </w:tc>
        <w:tc>
          <w:tcPr>
            <w:tcW w:type="dxa" w:w="3926"/>
            <w:tcMar>
              <w:top w:type="dxa" w:w="60"/>
              <w:left w:type="dxa" w:w="100"/>
              <w:bottom w:type="dxa" w:w="60"/>
              <w:right w:type="dxa" w:w="100"/>
            </w:tcMar>
          </w:tcPr>
          <w:p>
            <w:pPr>
              <w:spacing w:after="0"/>
            </w:pPr>
            <w:r>
              <w:rPr>
                <w:rFonts w:ascii="Calibri" w:cs="Calibri" w:eastAsia="Calibri" w:hAnsi="Calibri"/>
                <w:color w:val="374151"/>
                <w:sz w:val="19"/>
                <w:szCs w:val="19"/>
              </w:rPr>
              <w:t xml:space="preserve">Converts dollar-quoted assets to rupees</w:t>
            </w:r>
          </w:p>
        </w:tc>
      </w:tr>
    </w:tbl>
    <w:p>
      <w:pPr>
        <w:pStyle w:val="Heading2"/>
        <w:spacing w:after="120" w:before="240"/>
      </w:pPr>
      <w:r>
        <w:rPr>
          <w:rFonts w:ascii="Calibri" w:cs="Calibri" w:eastAsia="Calibri" w:hAnsi="Calibri"/>
          <w:b/>
          <w:bCs/>
          <w:color w:val="111827"/>
          <w:sz w:val="24"/>
          <w:szCs w:val="24"/>
        </w:rPr>
        <w:t xml:space="preserve">5.1 Ingestion, Rate Limiting and Caching</w:t>
      </w:r>
    </w:p>
    <w:p>
      <w:pPr>
        <w:spacing w:after="120" w:line="276"/>
      </w:pPr>
      <w:r>
        <w:rPr>
          <w:rFonts w:ascii="Calibri" w:cs="Calibri" w:eastAsia="Calibri" w:hAnsi="Calibri"/>
          <w:color w:val="374151"/>
          <w:sz w:val="21"/>
          <w:szCs w:val="21"/>
        </w:rPr>
        <w:t xml:space="preserve">The price provider's keyless tier is rate limited to roughly ten to thirty requests per minute, shared across all anonymous users of an IP address. Six consecutive requests reliably exceeded it. A measured cold fetch took 74.8 seconds, of which the majority was spent in backoff after two HTTP 429 responses.</w:t>
      </w:r>
    </w:p>
    <w:p>
      <w:pPr>
        <w:spacing w:after="120" w:line="276"/>
      </w:pPr>
      <w:r>
        <w:rPr>
          <w:rFonts w:ascii="Calibri" w:cs="Calibri" w:eastAsia="Calibri" w:hAnsi="Calibri"/>
          <w:color w:val="374151"/>
          <w:sz w:val="21"/>
          <w:szCs w:val="21"/>
        </w:rPr>
        <w:t xml:space="preserve">Request spacing was therefore set against the worst documented limit rather than the average, at six seconds between calls. Six assets then complete in approximately thirty to thirty-six seconds with no rate-limit response at all: slower per request, but faster overall because it never incurs the backoff penalty. With a free demo credential, spacing drops to 0.8 seconds and the same six requests complete in 6.3 seconds.</w:t>
      </w:r>
    </w:p>
    <w:p>
      <w:pPr>
        <w:spacing w:after="120" w:line="276"/>
      </w:pPr>
      <w:r>
        <w:rPr>
          <w:rFonts w:ascii="Calibri" w:cs="Calibri" w:eastAsia="Calibri" w:hAnsi="Calibri"/>
          <w:color w:val="374151"/>
          <w:sz w:val="21"/>
          <w:szCs w:val="21"/>
        </w:rPr>
        <w:t xml:space="preserve">Successful responses are cached on disk. Failures are deliberately not cached, because storing a fallback would keep the system on generated data long after connectivity returned.</w:t>
      </w:r>
    </w:p>
    <w:p>
      <w:pPr>
        <w:pStyle w:val="Heading2"/>
        <w:spacing w:after="120" w:before="240"/>
      </w:pPr>
      <w:r>
        <w:rPr>
          <w:rFonts w:ascii="Calibri" w:cs="Calibri" w:eastAsia="Calibri" w:hAnsi="Calibri"/>
          <w:b/>
          <w:bCs/>
          <w:color w:val="111827"/>
          <w:sz w:val="24"/>
          <w:szCs w:val="24"/>
        </w:rPr>
        <w:t xml:space="preserve">5.2 Preprocessing</w:t>
      </w:r>
    </w:p>
    <w:p>
      <w:pPr>
        <w:spacing w:after="120" w:line="276"/>
      </w:pPr>
      <w:r>
        <w:rPr>
          <w:rFonts w:ascii="Calibri" w:cs="Calibri" w:eastAsia="Calibri" w:hAnsi="Calibri"/>
          <w:color w:val="374151"/>
          <w:sz w:val="21"/>
          <w:szCs w:val="21"/>
        </w:rPr>
        <w:t xml:space="preserve">Cleaning is centralised in a single module rather than distributed as ad-hoc operations across the loaders, and every step records what it did so the dashboard can report it. The order of operations is deliberate:</w:t>
      </w:r>
    </w:p>
    <w:p>
      <w:pPr>
        <w:pStyle w:val="ListParagraph"/>
        <w:numPr>
          <w:ilvl w:val="0"/>
          <w:numId w:val="2"/>
        </w:numPr>
        <w:spacing w:after="80" w:line="276"/>
      </w:pPr>
      <w:r>
        <w:rPr>
          <w:rFonts w:ascii="Calibri" w:cs="Calibri" w:eastAsia="Calibri" w:hAnsi="Calibri"/>
          <w:color w:val="374151"/>
          <w:sz w:val="21"/>
          <w:szCs w:val="21"/>
        </w:rPr>
        <w:t xml:space="preserve">De-duplicate the index, because a repeated timestamp double-counts a day in every statistic computed from it.</w:t>
      </w:r>
    </w:p>
    <w:p>
      <w:pPr>
        <w:pStyle w:val="ListParagraph"/>
        <w:numPr>
          <w:ilvl w:val="0"/>
          <w:numId w:val="2"/>
        </w:numPr>
        <w:spacing w:after="80" w:line="276"/>
      </w:pPr>
      <w:r>
        <w:rPr>
          <w:rFonts w:ascii="Calibri" w:cs="Calibri" w:eastAsia="Calibri" w:hAnsi="Calibri"/>
          <w:color w:val="374151"/>
          <w:sz w:val="21"/>
          <w:szCs w:val="21"/>
        </w:rPr>
        <w:t xml:space="preserve">Coerce types, because a value delivered as text compares without raising an error and produces silently incorrect results.</w:t>
      </w:r>
    </w:p>
    <w:p>
      <w:pPr>
        <w:pStyle w:val="ListParagraph"/>
        <w:numPr>
          <w:ilvl w:val="0"/>
          <w:numId w:val="2"/>
        </w:numPr>
        <w:spacing w:after="80" w:line="276"/>
      </w:pPr>
      <w:r>
        <w:rPr>
          <w:rFonts w:ascii="Calibri" w:cs="Calibri" w:eastAsia="Calibri" w:hAnsi="Calibri"/>
          <w:color w:val="374151"/>
          <w:sz w:val="21"/>
          <w:szCs w:val="21"/>
        </w:rPr>
        <w:t xml:space="preserve">Collapse intraday observations to one row per day.</w:t>
      </w:r>
    </w:p>
    <w:p>
      <w:pPr>
        <w:pStyle w:val="ListParagraph"/>
        <w:numPr>
          <w:ilvl w:val="0"/>
          <w:numId w:val="2"/>
        </w:numPr>
        <w:spacing w:after="80" w:line="276"/>
      </w:pPr>
      <w:r>
        <w:rPr>
          <w:rFonts w:ascii="Calibri" w:cs="Calibri" w:eastAsia="Calibri" w:hAnsi="Calibri"/>
          <w:color w:val="374151"/>
          <w:sz w:val="21"/>
          <w:szCs w:val="21"/>
        </w:rPr>
        <w:t xml:space="preserve">Remove impossible values before any return calculation turns a zero into an infinity.</w:t>
      </w:r>
    </w:p>
    <w:p>
      <w:pPr>
        <w:pStyle w:val="ListParagraph"/>
        <w:numPr>
          <w:ilvl w:val="0"/>
          <w:numId w:val="2"/>
        </w:numPr>
        <w:spacing w:after="80" w:line="276"/>
      </w:pPr>
      <w:r>
        <w:rPr>
          <w:rFonts w:ascii="Calibri" w:cs="Calibri" w:eastAsia="Calibri" w:hAnsi="Calibri"/>
          <w:color w:val="374151"/>
          <w:sz w:val="21"/>
          <w:szCs w:val="21"/>
        </w:rPr>
        <w:t xml:space="preserve">Forward-fill gaps — forward only, because back-filling moves a later observation into an earlier day and constitutes look-ahead.</w:t>
      </w:r>
    </w:p>
    <w:p>
      <w:pPr>
        <w:pStyle w:val="ListParagraph"/>
        <w:numPr>
          <w:ilvl w:val="0"/>
          <w:numId w:val="2"/>
        </w:numPr>
        <w:spacing w:after="80" w:line="276"/>
      </w:pPr>
      <w:r>
        <w:rPr>
          <w:rFonts w:ascii="Calibri" w:cs="Calibri" w:eastAsia="Calibri" w:hAnsi="Calibri"/>
          <w:color w:val="374151"/>
          <w:sz w:val="21"/>
          <w:szCs w:val="21"/>
        </w:rPr>
        <w:t xml:space="preserve">Flag outliers without removing them. Value-at-Risk and conditional VaR exist to describe the tail of the return distribution; trimming that tail before measuring it produces a comfortable figure that is wrong in the one direction that matters.</w:t>
      </w:r>
    </w:p>
    <w:p>
      <w:pPr>
        <w:spacing w:after="120" w:line="276"/>
      </w:pPr>
      <w:r>
        <w:rPr>
          <w:rFonts w:ascii="Calibri" w:cs="Calibri" w:eastAsia="Calibri" w:hAnsi="Calibri"/>
          <w:color w:val="374151"/>
          <w:sz w:val="21"/>
          <w:szCs w:val="21"/>
        </w:rPr>
        <w:t xml:space="preserve">Traditional assets are deliberately not resampled onto a continuous daily grid. Those markets are genuinely closed at weekends, and inventing rows for non-trading days would manufacture zero-return observations that bias every measured correlation toward zero.</w:t>
      </w:r>
    </w:p>
    <w:p>
      <w:pPr>
        <w:pStyle w:val="Heading2"/>
        <w:spacing w:after="120" w:before="240"/>
      </w:pPr>
      <w:r>
        <w:rPr>
          <w:rFonts w:ascii="Calibri" w:cs="Calibri" w:eastAsia="Calibri" w:hAnsi="Calibri"/>
          <w:b/>
          <w:bCs/>
          <w:color w:val="111827"/>
          <w:sz w:val="24"/>
          <w:szCs w:val="24"/>
        </w:rPr>
        <w:t xml:space="preserve">5.3 Currency Treatment</w:t>
      </w:r>
    </w:p>
    <w:p>
      <w:pPr>
        <w:spacing w:after="120" w:line="276"/>
      </w:pPr>
      <w:r>
        <w:rPr>
          <w:rFonts w:ascii="Calibri" w:cs="Calibri" w:eastAsia="Calibri" w:hAnsi="Calibri"/>
          <w:color w:val="374151"/>
          <w:sz w:val="21"/>
          <w:szCs w:val="21"/>
        </w:rPr>
        <w:t xml:space="preserve">Cryptocurrency prices are fetched from the provider directly in Indian rupees, which the API supports natively, so no conversion is applied and no cross-rate error is introduced. Dollar-quoted traditional assets are converted using the daily USD/INR rate.</w:t>
      </w:r>
    </w:p>
    <w:p>
      <w:pPr>
        <w:spacing w:after="120" w:line="276"/>
      </w:pPr>
      <w:r>
        <w:rPr>
          <w:rFonts w:ascii="Calibri" w:cs="Calibri" w:eastAsia="Calibri" w:hAnsi="Calibri"/>
          <w:color w:val="374151"/>
          <w:sz w:val="21"/>
          <w:szCs w:val="21"/>
        </w:rPr>
        <w:t xml:space="preserve">Two macroeconomic series are deliberately left unconverted. The US Dollar Index is an index level rather than a price in dollars, and the 10-Year Treasury Yield is a rate expressed in percentage points. Multiplying either by an exchange rate would be meaningless.</w:t>
      </w:r>
    </w:p>
    <w:p>
      <w:pPr>
        <w:spacing w:after="120" w:line="276"/>
      </w:pPr>
      <w:r>
        <w:rPr>
          <w:rFonts w:ascii="Calibri" w:cs="Calibri" w:eastAsia="Calibri" w:hAnsi="Calibri"/>
          <w:color w:val="374151"/>
          <w:sz w:val="21"/>
          <w:szCs w:val="21"/>
        </w:rPr>
        <w:t xml:space="preserve">Converting prices before differencing means the resulting returns carry the currency movement as a shared component. This is not a distortion but the correct frame for an investor whose portfolio is denominated in rupees, whose realised gain on gold is the gold movement and the currency movement combined.</w:t>
      </w:r>
    </w:p>
    <w:p>
      <w:pPr>
        <w:pStyle w:val="Heading2"/>
        <w:spacing w:after="120" w:before="240"/>
      </w:pPr>
      <w:r>
        <w:rPr>
          <w:rFonts w:ascii="Calibri" w:cs="Calibri" w:eastAsia="Calibri" w:hAnsi="Calibri"/>
          <w:b/>
          <w:bCs/>
          <w:color w:val="111827"/>
          <w:sz w:val="24"/>
          <w:szCs w:val="24"/>
        </w:rPr>
        <w:t xml:space="preserve">5.4 Distribution and Offline Operation</w:t>
      </w:r>
    </w:p>
    <w:p>
      <w:pPr>
        <w:spacing w:after="120" w:line="276"/>
      </w:pPr>
      <w:r>
        <w:rPr>
          <w:rFonts w:ascii="Calibri" w:cs="Calibri" w:eastAsia="Calibri" w:hAnsi="Calibri"/>
          <w:color w:val="374151"/>
          <w:sz w:val="21"/>
          <w:szCs w:val="21"/>
        </w:rPr>
        <w:t xml:space="preserve">The system is distributed as a folder and may be examined at any later date, on a machine that has no credentials and possibly no network access. It therefore ships with a populated cache containing real responses from all five feeds across all four selectable history windows. Startup is under one second in this configuration, using genuine market data.</w:t>
      </w:r>
    </w:p>
    <w:p>
      <w:pPr>
        <w:spacing w:after="120" w:line="276"/>
      </w:pPr>
      <w:r>
        <w:rPr>
          <w:rFonts w:ascii="Calibri" w:cs="Calibri" w:eastAsia="Calibri" w:hAnsi="Calibri"/>
          <w:color w:val="374151"/>
          <w:sz w:val="21"/>
          <w:szCs w:val="21"/>
        </w:rPr>
        <w:t xml:space="preserve">If a cached response has expired and a live fetch fails, the expired response is served in preference to the generated fallback. Given a choice between real data carrying an older date and synthetic data carrying today's, the former is the more honest thing to present — and the interface states the date range covered by every feed, so nothing is represented as more current than it is.</w:t>
      </w:r>
    </w:p>
    <w:p>
      <w:pPr>
        <w:pStyle w:val="Heading1"/>
        <w:spacing w:after="160" w:before="320"/>
      </w:pPr>
      <w:r>
        <w:rPr>
          <w:rFonts w:ascii="Calibri" w:cs="Calibri" w:eastAsia="Calibri" w:hAnsi="Calibri"/>
          <w:b/>
          <w:bCs/>
          <w:color w:val="1F4E9E"/>
          <w:sz w:val="30"/>
          <w:szCs w:val="30"/>
        </w:rPr>
        <w:t xml:space="preserve">6. Module Design</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3000"/>
        <w:gridCol w:w="6026"/>
      </w:tblGrid>
      <w:tr>
        <w:trPr>
          <w:tblHeader/>
        </w:trPr>
        <w:tc>
          <w:tcPr>
            <w:tcW w:type="dxa" w:w="30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Module</w:t>
            </w:r>
          </w:p>
        </w:tc>
        <w:tc>
          <w:tcPr>
            <w:tcW w:type="dxa" w:w="60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Responsibility</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src/data/crypto.py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Price ingestion with throttling, backoff and per-asset source reporting</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src/data/macro.py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Traditional and macroeconomic asset prices</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src/data/sentiment.py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Fear &amp; Greed index and Bitcoin on-chain metrics</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src/data/fx.py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USD/INR rate, currency conversion, and Indian digit grouping</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src/data/preprocessing.py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Centralised cleaning with a per-dataset quality report</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src/data/cache.py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On-disk cache with stale-in-preference-to-synthetic fallback</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src/data/health.py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Per-feed connection diagnostics</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src/data/sample_data.py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Deterministic, correlated generator used when a feed is unavailable</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src/pipeline.py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Orchestration into a single MarketData bundle</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src/analysis/volatility.py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Risk metrics and GARCH(1,1)</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src/analysis/cycles.py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Market-cycle phase identification</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src/analysis/correlation.py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Cross-asset correlation, beta, and regime split</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src/analysis/forecast.py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ARIMA modelling and walk-forward validation</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src/analysis/direction.py</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Next-day direction classification and feature ablation</w:t>
            </w:r>
          </w:p>
        </w:tc>
      </w:tr>
      <w:tr>
        <w:tc>
          <w:tcPr>
            <w:tcW w:type="dxa" w:w="3000"/>
            <w:tcMar>
              <w:top w:type="dxa" w:w="60"/>
              <w:left w:type="dxa" w:w="100"/>
              <w:bottom w:type="dxa" w:w="60"/>
              <w:right w:type="dxa" w:w="100"/>
            </w:tcMar>
          </w:tcPr>
          <w:p>
            <w:pPr>
              <w:spacing w:after="0"/>
            </w:pPr>
            <w:r>
              <w:rPr>
                <w:rFonts w:ascii="Calibri" w:cs="Calibri" w:eastAsia="Calibri" w:hAnsi="Calibri"/>
                <w:color w:val="374151"/>
                <w:sz w:val="19"/>
                <w:szCs w:val="19"/>
              </w:rPr>
              <w:t xml:space="preserve">src/viz/charts.py</w:t>
            </w:r>
          </w:p>
        </w:tc>
        <w:tc>
          <w:tcPr>
            <w:tcW w:type="dxa" w:w="6026"/>
            <w:tcMar>
              <w:top w:type="dxa" w:w="60"/>
              <w:left w:type="dxa" w:w="100"/>
              <w:bottom w:type="dxa" w:w="60"/>
              <w:right w:type="dxa" w:w="100"/>
            </w:tcMar>
          </w:tcPr>
          <w:p>
            <w:pPr>
              <w:spacing w:after="0"/>
            </w:pPr>
            <w:r>
              <w:rPr>
                <w:rFonts w:ascii="Calibri" w:cs="Calibri" w:eastAsia="Calibri" w:hAnsi="Calibri"/>
                <w:color w:val="374151"/>
                <w:sz w:val="19"/>
                <w:szCs w:val="19"/>
              </w:rPr>
              <w:t xml:space="preserve">Plotly chart construction under a closed colour scheme</w:t>
            </w:r>
          </w:p>
        </w:tc>
      </w:tr>
      <w:tr>
        <w:tc>
          <w:tcPr>
            <w:tcW w:type="dxa" w:w="30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src/ui/</w:t>
            </w:r>
          </w:p>
        </w:tc>
        <w:tc>
          <w:tcPr>
            <w:tcW w:type="dxa" w:w="6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Dashboard tab modules</w:t>
            </w:r>
          </w:p>
        </w:tc>
      </w:tr>
    </w:tbl>
    <w:p>
      <w:pPr>
        <w:pStyle w:val="Heading1"/>
        <w:spacing w:after="160" w:before="320"/>
      </w:pPr>
      <w:r>
        <w:rPr>
          <w:rFonts w:ascii="Calibri" w:cs="Calibri" w:eastAsia="Calibri" w:hAnsi="Calibri"/>
          <w:b/>
          <w:bCs/>
          <w:color w:val="1F4E9E"/>
          <w:sz w:val="30"/>
          <w:szCs w:val="30"/>
        </w:rPr>
        <w:t xml:space="preserve">7. Algorithms and Methods</w:t>
      </w:r>
    </w:p>
    <w:p>
      <w:pPr>
        <w:pStyle w:val="Heading2"/>
        <w:spacing w:after="120" w:before="240"/>
      </w:pPr>
      <w:r>
        <w:rPr>
          <w:rFonts w:ascii="Calibri" w:cs="Calibri" w:eastAsia="Calibri" w:hAnsi="Calibri"/>
          <w:b/>
          <w:bCs/>
          <w:color w:val="111827"/>
          <w:sz w:val="24"/>
          <w:szCs w:val="24"/>
        </w:rPr>
        <w:t xml:space="preserve">7.1 Returns and Volatility</w:t>
      </w:r>
    </w:p>
    <w:p>
      <w:pPr>
        <w:spacing w:after="120" w:line="276"/>
      </w:pPr>
      <w:r>
        <w:rPr>
          <w:rFonts w:ascii="Calibri" w:cs="Calibri" w:eastAsia="Calibri" w:hAnsi="Calibri"/>
          <w:color w:val="374151"/>
          <w:sz w:val="21"/>
          <w:szCs w:val="21"/>
        </w:rPr>
        <w:t xml:space="preserve">Simple daily percentage returns are used for risk metrics and logarithmic returns for time-series modelling. Annualisation uses 365 days rather than the 252-day convention used for equities, because cryptocurrency markets trade every day of the year; applying the equity convention would understate annualised volatility by approximately twenty per cent.</w:t>
      </w:r>
    </w:p>
    <w:p>
      <w:pPr>
        <w:pStyle w:val="Heading2"/>
        <w:spacing w:after="120" w:before="240"/>
      </w:pPr>
      <w:r>
        <w:rPr>
          <w:rFonts w:ascii="Calibri" w:cs="Calibri" w:eastAsia="Calibri" w:hAnsi="Calibri"/>
          <w:b/>
          <w:bCs/>
          <w:color w:val="111827"/>
          <w:sz w:val="24"/>
          <w:szCs w:val="24"/>
        </w:rPr>
        <w:t xml:space="preserve">7.2 Risk Metrics</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426"/>
      </w:tblGrid>
      <w:tr>
        <w:trPr>
          <w:tblHeader/>
        </w:trPr>
        <w:tc>
          <w:tcPr>
            <w:tcW w:type="dxa" w:w="2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Metric</w:t>
            </w:r>
          </w:p>
        </w:tc>
        <w:tc>
          <w:tcPr>
            <w:tcW w:type="dxa" w:w="64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Definition and rationale</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Annualised volatility</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Standard deviation of daily returns, scaled by the square root of 365</w:t>
            </w:r>
          </w:p>
        </w:tc>
      </w:tr>
      <w:tr>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Value-at-Risk (95%, 99%)</w:t>
            </w:r>
          </w:p>
        </w:tc>
        <w:tc>
          <w:tcPr>
            <w:tcW w:type="dxa" w:w="6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Empirical percentile of the return distribution. Estimated non-parametrically to avoid the normal-distribution assumption, which badly understates crypto's fat tails</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Conditional VaR (95%)</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Mean loss beyond the VaR threshold. VaR states where the threshold lies; CVaR states how bad it becomes once crossed</w:t>
            </w:r>
          </w:p>
        </w:tc>
      </w:tr>
      <w:tr>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Maximum drawdown</w:t>
            </w:r>
          </w:p>
        </w:tc>
        <w:tc>
          <w:tcPr>
            <w:tcW w:type="dxa" w:w="6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Largest peak-to-trough decline within the loaded window. This is a window high, not an all-time high, and is labelled as such</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Sharpe ratio</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Excess return per unit of total volatility</w:t>
            </w:r>
          </w:p>
        </w:tc>
      </w:tr>
      <w:tr>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Sortino ratio</w:t>
            </w:r>
          </w:p>
        </w:tc>
        <w:tc>
          <w:tcPr>
            <w:tcW w:type="dxa" w:w="6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Excess return per unit of downside deviation, computed as the root mean square shortfall against the risk-free target across all observations</w:t>
            </w:r>
          </w:p>
        </w:tc>
      </w:tr>
      <w:tr>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Volatility regime</w:t>
            </w:r>
          </w:p>
        </w:tc>
        <w:tc>
          <w:tcPr>
            <w:tcW w:type="dxa" w:w="6426"/>
            <w:tcMar>
              <w:top w:type="dxa" w:w="60"/>
              <w:left w:type="dxa" w:w="100"/>
              <w:bottom w:type="dxa" w:w="60"/>
              <w:right w:type="dxa" w:w="100"/>
            </w:tcMar>
          </w:tcPr>
          <w:p>
            <w:pPr>
              <w:spacing w:after="0"/>
            </w:pPr>
            <w:r>
              <w:rPr>
                <w:rFonts w:ascii="Calibri" w:cs="Calibri" w:eastAsia="Calibri" w:hAnsi="Calibri"/>
                <w:color w:val="374151"/>
                <w:sz w:val="19"/>
                <w:szCs w:val="19"/>
              </w:rPr>
              <w:t xml:space="preserve">Current rolling volatility positioned against its own prior distribution, excluding the current observation</w:t>
            </w:r>
          </w:p>
        </w:tc>
      </w:tr>
    </w:tbl>
    <w:p>
      <w:pPr>
        <w:spacing w:after="120" w:line="276"/>
      </w:pPr>
      <w:r>
        <w:rPr>
          <w:rFonts w:ascii="Calibri" w:cs="Calibri" w:eastAsia="Calibri" w:hAnsi="Calibri"/>
          <w:color w:val="374151"/>
          <w:sz w:val="21"/>
          <w:szCs w:val="21"/>
        </w:rPr>
        <w:t xml:space="preserve">The Sortino denominator merits a note. A common shortcut takes the standard deviation of the losing days alone, but that measures dispersion about the mean of the losses rather than shortfall against a target, and inflates the resulting ratio. The implementation computes the root mean square shortfall across every observation, which correctly falls when winning days are added.</w:t>
      </w:r>
    </w:p>
    <w:p>
      <w:pPr>
        <w:pStyle w:val="Heading2"/>
        <w:spacing w:after="120" w:before="240"/>
      </w:pPr>
      <w:r>
        <w:rPr>
          <w:rFonts w:ascii="Calibri" w:cs="Calibri" w:eastAsia="Calibri" w:hAnsi="Calibri"/>
          <w:b/>
          <w:bCs/>
          <w:color w:val="111827"/>
          <w:sz w:val="24"/>
          <w:szCs w:val="24"/>
        </w:rPr>
        <w:t xml:space="preserve">7.3 Volatility Clustering: GARCH(1,1)</w:t>
      </w:r>
    </w:p>
    <w:p>
      <w:pPr>
        <w:spacing w:after="120" w:line="276"/>
      </w:pPr>
      <w:r>
        <w:rPr>
          <w:rFonts w:ascii="Calibri" w:cs="Calibri" w:eastAsia="Calibri" w:hAnsi="Calibri"/>
          <w:color w:val="374151"/>
          <w:sz w:val="21"/>
          <w:szCs w:val="21"/>
        </w:rPr>
        <w:t xml:space="preserve">A rolling standard deviation weights every day inside its window equally and discards a shock in a single step when it leaves the far end. Realised volatility does neither: it clusters, in that a violent day makes the following day more likely to be violent, and it decays smoothly.</w:t>
      </w:r>
    </w:p>
    <w:p>
      <w:pPr>
        <w:spacing w:after="120" w:line="276"/>
      </w:pPr>
      <w:r>
        <w:rPr>
          <w:rFonts w:ascii="Calibri" w:cs="Calibri" w:eastAsia="Calibri" w:hAnsi="Calibri"/>
          <w:color w:val="374151"/>
          <w:sz w:val="21"/>
          <w:szCs w:val="21"/>
        </w:rPr>
        <w:t xml:space="preserve">GARCH(1,1) models this directly, expressing tomorrow's conditional variance as a weighted combination of a long-run level, the most recent squared innovation, and the previous conditional variance. Two parameters summarise the behaviour: alpha governs how sharply volatility reacts to a new shock, and beta governs how long that shock persists. Their sum is the persistence, and values close to one — the normal finding for daily financial returns — indicate slow decay.</w:t>
      </w:r>
    </w:p>
    <w:p>
      <w:pPr>
        <w:pStyle w:val="Heading2"/>
        <w:spacing w:after="120" w:before="240"/>
      </w:pPr>
      <w:r>
        <w:rPr>
          <w:rFonts w:ascii="Calibri" w:cs="Calibri" w:eastAsia="Calibri" w:hAnsi="Calibri"/>
          <w:b/>
          <w:bCs/>
          <w:color w:val="111827"/>
          <w:sz w:val="24"/>
          <w:szCs w:val="24"/>
        </w:rPr>
        <w:t xml:space="preserve">7.4 Market-Cycle Phase Identification</w:t>
      </w:r>
    </w:p>
    <w:p>
      <w:pPr>
        <w:spacing w:after="120" w:line="276"/>
      </w:pPr>
      <w:r>
        <w:rPr>
          <w:rFonts w:ascii="Calibri" w:cs="Calibri" w:eastAsia="Calibri" w:hAnsi="Calibri"/>
          <w:color w:val="374151"/>
          <w:sz w:val="21"/>
          <w:szCs w:val="21"/>
        </w:rPr>
        <w:t xml:space="preserve">Phases follow the Wyckoff cycle of Accumulation, Markup, Distribution and Markdown, inferred from three signals so that every label is traceable to the condition that produced it: trend structure relative to a short and a long moving average, momentum from a 14-period Relative Strength Index using Wilder's smoothing, and drawdown from the running peak.</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400"/>
        <w:gridCol w:w="5200"/>
        <w:gridCol w:w="2426"/>
      </w:tblGrid>
      <w:tr>
        <w:trPr>
          <w:tblHeader/>
        </w:trPr>
        <w:tc>
          <w:tcPr>
            <w:tcW w:type="dxa" w:w="14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Trend</w:t>
            </w:r>
          </w:p>
        </w:tc>
        <w:tc>
          <w:tcPr>
            <w:tcW w:type="dxa" w:w="5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Momentum and drawdown condition</w:t>
            </w:r>
          </w:p>
        </w:tc>
        <w:tc>
          <w:tcPr>
            <w:tcW w:type="dxa" w:w="24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Phase</w:t>
            </w:r>
          </w:p>
        </w:tc>
      </w:tr>
      <w:tr>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Up</w:t>
            </w:r>
          </w:p>
        </w:tc>
        <w:tc>
          <w:tcPr>
            <w:tcW w:type="dxa" w:w="5200"/>
            <w:tcMar>
              <w:top w:type="dxa" w:w="60"/>
              <w:left w:type="dxa" w:w="100"/>
              <w:bottom w:type="dxa" w:w="60"/>
              <w:right w:type="dxa" w:w="100"/>
            </w:tcMar>
          </w:tcPr>
          <w:p>
            <w:pPr>
              <w:spacing w:after="0"/>
            </w:pPr>
            <w:r>
              <w:rPr>
                <w:rFonts w:ascii="Calibri" w:cs="Calibri" w:eastAsia="Calibri" w:hAnsi="Calibri"/>
                <w:color w:val="374151"/>
                <w:sz w:val="19"/>
                <w:szCs w:val="19"/>
              </w:rPr>
              <w:t xml:space="preserve">RSI ≥ 55</w:t>
            </w:r>
          </w:p>
        </w:tc>
        <w:tc>
          <w:tcPr>
            <w:tcW w:type="dxa" w:w="2426"/>
            <w:tcMar>
              <w:top w:type="dxa" w:w="60"/>
              <w:left w:type="dxa" w:w="100"/>
              <w:bottom w:type="dxa" w:w="60"/>
              <w:right w:type="dxa" w:w="100"/>
            </w:tcMar>
          </w:tcPr>
          <w:p>
            <w:pPr>
              <w:spacing w:after="0"/>
            </w:pPr>
            <w:r>
              <w:rPr>
                <w:rFonts w:ascii="Calibri" w:cs="Calibri" w:eastAsia="Calibri" w:hAnsi="Calibri"/>
                <w:color w:val="374151"/>
                <w:sz w:val="19"/>
                <w:szCs w:val="19"/>
              </w:rPr>
              <w:t xml:space="preserve">Markup (Bull)</w:t>
            </w:r>
          </w:p>
        </w:tc>
      </w:tr>
      <w:tr>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Up</w:t>
            </w:r>
          </w:p>
        </w:tc>
        <w:tc>
          <w:tcPr>
            <w:tcW w:type="dxa" w:w="5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RSI &lt; 55 and price within 10% of the peak</w:t>
            </w:r>
          </w:p>
        </w:tc>
        <w:tc>
          <w:tcPr>
            <w:tcW w:type="dxa" w:w="2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Distribution</w:t>
            </w:r>
          </w:p>
        </w:tc>
      </w:tr>
      <w:tr>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Down</w:t>
            </w:r>
          </w:p>
        </w:tc>
        <w:tc>
          <w:tcPr>
            <w:tcW w:type="dxa" w:w="5200"/>
            <w:tcMar>
              <w:top w:type="dxa" w:w="60"/>
              <w:left w:type="dxa" w:w="100"/>
              <w:bottom w:type="dxa" w:w="60"/>
              <w:right w:type="dxa" w:w="100"/>
            </w:tcMar>
          </w:tcPr>
          <w:p>
            <w:pPr>
              <w:spacing w:after="0"/>
            </w:pPr>
            <w:r>
              <w:rPr>
                <w:rFonts w:ascii="Calibri" w:cs="Calibri" w:eastAsia="Calibri" w:hAnsi="Calibri"/>
                <w:color w:val="374151"/>
                <w:sz w:val="19"/>
                <w:szCs w:val="19"/>
              </w:rPr>
              <w:t xml:space="preserve">RSI ≤ 45 and drawdown beyond −25%</w:t>
            </w:r>
          </w:p>
        </w:tc>
        <w:tc>
          <w:tcPr>
            <w:tcW w:type="dxa" w:w="2426"/>
            <w:tcMar>
              <w:top w:type="dxa" w:w="60"/>
              <w:left w:type="dxa" w:w="100"/>
              <w:bottom w:type="dxa" w:w="60"/>
              <w:right w:type="dxa" w:w="100"/>
            </w:tcMar>
          </w:tcPr>
          <w:p>
            <w:pPr>
              <w:spacing w:after="0"/>
            </w:pPr>
            <w:r>
              <w:rPr>
                <w:rFonts w:ascii="Calibri" w:cs="Calibri" w:eastAsia="Calibri" w:hAnsi="Calibri"/>
                <w:color w:val="374151"/>
                <w:sz w:val="19"/>
                <w:szCs w:val="19"/>
              </w:rPr>
              <w:t xml:space="preserve">Markdown (Bear)</w:t>
            </w:r>
          </w:p>
        </w:tc>
      </w:tr>
      <w:tr>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Down</w:t>
            </w:r>
          </w:p>
        </w:tc>
        <w:tc>
          <w:tcPr>
            <w:tcW w:type="dxa" w:w="5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RSI recovering above 45 and drawdown beyond −25%</w:t>
            </w:r>
          </w:p>
        </w:tc>
        <w:tc>
          <w:tcPr>
            <w:tcW w:type="dxa" w:w="2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Accumulation</w:t>
            </w:r>
          </w:p>
        </w:tc>
      </w:tr>
      <w:tr>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Down</w:t>
            </w:r>
          </w:p>
        </w:tc>
        <w:tc>
          <w:tcPr>
            <w:tcW w:type="dxa" w:w="5200"/>
            <w:tcMar>
              <w:top w:type="dxa" w:w="60"/>
              <w:left w:type="dxa" w:w="100"/>
              <w:bottom w:type="dxa" w:w="60"/>
              <w:right w:type="dxa" w:w="100"/>
            </w:tcMar>
          </w:tcPr>
          <w:p>
            <w:pPr>
              <w:spacing w:after="0"/>
            </w:pPr>
            <w:r>
              <w:rPr>
                <w:rFonts w:ascii="Calibri" w:cs="Calibri" w:eastAsia="Calibri" w:hAnsi="Calibri"/>
                <w:color w:val="374151"/>
                <w:sz w:val="19"/>
                <w:szCs w:val="19"/>
              </w:rPr>
              <w:t xml:space="preserve">Any other case</w:t>
            </w:r>
          </w:p>
        </w:tc>
        <w:tc>
          <w:tcPr>
            <w:tcW w:type="dxa" w:w="2426"/>
            <w:tcMar>
              <w:top w:type="dxa" w:w="60"/>
              <w:left w:type="dxa" w:w="100"/>
              <w:bottom w:type="dxa" w:w="60"/>
              <w:right w:type="dxa" w:w="100"/>
            </w:tcMar>
          </w:tcPr>
          <w:p>
            <w:pPr>
              <w:spacing w:after="0"/>
            </w:pPr>
            <w:r>
              <w:rPr>
                <w:rFonts w:ascii="Calibri" w:cs="Calibri" w:eastAsia="Calibri" w:hAnsi="Calibri"/>
                <w:color w:val="374151"/>
                <w:sz w:val="19"/>
                <w:szCs w:val="19"/>
              </w:rPr>
              <w:t xml:space="preserve">Markdown (Bear)</w:t>
            </w:r>
          </w:p>
        </w:tc>
      </w:tr>
      <w:tr>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Sideways</w:t>
            </w:r>
          </w:p>
        </w:tc>
        <w:tc>
          <w:tcPr>
            <w:tcW w:type="dxa" w:w="5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Drawdown beyond −30% and RSI below 50</w:t>
            </w:r>
          </w:p>
        </w:tc>
        <w:tc>
          <w:tcPr>
            <w:tcW w:type="dxa" w:w="2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Accumulation</w:t>
            </w:r>
          </w:p>
        </w:tc>
      </w:tr>
      <w:tr>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Sideways</w:t>
            </w:r>
          </w:p>
        </w:tc>
        <w:tc>
          <w:tcPr>
            <w:tcW w:type="dxa" w:w="5200"/>
            <w:tcMar>
              <w:top w:type="dxa" w:w="60"/>
              <w:left w:type="dxa" w:w="100"/>
              <w:bottom w:type="dxa" w:w="60"/>
              <w:right w:type="dxa" w:w="100"/>
            </w:tcMar>
          </w:tcPr>
          <w:p>
            <w:pPr>
              <w:spacing w:after="0"/>
            </w:pPr>
            <w:r>
              <w:rPr>
                <w:rFonts w:ascii="Calibri" w:cs="Calibri" w:eastAsia="Calibri" w:hAnsi="Calibri"/>
                <w:color w:val="374151"/>
                <w:sz w:val="19"/>
                <w:szCs w:val="19"/>
              </w:rPr>
              <w:t xml:space="preserve">Within 10% of the peak and RSI above 55</w:t>
            </w:r>
          </w:p>
        </w:tc>
        <w:tc>
          <w:tcPr>
            <w:tcW w:type="dxa" w:w="2426"/>
            <w:tcMar>
              <w:top w:type="dxa" w:w="60"/>
              <w:left w:type="dxa" w:w="100"/>
              <w:bottom w:type="dxa" w:w="60"/>
              <w:right w:type="dxa" w:w="100"/>
            </w:tcMar>
          </w:tcPr>
          <w:p>
            <w:pPr>
              <w:spacing w:after="0"/>
            </w:pPr>
            <w:r>
              <w:rPr>
                <w:rFonts w:ascii="Calibri" w:cs="Calibri" w:eastAsia="Calibri" w:hAnsi="Calibri"/>
                <w:color w:val="374151"/>
                <w:sz w:val="19"/>
                <w:szCs w:val="19"/>
              </w:rPr>
              <w:t xml:space="preserve">Distribution</w:t>
            </w:r>
          </w:p>
        </w:tc>
      </w:tr>
      <w:tr>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Sideways</w:t>
            </w:r>
          </w:p>
        </w:tc>
        <w:tc>
          <w:tcPr>
            <w:tcW w:type="dxa" w:w="5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Any other case</w:t>
            </w:r>
          </w:p>
        </w:tc>
        <w:tc>
          <w:tcPr>
            <w:tcW w:type="dxa" w:w="24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Transition</w:t>
            </w:r>
          </w:p>
        </w:tc>
      </w:tr>
    </w:tbl>
    <w:p>
      <w:pPr>
        <w:spacing w:after="120" w:line="276"/>
      </w:pPr>
      <w:r>
        <w:rPr>
          <w:rFonts w:ascii="Calibri" w:cs="Calibri" w:eastAsia="Calibri" w:hAnsi="Calibri"/>
          <w:color w:val="374151"/>
          <w:sz w:val="21"/>
          <w:szCs w:val="21"/>
        </w:rPr>
        <w:t xml:space="preserve">Two of these rules were tightened during development. Distribution describes supply meeting demand near a market top, so it additionally requires price to be within ten per cent of the peak; without that condition any stalling uptrend was labelled Distribution regardless of where price stood. Accumulation describes a basing bottom, so it requires a drawdown beyond twenty-five per cent to already be in place; without that condition a shallow early decline was misread as a bottom.</w:t>
      </w:r>
    </w:p>
    <w:p>
      <w:pPr>
        <w:spacing w:after="120" w:line="276"/>
      </w:pPr>
      <w:r>
        <w:rPr>
          <w:rFonts w:ascii="Calibri" w:cs="Calibri" w:eastAsia="Calibri" w:hAnsi="Calibri"/>
          <w:color w:val="374151"/>
          <w:sz w:val="21"/>
          <w:szCs w:val="21"/>
        </w:rPr>
        <w:t xml:space="preserve">Moving-average windows adapt to the available history. A 200-day average produces no value until its 200th observation, so on shorter windows the canonical 50/200 pair yields nothing at all. The system scales both windows down while preserving their 1:4 ratio, and reports the windows actually in use alongside every label so that a reading is never quietly computed on a different basis than the reader assumes.</w:t>
      </w:r>
    </w:p>
    <w:p>
      <w:pPr>
        <w:pStyle w:val="Heading2"/>
        <w:spacing w:after="120" w:before="240"/>
      </w:pPr>
      <w:r>
        <w:rPr>
          <w:rFonts w:ascii="Calibri" w:cs="Calibri" w:eastAsia="Calibri" w:hAnsi="Calibri"/>
          <w:b/>
          <w:bCs/>
          <w:color w:val="111827"/>
          <w:sz w:val="24"/>
          <w:szCs w:val="24"/>
        </w:rPr>
        <w:t xml:space="preserve">7.5 Correlation Analysis</w:t>
      </w:r>
    </w:p>
    <w:p>
      <w:pPr>
        <w:spacing w:after="120" w:line="276"/>
      </w:pPr>
      <w:r>
        <w:rPr>
          <w:rFonts w:ascii="Calibri" w:cs="Calibri" w:eastAsia="Calibri" w:hAnsi="Calibri"/>
          <w:color w:val="374151"/>
          <w:sz w:val="21"/>
          <w:szCs w:val="21"/>
        </w:rPr>
        <w:t xml:space="preserve">Crypto trades 365 days a year while traditional markets trade approximately 252. The two frames are joined on their common dates and differenced afterwards, so that a Friday-to-Monday movement spans the same three calendar days on both sides. Forward-filling traditional prices across the weekend would instead manufacture artificial zero-return days and bias the measured correlation toward zero.</w:t>
      </w:r>
    </w:p>
    <w:p>
      <w:pPr>
        <w:spacing w:after="120" w:line="276"/>
      </w:pPr>
      <w:r>
        <w:rPr>
          <w:rFonts w:ascii="Calibri" w:cs="Calibri" w:eastAsia="Calibri" w:hAnsi="Calibri"/>
          <w:color w:val="374151"/>
          <w:sz w:val="21"/>
          <w:szCs w:val="21"/>
        </w:rPr>
        <w:t xml:space="preserve">Yield series are differenced in percentage points rather than percent-changed, because a movement from 4.00% to 4.10% is a ten basis-point change and not a 2.5% return. Correlation is scale-invariant, so differenced and percent-changed columns combine without further adjustment.</w:t>
      </w:r>
    </w:p>
    <w:p>
      <w:pPr>
        <w:spacing w:after="120" w:line="276"/>
      </w:pPr>
      <w:r>
        <w:rPr>
          <w:rFonts w:ascii="Calibri" w:cs="Calibri" w:eastAsia="Calibri" w:hAnsi="Calibri"/>
          <w:color w:val="374151"/>
          <w:sz w:val="21"/>
          <w:szCs w:val="21"/>
        </w:rPr>
        <w:t xml:space="preserve">Correlation is reported statically, as a rolling series, and — most importantly — separately within calm and stressed markets, where stress is defined as the worst decile of benchmark days. Diversification is only valuable if it survives a market decline, so the full-sample coefficient is not the meaningful test.</w:t>
      </w:r>
    </w:p>
    <w:p>
      <w:pPr>
        <w:pStyle w:val="Heading2"/>
        <w:spacing w:after="120" w:before="240"/>
      </w:pPr>
      <w:r>
        <w:rPr>
          <w:rFonts w:ascii="Calibri" w:cs="Calibri" w:eastAsia="Calibri" w:hAnsi="Calibri"/>
          <w:b/>
          <w:bCs/>
          <w:color w:val="111827"/>
          <w:sz w:val="24"/>
          <w:szCs w:val="24"/>
        </w:rPr>
        <w:t xml:space="preserve">7.6 Time-Series Forecasting</w:t>
      </w:r>
    </w:p>
    <w:p>
      <w:pPr>
        <w:spacing w:after="120" w:line="276"/>
      </w:pPr>
      <w:r>
        <w:rPr>
          <w:rFonts w:ascii="Calibri" w:cs="Calibri" w:eastAsia="Calibri" w:hAnsi="Calibri"/>
          <w:color w:val="374151"/>
          <w:sz w:val="21"/>
          <w:szCs w:val="21"/>
        </w:rPr>
        <w:t xml:space="preserve">An ARIMA model is fitted to the logarithm of price. Modelling the logarithm keeps forecasts positive and stabilises variance, and differencing once means the model operates on log returns, which is the stationary quantity. Model order is selected by the Akaike Information Criterion across nine candidate specifications fitted on a training split.</w:t>
      </w:r>
    </w:p>
    <w:p>
      <w:pPr>
        <w:spacing w:after="120" w:line="276"/>
      </w:pPr>
      <w:r>
        <w:rPr>
          <w:rFonts w:ascii="Calibri" w:cs="Calibri" w:eastAsia="Calibri" w:hAnsi="Calibri"/>
          <w:color w:val="374151"/>
          <w:sz w:val="21"/>
          <w:szCs w:val="21"/>
        </w:rPr>
        <w:t xml:space="preserve">Validation is walk-forward and one step ahead. Each actual observation is revealed to the model before the next prediction is made, with parameters held fixed at their training values so that no information from later in the test period propagates backwards. This reproduces what a person consulting the dashboard daily would actually experience.</w:t>
      </w:r>
    </w:p>
    <w:p>
      <w:pPr>
        <w:spacing w:after="120" w:line="276"/>
      </w:pPr>
      <w:r>
        <w:rPr>
          <w:rFonts w:ascii="Calibri" w:cs="Calibri" w:eastAsia="Calibri" w:hAnsi="Calibri"/>
          <w:color w:val="374151"/>
          <w:sz w:val="21"/>
          <w:szCs w:val="21"/>
        </w:rPr>
        <w:t xml:space="preserve">Accuracy is reported alongside the naive random-walk rule, scored on identical days, and summarised by a skill score defined as one minus the ratio of model error to naive error. An RMSE figure quoted alone is uninterpretable; a skill score states directly whether the model adds anything.</w:t>
      </w:r>
    </w:p>
    <w:p>
      <w:pPr>
        <w:pStyle w:val="Heading2"/>
        <w:spacing w:after="120" w:before="240"/>
      </w:pPr>
      <w:r>
        <w:rPr>
          <w:rFonts w:ascii="Calibri" w:cs="Calibri" w:eastAsia="Calibri" w:hAnsi="Calibri"/>
          <w:b/>
          <w:bCs/>
          <w:color w:val="111827"/>
          <w:sz w:val="24"/>
          <w:szCs w:val="24"/>
        </w:rPr>
        <w:t xml:space="preserve">7.7 Next-Day Direction Classification</w:t>
      </w:r>
    </w:p>
    <w:p>
      <w:pPr>
        <w:spacing w:after="120" w:line="276"/>
      </w:pPr>
      <w:r>
        <w:rPr>
          <w:rFonts w:ascii="Calibri" w:cs="Calibri" w:eastAsia="Calibri" w:hAnsi="Calibri"/>
          <w:color w:val="374151"/>
          <w:sz w:val="21"/>
          <w:szCs w:val="21"/>
        </w:rPr>
        <w:t xml:space="preserve">Sentiment and on-chain data are collected on every run. To establish whether they carry information rather than merely appearing on screen, a supervised classifier predicts the sign of the next day's return from four blocks of features: technical indicators derived from price, sentiment level and change, on-chain activity expressed as rolling z-scores, and macroeconomic context.</w:t>
      </w:r>
    </w:p>
    <w:p>
      <w:pPr>
        <w:spacing w:after="120" w:line="276"/>
      </w:pPr>
      <w:r>
        <w:rPr>
          <w:rFonts w:ascii="Calibri" w:cs="Calibri" w:eastAsia="Calibri" w:hAnsi="Calibri"/>
          <w:color w:val="374151"/>
          <w:sz w:val="21"/>
          <w:szCs w:val="21"/>
        </w:rPr>
        <w:t xml:space="preserve">Splits are strictly time-ordered. A random split on a time series permits the model to learn from days that had not yet occurred and is the most common route to a financial machine-learning result that cannot be reproduced. Every feature is computed from information available at the close of its own day, and the target is the sign of the following day's move.</w:t>
      </w:r>
    </w:p>
    <w:p>
      <w:pPr>
        <w:spacing w:after="120" w:line="276"/>
      </w:pPr>
      <w:r>
        <w:rPr>
          <w:rFonts w:ascii="Calibri" w:cs="Calibri" w:eastAsia="Calibri" w:hAnsi="Calibri"/>
          <w:color w:val="374151"/>
          <w:sz w:val="21"/>
          <w:szCs w:val="21"/>
        </w:rPr>
        <w:t xml:space="preserve">Performance is measured against the majority-class base rate on the same held-out days, not against fifty per cent. An asset that rose on fifty-four per cent of days makes fifty-four per cent the figure to beat, and accuracy quoted alone would look respectable while adding nothing. An ablation trains the same model on technical features alone and then with each additional block, which is the direct test of whether collecting the sentiment and on-chain feeds was worthwhile.</w:t>
      </w:r>
    </w:p>
    <w:p>
      <w:pPr>
        <w:pStyle w:val="Heading1"/>
        <w:spacing w:after="160" w:before="320"/>
      </w:pPr>
      <w:r>
        <w:rPr>
          <w:rFonts w:ascii="Calibri" w:cs="Calibri" w:eastAsia="Calibri" w:hAnsi="Calibri"/>
          <w:b/>
          <w:bCs/>
          <w:color w:val="1F4E9E"/>
          <w:sz w:val="30"/>
          <w:szCs w:val="30"/>
        </w:rPr>
        <w:t xml:space="preserve">8. Validation and Testing</w:t>
      </w:r>
    </w:p>
    <w:p>
      <w:pPr>
        <w:spacing w:after="120" w:line="276"/>
      </w:pPr>
      <w:r>
        <w:rPr>
          <w:rFonts w:ascii="Calibri" w:cs="Calibri" w:eastAsia="Calibri" w:hAnsi="Calibri"/>
          <w:color w:val="374151"/>
          <w:sz w:val="21"/>
          <w:szCs w:val="21"/>
        </w:rPr>
        <w:t xml:space="preserve">The analysis layer is covered by 209 automated tests. Because every analytical function is pure, each can be exercised against constructed inputs whose correct output is known analytically rather than merely observed.</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4500"/>
        <w:gridCol w:w="4526"/>
      </w:tblGrid>
      <w:tr>
        <w:trPr>
          <w:tblHeader/>
        </w:trPr>
        <w:tc>
          <w:tcPr>
            <w:tcW w:type="dxa" w:w="45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Module</w:t>
            </w:r>
          </w:p>
        </w:tc>
        <w:tc>
          <w:tcPr>
            <w:tcW w:type="dxa" w:w="45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Statement coverage</w:t>
            </w:r>
          </w:p>
        </w:tc>
      </w:tr>
      <w:tr>
        <w:tc>
          <w:tcPr>
            <w:tcW w:type="dxa" w:w="4500"/>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src/analysis/cycles.py</w:t>
            </w:r>
          </w:p>
        </w:tc>
        <w:tc>
          <w:tcPr>
            <w:tcW w:type="dxa" w:w="4526"/>
            <w:tcMar>
              <w:top w:type="dxa" w:w="60"/>
              <w:left w:type="dxa" w:w="100"/>
              <w:bottom w:type="dxa" w:w="60"/>
              <w:right w:type="dxa" w:w="100"/>
            </w:tcMar>
          </w:tcPr>
          <w:p>
            <w:pPr>
              <w:spacing w:after="0"/>
            </w:pPr>
            <w:r>
              <w:rPr>
                <w:rFonts w:ascii="Calibri" w:cs="Calibri" w:eastAsia="Calibri" w:hAnsi="Calibri"/>
                <w:color w:val="374151"/>
                <w:sz w:val="19"/>
                <w:szCs w:val="19"/>
              </w:rPr>
              <w:t xml:space="preserve">97%</w:t>
            </w:r>
          </w:p>
        </w:tc>
      </w:tr>
      <w:tr>
        <w:tc>
          <w:tcPr>
            <w:tcW w:type="dxa" w:w="4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src/analysis/direction.py</w:t>
            </w:r>
          </w:p>
        </w:tc>
        <w:tc>
          <w:tcPr>
            <w:tcW w:type="dxa" w:w="45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97%</w:t>
            </w:r>
          </w:p>
        </w:tc>
      </w:tr>
      <w:tr>
        <w:tc>
          <w:tcPr>
            <w:tcW w:type="dxa" w:w="4500"/>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src/analysis/correlation.py</w:t>
            </w:r>
          </w:p>
        </w:tc>
        <w:tc>
          <w:tcPr>
            <w:tcW w:type="dxa" w:w="4526"/>
            <w:tcMar>
              <w:top w:type="dxa" w:w="60"/>
              <w:left w:type="dxa" w:w="100"/>
              <w:bottom w:type="dxa" w:w="60"/>
              <w:right w:type="dxa" w:w="100"/>
            </w:tcMar>
          </w:tcPr>
          <w:p>
            <w:pPr>
              <w:spacing w:after="0"/>
            </w:pPr>
            <w:r>
              <w:rPr>
                <w:rFonts w:ascii="Calibri" w:cs="Calibri" w:eastAsia="Calibri" w:hAnsi="Calibri"/>
                <w:color w:val="374151"/>
                <w:sz w:val="19"/>
                <w:szCs w:val="19"/>
              </w:rPr>
              <w:t xml:space="preserve">95%</w:t>
            </w:r>
          </w:p>
        </w:tc>
      </w:tr>
      <w:tr>
        <w:tc>
          <w:tcPr>
            <w:tcW w:type="dxa" w:w="4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src/analysis/forecast.py</w:t>
            </w:r>
          </w:p>
        </w:tc>
        <w:tc>
          <w:tcPr>
            <w:tcW w:type="dxa" w:w="45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95%</w:t>
            </w:r>
          </w:p>
        </w:tc>
      </w:tr>
      <w:tr>
        <w:tc>
          <w:tcPr>
            <w:tcW w:type="dxa" w:w="4500"/>
            <w:tcMar>
              <w:top w:type="dxa" w:w="60"/>
              <w:left w:type="dxa" w:w="100"/>
              <w:bottom w:type="dxa" w:w="60"/>
              <w:right w:type="dxa" w:w="100"/>
            </w:tcMar>
          </w:tcPr>
          <w:p>
            <w:pPr>
              <w:spacing w:after="0"/>
            </w:pPr>
            <w:r>
              <w:rPr>
                <w:rFonts w:ascii="Calibri" w:cs="Calibri" w:eastAsia="Calibri" w:hAnsi="Calibri"/>
                <w:color w:val="374151"/>
                <w:sz w:val="19"/>
                <w:szCs w:val="19"/>
              </w:rPr>
              <w:t xml:space="preserve">src/analysis/volatility.py</w:t>
            </w:r>
          </w:p>
        </w:tc>
        <w:tc>
          <w:tcPr>
            <w:tcW w:type="dxa" w:w="4526"/>
            <w:tcMar>
              <w:top w:type="dxa" w:w="60"/>
              <w:left w:type="dxa" w:w="100"/>
              <w:bottom w:type="dxa" w:w="60"/>
              <w:right w:type="dxa" w:w="100"/>
            </w:tcMar>
          </w:tcPr>
          <w:p>
            <w:pPr>
              <w:spacing w:after="0"/>
            </w:pPr>
            <w:r>
              <w:rPr>
                <w:rFonts w:ascii="Calibri" w:cs="Calibri" w:eastAsia="Calibri" w:hAnsi="Calibri"/>
                <w:color w:val="374151"/>
                <w:sz w:val="19"/>
                <w:szCs w:val="19"/>
              </w:rPr>
              <w:t xml:space="preserve">92%</w:t>
            </w:r>
          </w:p>
        </w:tc>
      </w:tr>
      <w:tr>
        <w:tc>
          <w:tcPr>
            <w:tcW w:type="dxa" w:w="4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src/data/preprocessing.py</w:t>
            </w:r>
          </w:p>
        </w:tc>
        <w:tc>
          <w:tcPr>
            <w:tcW w:type="dxa" w:w="45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96%</w:t>
            </w:r>
          </w:p>
        </w:tc>
      </w:tr>
      <w:tr>
        <w:tc>
          <w:tcPr>
            <w:tcW w:type="dxa" w:w="4500"/>
            <w:tcMar>
              <w:top w:type="dxa" w:w="60"/>
              <w:left w:type="dxa" w:w="100"/>
              <w:bottom w:type="dxa" w:w="60"/>
              <w:right w:type="dxa" w:w="100"/>
            </w:tcMar>
          </w:tcPr>
          <w:p>
            <w:pPr>
              <w:spacing w:after="0"/>
            </w:pPr>
            <w:r>
              <w:rPr>
                <w:rFonts w:ascii="Calibri" w:cs="Calibri" w:eastAsia="Calibri" w:hAnsi="Calibri"/>
                <w:color w:val="374151"/>
                <w:sz w:val="19"/>
                <w:szCs w:val="19"/>
              </w:rPr>
              <w:t xml:space="preserve">src/data/sample_data.py</w:t>
            </w:r>
          </w:p>
        </w:tc>
        <w:tc>
          <w:tcPr>
            <w:tcW w:type="dxa" w:w="4526"/>
            <w:tcMar>
              <w:top w:type="dxa" w:w="60"/>
              <w:left w:type="dxa" w:w="100"/>
              <w:bottom w:type="dxa" w:w="60"/>
              <w:right w:type="dxa" w:w="100"/>
            </w:tcMar>
          </w:tcPr>
          <w:p>
            <w:pPr>
              <w:spacing w:after="0"/>
            </w:pPr>
            <w:r>
              <w:rPr>
                <w:rFonts w:ascii="Calibri" w:cs="Calibri" w:eastAsia="Calibri" w:hAnsi="Calibri"/>
                <w:color w:val="374151"/>
                <w:sz w:val="19"/>
                <w:szCs w:val="19"/>
              </w:rPr>
              <w:t xml:space="preserve">99%</w:t>
            </w:r>
          </w:p>
        </w:tc>
      </w:tr>
      <w:tr>
        <w:tc>
          <w:tcPr>
            <w:tcW w:type="dxa" w:w="4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src/viz/charts.py</w:t>
            </w:r>
          </w:p>
        </w:tc>
        <w:tc>
          <w:tcPr>
            <w:tcW w:type="dxa" w:w="45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100%</w:t>
            </w:r>
          </w:p>
        </w:tc>
      </w:tr>
    </w:tbl>
    <w:p>
      <w:pPr>
        <w:spacing w:after="120" w:line="276"/>
      </w:pPr>
      <w:r>
        <w:rPr>
          <w:rFonts w:ascii="Calibri" w:cs="Calibri" w:eastAsia="Calibri" w:hAnsi="Calibri"/>
          <w:color w:val="374151"/>
          <w:sz w:val="21"/>
          <w:szCs w:val="21"/>
        </w:rPr>
        <w:t xml:space="preserve">Several tests encode specific defects so that they cannot recur. The generator's reproducibility is verified by producing the same series in three separate interpreter processes and comparing cryptographic digests, because Python randomises string hashing per process and an in-process assertion would pass against the defective implementation. The correlation module is tested against a simulated provider outage, in which a single unavailable series previously emptied the entire sample. The direction model is tested for look-ahead by confirming that truncating the input series does not alter any feature value on the days that remain.</w:t>
      </w:r>
    </w:p>
    <w:p>
      <w:pPr>
        <w:spacing w:after="120" w:line="276"/>
      </w:pPr>
      <w:r>
        <w:rPr>
          <w:rFonts w:ascii="Calibri" w:cs="Calibri" w:eastAsia="Calibri" w:hAnsi="Calibri"/>
          <w:color w:val="374151"/>
          <w:sz w:val="21"/>
          <w:szCs w:val="21"/>
        </w:rPr>
        <w:t xml:space="preserve">The suite runs entirely offline against the deterministic generator, so it is reproducible on any machine and never fails because an external service was unavailable.</w:t>
      </w:r>
    </w:p>
    <w:p>
      <w:pPr>
        <w:pStyle w:val="Heading1"/>
        <w:spacing w:after="160" w:before="320"/>
      </w:pPr>
      <w:r>
        <w:rPr>
          <w:rFonts w:ascii="Calibri" w:cs="Calibri" w:eastAsia="Calibri" w:hAnsi="Calibri"/>
          <w:b/>
          <w:bCs/>
          <w:color w:val="1F4E9E"/>
          <w:sz w:val="30"/>
          <w:szCs w:val="30"/>
        </w:rPr>
        <w:t xml:space="preserve">9. Dashboard Walkthrough</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200"/>
        <w:gridCol w:w="6826"/>
      </w:tblGrid>
      <w:tr>
        <w:trPr>
          <w:tblHeader/>
        </w:trPr>
        <w:tc>
          <w:tcPr>
            <w:tcW w:type="dxa" w:w="2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Tab</w:t>
            </w:r>
          </w:p>
        </w:tc>
        <w:tc>
          <w:tcPr>
            <w:tcW w:type="dxa" w:w="68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Contents</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Overview</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Headline price and volatility, price with moving averages, volume, and cross-asset risk and cycle summaries</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Volatility &amp; Risk</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VaR, CVaR, drawdown, Sharpe and Sortino, rolling volatility, underwater chart, and GARCH conditional volatility</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Market Cycles</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Phase ribbon over price, phase distribution, momentum readings, and the full rule table</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Correlation</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Correlation matrix, crypto-to-macro summary, calm-versus-stressed regime split, rolling correlation and beta</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Forecast</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ARIMA projection with an 80% interval, walk-forward backtest against actuals, and the skill score</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Direction Model</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Classifier accuracy against the base rate, feature importances, confusion matrix, and the feature-block ablation</w:t>
            </w:r>
          </w:p>
        </w:tc>
      </w:tr>
      <w:tr>
        <w:tc>
          <w:tcPr>
            <w:tcW w:type="dxa" w:w="2200"/>
            <w:tcMar>
              <w:top w:type="dxa" w:w="60"/>
              <w:left w:type="dxa" w:w="100"/>
              <w:bottom w:type="dxa" w:w="60"/>
              <w:right w:type="dxa" w:w="100"/>
            </w:tcMar>
          </w:tcPr>
          <w:p>
            <w:pPr>
              <w:spacing w:after="0"/>
            </w:pPr>
            <w:r>
              <w:rPr>
                <w:rFonts w:ascii="Calibri" w:cs="Calibri" w:eastAsia="Calibri" w:hAnsi="Calibri"/>
                <w:color w:val="374151"/>
                <w:sz w:val="19"/>
                <w:szCs w:val="19"/>
              </w:rPr>
              <w:t xml:space="preserve">Datasets</w:t>
            </w:r>
          </w:p>
        </w:tc>
        <w:tc>
          <w:tcPr>
            <w:tcW w:type="dxa" w:w="6826"/>
            <w:tcMar>
              <w:top w:type="dxa" w:w="60"/>
              <w:left w:type="dxa" w:w="100"/>
              <w:bottom w:type="dxa" w:w="60"/>
              <w:right w:type="dxa" w:w="100"/>
            </w:tcMar>
          </w:tcPr>
          <w:p>
            <w:pPr>
              <w:spacing w:after="0"/>
            </w:pPr>
            <w:r>
              <w:rPr>
                <w:rFonts w:ascii="Calibri" w:cs="Calibri" w:eastAsia="Calibri" w:hAnsi="Calibri"/>
                <w:color w:val="374151"/>
                <w:sz w:val="19"/>
                <w:szCs w:val="19"/>
              </w:rPr>
              <w:t xml:space="preserve">Per-feed status, live connection test, row counts, date ranges, data preview, and the preprocessing report</w:t>
            </w:r>
          </w:p>
        </w:tc>
      </w:tr>
      <w:tr>
        <w:tc>
          <w:tcPr>
            <w:tcW w:type="dxa" w:w="2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Data &amp; Sources</w:t>
            </w:r>
          </w:p>
        </w:tc>
        <w:tc>
          <w:tcPr>
            <w:tcW w:type="dxa" w:w="68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Sentiment and on-chain series, feed status, and cache state</w:t>
            </w:r>
          </w:p>
        </w:tc>
      </w:tr>
    </w:tbl>
    <w:p>
      <w:pPr>
        <w:pStyle w:val="Heading1"/>
        <w:spacing w:after="160" w:before="320"/>
      </w:pPr>
      <w:r>
        <w:rPr>
          <w:rFonts w:ascii="Calibri" w:cs="Calibri" w:eastAsia="Calibri" w:hAnsi="Calibri"/>
          <w:b/>
          <w:bCs/>
          <w:color w:val="1F4E9E"/>
          <w:sz w:val="30"/>
          <w:szCs w:val="30"/>
        </w:rPr>
        <w:t xml:space="preserve">10. Results and Observations</w:t>
      </w:r>
    </w:p>
    <w:p>
      <w:pPr>
        <w:spacing w:after="120" w:line="276"/>
      </w:pPr>
      <w:r>
        <w:rPr>
          <w:rFonts w:ascii="Calibri" w:cs="Calibri" w:eastAsia="Calibri" w:hAnsi="Calibri"/>
          <w:color w:val="374151"/>
          <w:sz w:val="21"/>
          <w:szCs w:val="21"/>
        </w:rPr>
        <w:t xml:space="preserve">The figures below were produced from live data covering 31 August 2025 to 30 August 2026, with all five feeds reporting live. All monetary values are in Indian rupees.</w:t>
      </w:r>
    </w:p>
    <w:p>
      <w:pPr>
        <w:pStyle w:val="Heading2"/>
        <w:spacing w:after="120" w:before="240"/>
      </w:pPr>
      <w:r>
        <w:rPr>
          <w:rFonts w:ascii="Calibri" w:cs="Calibri" w:eastAsia="Calibri" w:hAnsi="Calibri"/>
          <w:b/>
          <w:bCs/>
          <w:color w:val="111827"/>
          <w:sz w:val="24"/>
          <w:szCs w:val="24"/>
        </w:rPr>
        <w:t xml:space="preserve">10.1 Risk Profile</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100"/>
        <w:gridCol w:w="1400"/>
        <w:gridCol w:w="1200"/>
        <w:gridCol w:w="1300"/>
        <w:gridCol w:w="1700"/>
        <w:gridCol w:w="1100"/>
        <w:gridCol w:w="1226"/>
      </w:tblGrid>
      <w:tr>
        <w:trPr>
          <w:tblHeader/>
        </w:trPr>
        <w:tc>
          <w:tcPr>
            <w:tcW w:type="dxa" w:w="11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Asset</w:t>
            </w:r>
          </w:p>
        </w:tc>
        <w:tc>
          <w:tcPr>
            <w:tcW w:type="dxa" w:w="14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Annual vol</w:t>
            </w:r>
          </w:p>
        </w:tc>
        <w:tc>
          <w:tcPr>
            <w:tcW w:type="dxa" w:w="12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VaR 95%</w:t>
            </w:r>
          </w:p>
        </w:tc>
        <w:tc>
          <w:tcPr>
            <w:tcW w:type="dxa" w:w="13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CVaR 95%</w:t>
            </w:r>
          </w:p>
        </w:tc>
        <w:tc>
          <w:tcPr>
            <w:tcW w:type="dxa" w:w="17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Max drawdown</w:t>
            </w:r>
          </w:p>
        </w:tc>
        <w:tc>
          <w:tcPr>
            <w:tcW w:type="dxa" w:w="11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Sharpe</w:t>
            </w:r>
          </w:p>
        </w:tc>
        <w:tc>
          <w:tcPr>
            <w:tcW w:type="dxa" w:w="12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Regime</w:t>
            </w:r>
          </w:p>
        </w:tc>
      </w:tr>
      <w:tr>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BTC</w:t>
            </w:r>
          </w:p>
        </w:tc>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43.6%</w:t>
            </w:r>
          </w:p>
        </w:tc>
        <w:tc>
          <w:tcPr>
            <w:tcW w:type="dxa" w:w="1200"/>
            <w:tcMar>
              <w:top w:type="dxa" w:w="60"/>
              <w:left w:type="dxa" w:w="100"/>
              <w:bottom w:type="dxa" w:w="60"/>
              <w:right w:type="dxa" w:w="100"/>
            </w:tcMar>
          </w:tcPr>
          <w:p>
            <w:pPr>
              <w:spacing w:after="0"/>
            </w:pPr>
            <w:r>
              <w:rPr>
                <w:rFonts w:ascii="Calibri" w:cs="Calibri" w:eastAsia="Calibri" w:hAnsi="Calibri"/>
                <w:color w:val="374151"/>
                <w:sz w:val="19"/>
                <w:szCs w:val="19"/>
              </w:rPr>
              <w:t xml:space="preserve">3.57%</w:t>
            </w:r>
          </w:p>
        </w:tc>
        <w:tc>
          <w:tcPr>
            <w:tcW w:type="dxa" w:w="1300"/>
            <w:tcMar>
              <w:top w:type="dxa" w:w="60"/>
              <w:left w:type="dxa" w:w="100"/>
              <w:bottom w:type="dxa" w:w="60"/>
              <w:right w:type="dxa" w:w="100"/>
            </w:tcMar>
          </w:tcPr>
          <w:p>
            <w:pPr>
              <w:spacing w:after="0"/>
            </w:pPr>
            <w:r>
              <w:rPr>
                <w:rFonts w:ascii="Calibri" w:cs="Calibri" w:eastAsia="Calibri" w:hAnsi="Calibri"/>
                <w:color w:val="374151"/>
                <w:sz w:val="19"/>
                <w:szCs w:val="19"/>
              </w:rPr>
              <w:t xml:space="preserve">5.03%</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−49.5%</w:t>
            </w:r>
          </w:p>
        </w:tc>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−0.45</w:t>
            </w:r>
          </w:p>
        </w:tc>
        <w:tc>
          <w:tcPr>
            <w:tcW w:type="dxa" w:w="1226"/>
            <w:tcMar>
              <w:top w:type="dxa" w:w="60"/>
              <w:left w:type="dxa" w:w="100"/>
              <w:bottom w:type="dxa" w:w="60"/>
              <w:right w:type="dxa" w:w="100"/>
            </w:tcMar>
          </w:tcPr>
          <w:p>
            <w:pPr>
              <w:spacing w:after="0"/>
            </w:pPr>
            <w:r>
              <w:rPr>
                <w:rFonts w:ascii="Calibri" w:cs="Calibri" w:eastAsia="Calibri" w:hAnsi="Calibri"/>
                <w:color w:val="374151"/>
                <w:sz w:val="19"/>
                <w:szCs w:val="19"/>
              </w:rPr>
              <w:t xml:space="preserve">High</w:t>
            </w:r>
          </w:p>
        </w:tc>
      </w:tr>
      <w:tr>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ETH</w:t>
            </w:r>
          </w:p>
        </w:tc>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63.7%</w:t>
            </w:r>
          </w:p>
        </w:tc>
        <w:tc>
          <w:tcPr>
            <w:tcW w:type="dxa" w:w="1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4.92%</w:t>
            </w:r>
          </w:p>
        </w:tc>
        <w:tc>
          <w:tcPr>
            <w:tcW w:type="dxa" w:w="13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7.44%</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−64.5%</w:t>
            </w:r>
          </w:p>
        </w:tc>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−0.53</w:t>
            </w:r>
          </w:p>
        </w:tc>
        <w:tc>
          <w:tcPr>
            <w:tcW w:type="dxa" w:w="12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High</w:t>
            </w:r>
          </w:p>
        </w:tc>
      </w:tr>
      <w:tr>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SOL</w:t>
            </w:r>
          </w:p>
        </w:tc>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67.6%</w:t>
            </w:r>
          </w:p>
        </w:tc>
        <w:tc>
          <w:tcPr>
            <w:tcW w:type="dxa" w:w="1200"/>
            <w:tcMar>
              <w:top w:type="dxa" w:w="60"/>
              <w:left w:type="dxa" w:w="100"/>
              <w:bottom w:type="dxa" w:w="60"/>
              <w:right w:type="dxa" w:w="100"/>
            </w:tcMar>
          </w:tcPr>
          <w:p>
            <w:pPr>
              <w:spacing w:after="0"/>
            </w:pPr>
            <w:r>
              <w:rPr>
                <w:rFonts w:ascii="Calibri" w:cs="Calibri" w:eastAsia="Calibri" w:hAnsi="Calibri"/>
                <w:color w:val="374151"/>
                <w:sz w:val="19"/>
                <w:szCs w:val="19"/>
              </w:rPr>
              <w:t xml:space="preserve">5.46%</w:t>
            </w:r>
          </w:p>
        </w:tc>
        <w:tc>
          <w:tcPr>
            <w:tcW w:type="dxa" w:w="1300"/>
            <w:tcMar>
              <w:top w:type="dxa" w:w="60"/>
              <w:left w:type="dxa" w:w="100"/>
              <w:bottom w:type="dxa" w:w="60"/>
              <w:right w:type="dxa" w:w="100"/>
            </w:tcMar>
          </w:tcPr>
          <w:p>
            <w:pPr>
              <w:spacing w:after="0"/>
            </w:pPr>
            <w:r>
              <w:rPr>
                <w:rFonts w:ascii="Calibri" w:cs="Calibri" w:eastAsia="Calibri" w:hAnsi="Calibri"/>
                <w:color w:val="374151"/>
                <w:sz w:val="19"/>
                <w:szCs w:val="19"/>
              </w:rPr>
              <w:t xml:space="preserve">7.94%</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−72.9%</w:t>
            </w:r>
          </w:p>
        </w:tc>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−0.58</w:t>
            </w:r>
          </w:p>
        </w:tc>
        <w:tc>
          <w:tcPr>
            <w:tcW w:type="dxa" w:w="1226"/>
            <w:tcMar>
              <w:top w:type="dxa" w:w="60"/>
              <w:left w:type="dxa" w:w="100"/>
              <w:bottom w:type="dxa" w:w="60"/>
              <w:right w:type="dxa" w:w="100"/>
            </w:tcMar>
          </w:tcPr>
          <w:p>
            <w:pPr>
              <w:spacing w:after="0"/>
            </w:pPr>
            <w:r>
              <w:rPr>
                <w:rFonts w:ascii="Calibri" w:cs="Calibri" w:eastAsia="Calibri" w:hAnsi="Calibri"/>
                <w:color w:val="374151"/>
                <w:sz w:val="19"/>
                <w:szCs w:val="19"/>
              </w:rPr>
              <w:t xml:space="preserve">Elevated</w:t>
            </w:r>
          </w:p>
        </w:tc>
      </w:tr>
      <w:tr>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BNB</w:t>
            </w:r>
          </w:p>
        </w:tc>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52.3%</w:t>
            </w:r>
          </w:p>
        </w:tc>
        <w:tc>
          <w:tcPr>
            <w:tcW w:type="dxa" w:w="1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4.11%</w:t>
            </w:r>
          </w:p>
        </w:tc>
        <w:tc>
          <w:tcPr>
            <w:tcW w:type="dxa" w:w="13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6.54%</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−55.2%</w:t>
            </w:r>
          </w:p>
        </w:tc>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−0.08</w:t>
            </w:r>
          </w:p>
        </w:tc>
        <w:tc>
          <w:tcPr>
            <w:tcW w:type="dxa" w:w="12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Elevated</w:t>
            </w:r>
          </w:p>
        </w:tc>
      </w:tr>
      <w:tr>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XRP</w:t>
            </w:r>
          </w:p>
        </w:tc>
        <w:tc>
          <w:tcPr>
            <w:tcW w:type="dxa" w:w="1400"/>
            <w:tcMar>
              <w:top w:type="dxa" w:w="60"/>
              <w:left w:type="dxa" w:w="100"/>
              <w:bottom w:type="dxa" w:w="60"/>
              <w:right w:type="dxa" w:w="100"/>
            </w:tcMar>
          </w:tcPr>
          <w:p>
            <w:pPr>
              <w:spacing w:after="0"/>
            </w:pPr>
            <w:r>
              <w:rPr>
                <w:rFonts w:ascii="Calibri" w:cs="Calibri" w:eastAsia="Calibri" w:hAnsi="Calibri"/>
                <w:color w:val="374151"/>
                <w:sz w:val="19"/>
                <w:szCs w:val="19"/>
              </w:rPr>
              <w:t xml:space="preserve">65.0%</w:t>
            </w:r>
          </w:p>
        </w:tc>
        <w:tc>
          <w:tcPr>
            <w:tcW w:type="dxa" w:w="1200"/>
            <w:tcMar>
              <w:top w:type="dxa" w:w="60"/>
              <w:left w:type="dxa" w:w="100"/>
              <w:bottom w:type="dxa" w:w="60"/>
              <w:right w:type="dxa" w:w="100"/>
            </w:tcMar>
          </w:tcPr>
          <w:p>
            <w:pPr>
              <w:spacing w:after="0"/>
            </w:pPr>
            <w:r>
              <w:rPr>
                <w:rFonts w:ascii="Calibri" w:cs="Calibri" w:eastAsia="Calibri" w:hAnsi="Calibri"/>
                <w:color w:val="374151"/>
                <w:sz w:val="19"/>
                <w:szCs w:val="19"/>
              </w:rPr>
              <w:t xml:space="preserve">4.67%</w:t>
            </w:r>
          </w:p>
        </w:tc>
        <w:tc>
          <w:tcPr>
            <w:tcW w:type="dxa" w:w="1300"/>
            <w:tcMar>
              <w:top w:type="dxa" w:w="60"/>
              <w:left w:type="dxa" w:w="100"/>
              <w:bottom w:type="dxa" w:w="60"/>
              <w:right w:type="dxa" w:w="100"/>
            </w:tcMar>
          </w:tcPr>
          <w:p>
            <w:pPr>
              <w:spacing w:after="0"/>
            </w:pPr>
            <w:r>
              <w:rPr>
                <w:rFonts w:ascii="Calibri" w:cs="Calibri" w:eastAsia="Calibri" w:hAnsi="Calibri"/>
                <w:color w:val="374151"/>
                <w:sz w:val="19"/>
                <w:szCs w:val="19"/>
              </w:rPr>
              <w:t xml:space="preserve">6.88%</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−65.6%</w:t>
            </w:r>
          </w:p>
        </w:tc>
        <w:tc>
          <w:tcPr>
            <w:tcW w:type="dxa" w:w="1100"/>
            <w:tcMar>
              <w:top w:type="dxa" w:w="60"/>
              <w:left w:type="dxa" w:w="100"/>
              <w:bottom w:type="dxa" w:w="60"/>
              <w:right w:type="dxa" w:w="100"/>
            </w:tcMar>
          </w:tcPr>
          <w:p>
            <w:pPr>
              <w:spacing w:after="0"/>
            </w:pPr>
            <w:r>
              <w:rPr>
                <w:rFonts w:ascii="Calibri" w:cs="Calibri" w:eastAsia="Calibri" w:hAnsi="Calibri"/>
                <w:color w:val="374151"/>
                <w:sz w:val="19"/>
                <w:szCs w:val="19"/>
              </w:rPr>
              <w:t xml:space="preserve">−0.70</w:t>
            </w:r>
          </w:p>
        </w:tc>
        <w:tc>
          <w:tcPr>
            <w:tcW w:type="dxa" w:w="1226"/>
            <w:tcMar>
              <w:top w:type="dxa" w:w="60"/>
              <w:left w:type="dxa" w:w="100"/>
              <w:bottom w:type="dxa" w:w="60"/>
              <w:right w:type="dxa" w:w="100"/>
            </w:tcMar>
          </w:tcPr>
          <w:p>
            <w:pPr>
              <w:spacing w:after="0"/>
            </w:pPr>
            <w:r>
              <w:rPr>
                <w:rFonts w:ascii="Calibri" w:cs="Calibri" w:eastAsia="Calibri" w:hAnsi="Calibri"/>
                <w:color w:val="374151"/>
                <w:sz w:val="19"/>
                <w:szCs w:val="19"/>
              </w:rPr>
              <w:t xml:space="preserve">High</w:t>
            </w:r>
          </w:p>
        </w:tc>
      </w:tr>
      <w:tr>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ADA</w:t>
            </w:r>
          </w:p>
        </w:tc>
        <w:tc>
          <w:tcPr>
            <w:tcW w:type="dxa" w:w="1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79.6%</w:t>
            </w:r>
          </w:p>
        </w:tc>
        <w:tc>
          <w:tcPr>
            <w:tcW w:type="dxa" w:w="12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6.09%</w:t>
            </w:r>
          </w:p>
        </w:tc>
        <w:tc>
          <w:tcPr>
            <w:tcW w:type="dxa" w:w="13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9.06%</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−83.5%</w:t>
            </w:r>
          </w:p>
        </w:tc>
        <w:tc>
          <w:tcPr>
            <w:tcW w:type="dxa" w:w="11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−1.32</w:t>
            </w:r>
          </w:p>
        </w:tc>
        <w:tc>
          <w:tcPr>
            <w:tcW w:type="dxa" w:w="12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Elevated</w:t>
            </w:r>
          </w:p>
        </w:tc>
      </w:tr>
    </w:tbl>
    <w:p>
      <w:pPr>
        <w:spacing w:after="120" w:line="276"/>
      </w:pPr>
      <w:r>
        <w:rPr>
          <w:rFonts w:ascii="Calibri" w:cs="Calibri" w:eastAsia="Calibri" w:hAnsi="Calibri"/>
          <w:color w:val="374151"/>
          <w:sz w:val="21"/>
          <w:szCs w:val="21"/>
        </w:rPr>
        <w:t xml:space="preserve">The observation window covers a broadly declining market: every asset records a negative Sharpe ratio and a drawdown exceeding forty-nine per cent. Risk scales with market capitalisation in the expected direction, from Bitcoin at 43.6% annualised volatility to Cardano at 79.6%. Conditional VaR exceeds Value-at-Risk for every asset by roughly forty per cent, which quantifies how much worse the tail becomes once the threshold is breached.</w:t>
      </w:r>
    </w:p>
    <w:p>
      <w:pPr>
        <w:pStyle w:val="Heading2"/>
        <w:spacing w:after="120" w:before="240"/>
      </w:pPr>
      <w:r>
        <w:rPr>
          <w:rFonts w:ascii="Calibri" w:cs="Calibri" w:eastAsia="Calibri" w:hAnsi="Calibri"/>
          <w:b/>
          <w:bCs/>
          <w:color w:val="111827"/>
          <w:sz w:val="24"/>
          <w:szCs w:val="24"/>
        </w:rPr>
        <w:t xml:space="preserve">10.2 Digital-to-Traditional Correlation</w:t>
      </w:r>
    </w:p>
    <w:p>
      <w:pPr>
        <w:spacing w:after="120" w:line="276"/>
      </w:pPr>
      <w:r>
        <w:rPr>
          <w:rFonts w:ascii="Calibri" w:cs="Calibri" w:eastAsia="Calibri" w:hAnsi="Calibri"/>
          <w:color w:val="374151"/>
          <w:sz w:val="21"/>
          <w:szCs w:val="21"/>
        </w:rPr>
        <w:t xml:space="preserve">Measured across 249 aligned trading days, full-sample correlations between the six digital assets and the five traditional series are uniformly small, ranging from −0.11 to +0.11. Taken alone this would suggest that cryptocurrency provides near-perfect diversification against traditional portfolios.</w:t>
      </w:r>
    </w:p>
    <w:p>
      <w:pPr>
        <w:spacing w:after="120" w:line="276"/>
      </w:pPr>
      <w:r>
        <w:rPr>
          <w:rFonts w:ascii="Calibri" w:cs="Calibri" w:eastAsia="Calibri" w:hAnsi="Calibri"/>
          <w:color w:val="374151"/>
          <w:sz w:val="21"/>
          <w:szCs w:val="21"/>
        </w:rPr>
        <w:t xml:space="preserve">Splitting the sample by market regime contradicts that reading.</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1800"/>
        <w:gridCol w:w="2600"/>
        <w:gridCol w:w="2600"/>
        <w:gridCol w:w="2026"/>
      </w:tblGrid>
      <w:tr>
        <w:trPr>
          <w:tblHeader/>
        </w:trPr>
        <w:tc>
          <w:tcPr>
            <w:tcW w:type="dxa" w:w="18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Asset</w:t>
            </w:r>
          </w:p>
        </w:tc>
        <w:tc>
          <w:tcPr>
            <w:tcW w:type="dxa" w:w="2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Calm (224 days)</w:t>
            </w:r>
          </w:p>
        </w:tc>
        <w:tc>
          <w:tcPr>
            <w:tcW w:type="dxa" w:w="26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Stressed (25 days)</w:t>
            </w:r>
          </w:p>
        </w:tc>
        <w:tc>
          <w:tcPr>
            <w:tcW w:type="dxa" w:w="20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Change</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BTC</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−0.07</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+0.08</w:t>
            </w:r>
          </w:p>
        </w:tc>
        <w:tc>
          <w:tcPr>
            <w:tcW w:type="dxa" w:w="2026"/>
            <w:tcMar>
              <w:top w:type="dxa" w:w="60"/>
              <w:left w:type="dxa" w:w="100"/>
              <w:bottom w:type="dxa" w:w="60"/>
              <w:right w:type="dxa" w:w="100"/>
            </w:tcMar>
          </w:tcPr>
          <w:p>
            <w:pPr>
              <w:spacing w:after="0"/>
            </w:pPr>
            <w:r>
              <w:rPr>
                <w:rFonts w:ascii="Calibri" w:cs="Calibri" w:eastAsia="Calibri" w:hAnsi="Calibri"/>
                <w:color w:val="374151"/>
                <w:sz w:val="19"/>
                <w:szCs w:val="19"/>
              </w:rPr>
              <w:t xml:space="preserve">+0.15</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ETH</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−0.03</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+0.18</w:t>
            </w:r>
          </w:p>
        </w:tc>
        <w:tc>
          <w:tcPr>
            <w:tcW w:type="dxa" w:w="2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+0.21</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SOL</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+0.01</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+0.12</w:t>
            </w:r>
          </w:p>
        </w:tc>
        <w:tc>
          <w:tcPr>
            <w:tcW w:type="dxa" w:w="2026"/>
            <w:tcMar>
              <w:top w:type="dxa" w:w="60"/>
              <w:left w:type="dxa" w:w="100"/>
              <w:bottom w:type="dxa" w:w="60"/>
              <w:right w:type="dxa" w:w="100"/>
            </w:tcMar>
          </w:tcPr>
          <w:p>
            <w:pPr>
              <w:spacing w:after="0"/>
            </w:pPr>
            <w:r>
              <w:rPr>
                <w:rFonts w:ascii="Calibri" w:cs="Calibri" w:eastAsia="Calibri" w:hAnsi="Calibri"/>
                <w:color w:val="374151"/>
                <w:sz w:val="19"/>
                <w:szCs w:val="19"/>
              </w:rPr>
              <w:t xml:space="preserve">+0.11</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BNB</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−0.07</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+0.23</w:t>
            </w:r>
          </w:p>
        </w:tc>
        <w:tc>
          <w:tcPr>
            <w:tcW w:type="dxa" w:w="2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+0.30</w:t>
            </w:r>
          </w:p>
        </w:tc>
      </w:tr>
      <w:tr>
        <w:tc>
          <w:tcPr>
            <w:tcW w:type="dxa" w:w="1800"/>
            <w:tcMar>
              <w:top w:type="dxa" w:w="60"/>
              <w:left w:type="dxa" w:w="100"/>
              <w:bottom w:type="dxa" w:w="60"/>
              <w:right w:type="dxa" w:w="100"/>
            </w:tcMar>
          </w:tcPr>
          <w:p>
            <w:pPr>
              <w:spacing w:after="0"/>
            </w:pPr>
            <w:r>
              <w:rPr>
                <w:rFonts w:ascii="Calibri" w:cs="Calibri" w:eastAsia="Calibri" w:hAnsi="Calibri"/>
                <w:color w:val="374151"/>
                <w:sz w:val="19"/>
                <w:szCs w:val="19"/>
              </w:rPr>
              <w:t xml:space="preserve">XRP</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−0.02</w:t>
            </w:r>
          </w:p>
        </w:tc>
        <w:tc>
          <w:tcPr>
            <w:tcW w:type="dxa" w:w="2600"/>
            <w:tcMar>
              <w:top w:type="dxa" w:w="60"/>
              <w:left w:type="dxa" w:w="100"/>
              <w:bottom w:type="dxa" w:w="60"/>
              <w:right w:type="dxa" w:w="100"/>
            </w:tcMar>
          </w:tcPr>
          <w:p>
            <w:pPr>
              <w:spacing w:after="0"/>
            </w:pPr>
            <w:r>
              <w:rPr>
                <w:rFonts w:ascii="Calibri" w:cs="Calibri" w:eastAsia="Calibri" w:hAnsi="Calibri"/>
                <w:color w:val="374151"/>
                <w:sz w:val="19"/>
                <w:szCs w:val="19"/>
              </w:rPr>
              <w:t xml:space="preserve">+0.21</w:t>
            </w:r>
          </w:p>
        </w:tc>
        <w:tc>
          <w:tcPr>
            <w:tcW w:type="dxa" w:w="2026"/>
            <w:tcMar>
              <w:top w:type="dxa" w:w="60"/>
              <w:left w:type="dxa" w:w="100"/>
              <w:bottom w:type="dxa" w:w="60"/>
              <w:right w:type="dxa" w:w="100"/>
            </w:tcMar>
          </w:tcPr>
          <w:p>
            <w:pPr>
              <w:spacing w:after="0"/>
            </w:pPr>
            <w:r>
              <w:rPr>
                <w:rFonts w:ascii="Calibri" w:cs="Calibri" w:eastAsia="Calibri" w:hAnsi="Calibri"/>
                <w:color w:val="374151"/>
                <w:sz w:val="19"/>
                <w:szCs w:val="19"/>
              </w:rPr>
              <w:t xml:space="preserve">+0.24</w:t>
            </w:r>
          </w:p>
        </w:tc>
      </w:tr>
      <w:tr>
        <w:tc>
          <w:tcPr>
            <w:tcW w:type="dxa" w:w="18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ADA</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+0.04</w:t>
            </w:r>
          </w:p>
        </w:tc>
        <w:tc>
          <w:tcPr>
            <w:tcW w:type="dxa" w:w="26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+0.26</w:t>
            </w:r>
          </w:p>
        </w:tc>
        <w:tc>
          <w:tcPr>
            <w:tcW w:type="dxa" w:w="20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+0.22</w:t>
            </w:r>
          </w:p>
        </w:tc>
      </w:tr>
    </w:tbl>
    <w:p>
      <w:pPr>
        <w:spacing w:after="120" w:line="276"/>
      </w:pPr>
      <w:r>
        <w:rPr>
          <w:rFonts w:ascii="Calibri" w:cs="Calibri" w:eastAsia="Calibri" w:hAnsi="Calibri"/>
          <w:color w:val="374151"/>
          <w:sz w:val="21"/>
          <w:szCs w:val="21"/>
        </w:rPr>
        <w:t xml:space="preserve">Correlation with the equity benchmark rises for all six assets without exception when that benchmark is in its worst decile of daily performance. The diversification benefit implied by the full-sample figure therefore weakens in precisely the conditions under which a hedge would be most valuable. This is the principal empirical finding of the study, and it is only visible because the sample was split by regime; a single coefficient conceals it entirely.</w:t>
      </w:r>
    </w:p>
    <w:p>
      <w:pPr>
        <w:pStyle w:val="Heading2"/>
        <w:spacing w:after="120" w:before="240"/>
      </w:pPr>
      <w:r>
        <w:rPr>
          <w:rFonts w:ascii="Calibri" w:cs="Calibri" w:eastAsia="Calibri" w:hAnsi="Calibri"/>
          <w:b/>
          <w:bCs/>
          <w:color w:val="111827"/>
          <w:sz w:val="24"/>
          <w:szCs w:val="24"/>
        </w:rPr>
        <w:t xml:space="preserve">10.3 Forecasting</w:t>
      </w:r>
    </w:p>
    <w:p>
      <w:pPr>
        <w:spacing w:after="120" w:line="276"/>
      </w:pPr>
      <w:r>
        <w:rPr>
          <w:rFonts w:ascii="Calibri" w:cs="Calibri" w:eastAsia="Calibri" w:hAnsi="Calibri"/>
          <w:color w:val="374151"/>
          <w:sz w:val="21"/>
          <w:szCs w:val="21"/>
        </w:rPr>
        <w:t xml:space="preserve">The selected ARIMA specification does not outperform the naive random-walk baseline on held-out data. This is the expected outcome for daily cryptocurrency returns, which are close to unpredictable, and the dashboard states it in plain language rather than presenting a forecast line without context. The forecast interval is accordingly presented as a range of plausible outcomes rather than a price target.</w:t>
      </w:r>
    </w:p>
    <w:p>
      <w:pPr>
        <w:pStyle w:val="Heading2"/>
        <w:spacing w:after="120" w:before="240"/>
      </w:pPr>
      <w:r>
        <w:rPr>
          <w:rFonts w:ascii="Calibri" w:cs="Calibri" w:eastAsia="Calibri" w:hAnsi="Calibri"/>
          <w:b/>
          <w:bCs/>
          <w:color w:val="111827"/>
          <w:sz w:val="24"/>
          <w:szCs w:val="24"/>
        </w:rPr>
        <w:t xml:space="preserve">10.4 Direction Classification</w:t>
      </w:r>
    </w:p>
    <w:tbl>
      <w:tblPr>
        <w:tblW w:type="dxa" w:w="9026"/>
        <w:tblBorders>
          <w:top w:val="single" w:color="D1D5DB" w:sz="4"/>
          <w:left w:val="single" w:color="D1D5DB" w:sz="4"/>
          <w:bottom w:val="single" w:color="D1D5DB" w:sz="4"/>
          <w:right w:val="single" w:color="D1D5DB" w:sz="4"/>
          <w:insideH w:val="single" w:color="E5E7EB" w:sz="2"/>
          <w:insideV w:val="single" w:color="E5E7EB" w:sz="2"/>
        </w:tblBorders>
      </w:tblPr>
      <w:tblGrid>
        <w:gridCol w:w="2400"/>
        <w:gridCol w:w="1700"/>
        <w:gridCol w:w="1700"/>
        <w:gridCol w:w="1500"/>
        <w:gridCol w:w="1726"/>
      </w:tblGrid>
      <w:tr>
        <w:trPr>
          <w:tblHeader/>
        </w:trPr>
        <w:tc>
          <w:tcPr>
            <w:tcW w:type="dxa" w:w="24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Feature set</w:t>
            </w:r>
          </w:p>
        </w:tc>
        <w:tc>
          <w:tcPr>
            <w:tcW w:type="dxa" w:w="17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Accuracy</w:t>
            </w:r>
          </w:p>
        </w:tc>
        <w:tc>
          <w:tcPr>
            <w:tcW w:type="dxa" w:w="17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Base rate</w:t>
            </w:r>
          </w:p>
        </w:tc>
        <w:tc>
          <w:tcPr>
            <w:tcW w:type="dxa" w:w="1500"/>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Lift</w:t>
            </w:r>
          </w:p>
        </w:tc>
        <w:tc>
          <w:tcPr>
            <w:tcW w:type="dxa" w:w="1726"/>
            <w:shd w:fill="1F4E9E"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ROC AUC</w:t>
            </w:r>
          </w:p>
        </w:tc>
      </w:tr>
      <w:tr>
        <w:tc>
          <w:tcPr>
            <w:tcW w:type="dxa" w:w="2400"/>
            <w:tcMar>
              <w:top w:type="dxa" w:w="60"/>
              <w:left w:type="dxa" w:w="100"/>
              <w:bottom w:type="dxa" w:w="60"/>
              <w:right w:type="dxa" w:w="100"/>
            </w:tcMar>
          </w:tcPr>
          <w:p>
            <w:pPr>
              <w:spacing w:after="0"/>
            </w:pPr>
            <w:r>
              <w:rPr>
                <w:rFonts w:ascii="Calibri" w:cs="Calibri" w:eastAsia="Calibri" w:hAnsi="Calibri"/>
                <w:color w:val="374151"/>
                <w:sz w:val="19"/>
                <w:szCs w:val="19"/>
              </w:rPr>
              <w:t xml:space="preserve">Technical only</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46.9%</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50.4%</w:t>
            </w:r>
          </w:p>
        </w:tc>
        <w:tc>
          <w:tcPr>
            <w:tcW w:type="dxa" w:w="1500"/>
            <w:tcMar>
              <w:top w:type="dxa" w:w="60"/>
              <w:left w:type="dxa" w:w="100"/>
              <w:bottom w:type="dxa" w:w="60"/>
              <w:right w:type="dxa" w:w="100"/>
            </w:tcMar>
          </w:tcPr>
          <w:p>
            <w:pPr>
              <w:spacing w:after="0"/>
            </w:pPr>
            <w:r>
              <w:rPr>
                <w:rFonts w:ascii="Calibri" w:cs="Calibri" w:eastAsia="Calibri" w:hAnsi="Calibri"/>
                <w:color w:val="374151"/>
                <w:sz w:val="19"/>
                <w:szCs w:val="19"/>
              </w:rPr>
              <w:t xml:space="preserve">−3.5%</w:t>
            </w:r>
          </w:p>
        </w:tc>
        <w:tc>
          <w:tcPr>
            <w:tcW w:type="dxa" w:w="1726"/>
            <w:tcMar>
              <w:top w:type="dxa" w:w="60"/>
              <w:left w:type="dxa" w:w="100"/>
              <w:bottom w:type="dxa" w:w="60"/>
              <w:right w:type="dxa" w:w="100"/>
            </w:tcMar>
          </w:tcPr>
          <w:p>
            <w:pPr>
              <w:spacing w:after="0"/>
            </w:pPr>
            <w:r>
              <w:rPr>
                <w:rFonts w:ascii="Calibri" w:cs="Calibri" w:eastAsia="Calibri" w:hAnsi="Calibri"/>
                <w:color w:val="374151"/>
                <w:sz w:val="19"/>
                <w:szCs w:val="19"/>
              </w:rPr>
              <w:t xml:space="preserve">0.462</w:t>
            </w:r>
          </w:p>
        </w:tc>
      </w:tr>
      <w:tr>
        <w:tc>
          <w:tcPr>
            <w:tcW w:type="dxa" w:w="2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 Sentiment</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43.8%</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50.4%</w:t>
            </w:r>
          </w:p>
        </w:tc>
        <w:tc>
          <w:tcPr>
            <w:tcW w:type="dxa" w:w="1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−6.5%</w:t>
            </w:r>
          </w:p>
        </w:tc>
        <w:tc>
          <w:tcPr>
            <w:tcW w:type="dxa" w:w="17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0.453</w:t>
            </w:r>
          </w:p>
        </w:tc>
      </w:tr>
      <w:tr>
        <w:tc>
          <w:tcPr>
            <w:tcW w:type="dxa" w:w="2400"/>
            <w:tcMar>
              <w:top w:type="dxa" w:w="60"/>
              <w:left w:type="dxa" w:w="100"/>
              <w:bottom w:type="dxa" w:w="60"/>
              <w:right w:type="dxa" w:w="100"/>
            </w:tcMar>
          </w:tcPr>
          <w:p>
            <w:pPr>
              <w:spacing w:after="0"/>
            </w:pPr>
            <w:r>
              <w:rPr>
                <w:rFonts w:ascii="Calibri" w:cs="Calibri" w:eastAsia="Calibri" w:hAnsi="Calibri"/>
                <w:color w:val="374151"/>
                <w:sz w:val="19"/>
                <w:szCs w:val="19"/>
              </w:rPr>
              <w:t xml:space="preserve">+ On-chain</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49.2%</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50.4%</w:t>
            </w:r>
          </w:p>
        </w:tc>
        <w:tc>
          <w:tcPr>
            <w:tcW w:type="dxa" w:w="1500"/>
            <w:tcMar>
              <w:top w:type="dxa" w:w="60"/>
              <w:left w:type="dxa" w:w="100"/>
              <w:bottom w:type="dxa" w:w="60"/>
              <w:right w:type="dxa" w:w="100"/>
            </w:tcMar>
          </w:tcPr>
          <w:p>
            <w:pPr>
              <w:spacing w:after="0"/>
            </w:pPr>
            <w:r>
              <w:rPr>
                <w:rFonts w:ascii="Calibri" w:cs="Calibri" w:eastAsia="Calibri" w:hAnsi="Calibri"/>
                <w:color w:val="374151"/>
                <w:sz w:val="19"/>
                <w:szCs w:val="19"/>
              </w:rPr>
              <w:t xml:space="preserve">−1.2%</w:t>
            </w:r>
          </w:p>
        </w:tc>
        <w:tc>
          <w:tcPr>
            <w:tcW w:type="dxa" w:w="1726"/>
            <w:tcMar>
              <w:top w:type="dxa" w:w="60"/>
              <w:left w:type="dxa" w:w="100"/>
              <w:bottom w:type="dxa" w:w="60"/>
              <w:right w:type="dxa" w:w="100"/>
            </w:tcMar>
          </w:tcPr>
          <w:p>
            <w:pPr>
              <w:spacing w:after="0"/>
            </w:pPr>
            <w:r>
              <w:rPr>
                <w:rFonts w:ascii="Calibri" w:cs="Calibri" w:eastAsia="Calibri" w:hAnsi="Calibri"/>
                <w:color w:val="374151"/>
                <w:sz w:val="19"/>
                <w:szCs w:val="19"/>
              </w:rPr>
              <w:t xml:space="preserve">0.491</w:t>
            </w:r>
          </w:p>
        </w:tc>
      </w:tr>
      <w:tr>
        <w:tc>
          <w:tcPr>
            <w:tcW w:type="dxa" w:w="24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 Macro</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53.5%</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50.4%</w:t>
            </w:r>
          </w:p>
        </w:tc>
        <w:tc>
          <w:tcPr>
            <w:tcW w:type="dxa" w:w="1500"/>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+3.1%</w:t>
            </w:r>
          </w:p>
        </w:tc>
        <w:tc>
          <w:tcPr>
            <w:tcW w:type="dxa" w:w="1726"/>
            <w:shd w:fill="F3F4F6" w:color="auto" w:val="clear"/>
            <w:tcMar>
              <w:top w:type="dxa" w:w="60"/>
              <w:left w:type="dxa" w:w="100"/>
              <w:bottom w:type="dxa" w:w="60"/>
              <w:right w:type="dxa" w:w="100"/>
            </w:tcMar>
          </w:tcPr>
          <w:p>
            <w:pPr>
              <w:spacing w:after="0"/>
            </w:pPr>
            <w:r>
              <w:rPr>
                <w:rFonts w:ascii="Calibri" w:cs="Calibri" w:eastAsia="Calibri" w:hAnsi="Calibri"/>
                <w:color w:val="374151"/>
                <w:sz w:val="19"/>
                <w:szCs w:val="19"/>
              </w:rPr>
              <w:t xml:space="preserve">0.523</w:t>
            </w:r>
          </w:p>
        </w:tc>
      </w:tr>
      <w:tr>
        <w:tc>
          <w:tcPr>
            <w:tcW w:type="dxa" w:w="2400"/>
            <w:tcMar>
              <w:top w:type="dxa" w:w="60"/>
              <w:left w:type="dxa" w:w="100"/>
              <w:bottom w:type="dxa" w:w="60"/>
              <w:right w:type="dxa" w:w="100"/>
            </w:tcMar>
          </w:tcPr>
          <w:p>
            <w:pPr>
              <w:spacing w:after="0"/>
            </w:pPr>
            <w:r>
              <w:rPr>
                <w:rFonts w:ascii="Calibri" w:cs="Calibri" w:eastAsia="Calibri" w:hAnsi="Calibri"/>
                <w:color w:val="374151"/>
                <w:sz w:val="19"/>
                <w:szCs w:val="19"/>
              </w:rPr>
              <w:t xml:space="preserve">All features</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52.3%</w:t>
            </w:r>
          </w:p>
        </w:tc>
        <w:tc>
          <w:tcPr>
            <w:tcW w:type="dxa" w:w="1700"/>
            <w:tcMar>
              <w:top w:type="dxa" w:w="60"/>
              <w:left w:type="dxa" w:w="100"/>
              <w:bottom w:type="dxa" w:w="60"/>
              <w:right w:type="dxa" w:w="100"/>
            </w:tcMar>
          </w:tcPr>
          <w:p>
            <w:pPr>
              <w:spacing w:after="0"/>
            </w:pPr>
            <w:r>
              <w:rPr>
                <w:rFonts w:ascii="Calibri" w:cs="Calibri" w:eastAsia="Calibri" w:hAnsi="Calibri"/>
                <w:color w:val="374151"/>
                <w:sz w:val="19"/>
                <w:szCs w:val="19"/>
              </w:rPr>
              <w:t xml:space="preserve">50.4%</w:t>
            </w:r>
          </w:p>
        </w:tc>
        <w:tc>
          <w:tcPr>
            <w:tcW w:type="dxa" w:w="1500"/>
            <w:tcMar>
              <w:top w:type="dxa" w:w="60"/>
              <w:left w:type="dxa" w:w="100"/>
              <w:bottom w:type="dxa" w:w="60"/>
              <w:right w:type="dxa" w:w="100"/>
            </w:tcMar>
          </w:tcPr>
          <w:p>
            <w:pPr>
              <w:spacing w:after="0"/>
            </w:pPr>
            <w:r>
              <w:rPr>
                <w:rFonts w:ascii="Calibri" w:cs="Calibri" w:eastAsia="Calibri" w:hAnsi="Calibri"/>
                <w:color w:val="374151"/>
                <w:sz w:val="19"/>
                <w:szCs w:val="19"/>
              </w:rPr>
              <w:t xml:space="preserve">+1.9%</w:t>
            </w:r>
          </w:p>
        </w:tc>
        <w:tc>
          <w:tcPr>
            <w:tcW w:type="dxa" w:w="1726"/>
            <w:tcMar>
              <w:top w:type="dxa" w:w="60"/>
              <w:left w:type="dxa" w:w="100"/>
              <w:bottom w:type="dxa" w:w="60"/>
              <w:right w:type="dxa" w:w="100"/>
            </w:tcMar>
          </w:tcPr>
          <w:p>
            <w:pPr>
              <w:spacing w:after="0"/>
            </w:pPr>
            <w:r>
              <w:rPr>
                <w:rFonts w:ascii="Calibri" w:cs="Calibri" w:eastAsia="Calibri" w:hAnsi="Calibri"/>
                <w:color w:val="374151"/>
                <w:sz w:val="19"/>
                <w:szCs w:val="19"/>
              </w:rPr>
              <w:t xml:space="preserve">0.554</w:t>
            </w:r>
          </w:p>
        </w:tc>
      </w:tr>
    </w:tbl>
    <w:p>
      <w:pPr>
        <w:spacing w:after="120" w:line="276"/>
      </w:pPr>
      <w:r>
        <w:rPr>
          <w:rFonts w:ascii="Calibri" w:cs="Calibri" w:eastAsia="Calibri" w:hAnsi="Calibri"/>
          <w:color w:val="374151"/>
          <w:sz w:val="21"/>
          <w:szCs w:val="21"/>
        </w:rPr>
        <w:t xml:space="preserve">No feature set produces a lift that can be relied upon. Only the macroeconomic block exceeds the base rate by a meaningful margin, at 3.1 percentage points, and on a sample of this size that is a hypothesis warranting more data rather than a finding. The sentiment and on-chain blocks do not improve on technical features alone.</w:t>
      </w:r>
    </w:p>
    <w:p>
      <w:pPr>
        <w:spacing w:after="120" w:line="276"/>
      </w:pPr>
      <w:r>
        <w:rPr>
          <w:rFonts w:ascii="Calibri" w:cs="Calibri" w:eastAsia="Calibri" w:hAnsi="Calibri"/>
          <w:color w:val="374151"/>
          <w:sz w:val="21"/>
          <w:szCs w:val="21"/>
        </w:rPr>
        <w:t xml:space="preserve">This is reported as a result. Daily direction in these assets is not recoverable from these inputs at this sample size, which is consistent with efficient-market expectations and with what most published attempts find once validation is conducted without look-ahead.</w:t>
      </w:r>
    </w:p>
    <w:p>
      <w:pPr>
        <w:pStyle w:val="Heading1"/>
        <w:spacing w:after="160" w:before="320"/>
      </w:pPr>
      <w:r>
        <w:rPr>
          <w:rFonts w:ascii="Calibri" w:cs="Calibri" w:eastAsia="Calibri" w:hAnsi="Calibri"/>
          <w:b/>
          <w:bCs/>
          <w:color w:val="1F4E9E"/>
          <w:sz w:val="30"/>
          <w:szCs w:val="30"/>
        </w:rPr>
        <w:t xml:space="preserve">11. Limitations</w:t>
      </w:r>
    </w:p>
    <w:p>
      <w:pPr>
        <w:pStyle w:val="ListParagraph"/>
        <w:numPr>
          <w:ilvl w:val="0"/>
          <w:numId w:val="2"/>
        </w:numPr>
        <w:spacing w:after="80" w:line="276"/>
      </w:pPr>
      <w:r>
        <w:rPr>
          <w:rFonts w:ascii="Calibri" w:cs="Calibri" w:eastAsia="Calibri" w:hAnsi="Calibri"/>
          <w:color w:val="374151"/>
          <w:sz w:val="21"/>
          <w:szCs w:val="21"/>
        </w:rPr>
        <w:t xml:space="preserve">History is capped at 365 days by the price provider's free tier. A full cryptocurrency cycle historically spans approximately four years, so phase labels describe the current regime rather than a position within a complete cycle.</w:t>
      </w:r>
    </w:p>
    <w:p>
      <w:pPr>
        <w:pStyle w:val="ListParagraph"/>
        <w:numPr>
          <w:ilvl w:val="0"/>
          <w:numId w:val="2"/>
        </w:numPr>
        <w:spacing w:after="80" w:line="276"/>
      </w:pPr>
      <w:r>
        <w:rPr>
          <w:rFonts w:ascii="Calibri" w:cs="Calibri" w:eastAsia="Calibri" w:hAnsi="Calibri"/>
          <w:color w:val="374151"/>
          <w:sz w:val="21"/>
          <w:szCs w:val="21"/>
        </w:rPr>
        <w:t xml:space="preserve">On-chain metrics cover Bitcoin only, a constraint of the free charts API. Exchange inflow and outflow would be the single most valuable addition.</w:t>
      </w:r>
    </w:p>
    <w:p>
      <w:pPr>
        <w:pStyle w:val="ListParagraph"/>
        <w:numPr>
          <w:ilvl w:val="0"/>
          <w:numId w:val="2"/>
        </w:numPr>
        <w:spacing w:after="80" w:line="276"/>
      </w:pPr>
      <w:r>
        <w:rPr>
          <w:rFonts w:ascii="Calibri" w:cs="Calibri" w:eastAsia="Calibri" w:hAnsi="Calibri"/>
          <w:color w:val="374151"/>
          <w:sz w:val="21"/>
          <w:szCs w:val="21"/>
        </w:rPr>
        <w:t xml:space="preserve">Sentiment is represented by a composite index rather than direct text analysis, which would require a paid social-media feed.</w:t>
      </w:r>
    </w:p>
    <w:p>
      <w:pPr>
        <w:pStyle w:val="ListParagraph"/>
        <w:numPr>
          <w:ilvl w:val="0"/>
          <w:numId w:val="2"/>
        </w:numPr>
        <w:spacing w:after="80" w:line="276"/>
      </w:pPr>
      <w:r>
        <w:rPr>
          <w:rFonts w:ascii="Calibri" w:cs="Calibri" w:eastAsia="Calibri" w:hAnsi="Calibri"/>
          <w:color w:val="374151"/>
          <w:sz w:val="21"/>
          <w:szCs w:val="21"/>
        </w:rPr>
        <w:t xml:space="preserve">First-order differencing is assumed rather than established by a formal stationarity test. This is defensible for log prices but is not demonstrated.</w:t>
      </w:r>
    </w:p>
    <w:p>
      <w:pPr>
        <w:pStyle w:val="ListParagraph"/>
        <w:numPr>
          <w:ilvl w:val="0"/>
          <w:numId w:val="2"/>
        </w:numPr>
        <w:spacing w:after="80" w:line="276"/>
      </w:pPr>
      <w:r>
        <w:rPr>
          <w:rFonts w:ascii="Calibri" w:cs="Calibri" w:eastAsia="Calibri" w:hAnsi="Calibri"/>
          <w:color w:val="374151"/>
          <w:sz w:val="21"/>
          <w:szCs w:val="21"/>
        </w:rPr>
        <w:t xml:space="preserve">The stress regime contains 25 observations. The direction of the regime effect is consistent across all six assets, which strengthens the finding, but the magnitude for any individual asset carries wide uncertainty.</w:t>
      </w:r>
    </w:p>
    <w:p>
      <w:pPr>
        <w:pStyle w:val="ListParagraph"/>
        <w:numPr>
          <w:ilvl w:val="0"/>
          <w:numId w:val="2"/>
        </w:numPr>
        <w:spacing w:after="80" w:line="276"/>
      </w:pPr>
      <w:r>
        <w:rPr>
          <w:rFonts w:ascii="Calibri" w:cs="Calibri" w:eastAsia="Calibri" w:hAnsi="Calibri"/>
          <w:color w:val="374151"/>
          <w:sz w:val="21"/>
          <w:szCs w:val="21"/>
        </w:rPr>
        <w:t xml:space="preserve">Results describe a single observation window that was predominantly a declining market, and should not be generalised to other market conditions.</w:t>
      </w:r>
    </w:p>
    <w:p>
      <w:pPr>
        <w:pStyle w:val="Heading1"/>
        <w:spacing w:after="160" w:before="320"/>
      </w:pPr>
      <w:r>
        <w:rPr>
          <w:rFonts w:ascii="Calibri" w:cs="Calibri" w:eastAsia="Calibri" w:hAnsi="Calibri"/>
          <w:b/>
          <w:bCs/>
          <w:color w:val="1F4E9E"/>
          <w:sz w:val="30"/>
          <w:szCs w:val="30"/>
        </w:rPr>
        <w:t xml:space="preserve">12. Future Scope</w:t>
      </w:r>
    </w:p>
    <w:p>
      <w:pPr>
        <w:pStyle w:val="ListParagraph"/>
        <w:numPr>
          <w:ilvl w:val="0"/>
          <w:numId w:val="2"/>
        </w:numPr>
        <w:spacing w:after="80" w:line="276"/>
      </w:pPr>
      <w:r>
        <w:rPr>
          <w:rFonts w:ascii="Calibri" w:cs="Calibri" w:eastAsia="Calibri" w:hAnsi="Calibri"/>
          <w:color w:val="374151"/>
          <w:sz w:val="21"/>
          <w:szCs w:val="21"/>
        </w:rPr>
        <w:t xml:space="preserve">Extend price history beyond one year using an alternative provider, enabling analysis across a complete market cycle.</w:t>
      </w:r>
    </w:p>
    <w:p>
      <w:pPr>
        <w:pStyle w:val="ListParagraph"/>
        <w:numPr>
          <w:ilvl w:val="0"/>
          <w:numId w:val="2"/>
        </w:numPr>
        <w:spacing w:after="80" w:line="276"/>
      </w:pPr>
      <w:r>
        <w:rPr>
          <w:rFonts w:ascii="Calibri" w:cs="Calibri" w:eastAsia="Calibri" w:hAnsi="Calibri"/>
          <w:color w:val="374151"/>
          <w:sz w:val="21"/>
          <w:szCs w:val="21"/>
        </w:rPr>
        <w:t xml:space="preserve">Incorporate exchange inflow and outflow, which are more directly informative about supply pressure than transaction counts.</w:t>
      </w:r>
    </w:p>
    <w:p>
      <w:pPr>
        <w:pStyle w:val="ListParagraph"/>
        <w:numPr>
          <w:ilvl w:val="0"/>
          <w:numId w:val="2"/>
        </w:numPr>
        <w:spacing w:after="80" w:line="276"/>
      </w:pPr>
      <w:r>
        <w:rPr>
          <w:rFonts w:ascii="Calibri" w:cs="Calibri" w:eastAsia="Calibri" w:hAnsi="Calibri"/>
          <w:color w:val="374151"/>
          <w:sz w:val="21"/>
          <w:szCs w:val="21"/>
        </w:rPr>
        <w:t xml:space="preserve">Replace the composite sentiment index with natural-language processing over social media text.</w:t>
      </w:r>
    </w:p>
    <w:p>
      <w:pPr>
        <w:pStyle w:val="ListParagraph"/>
        <w:numPr>
          <w:ilvl w:val="0"/>
          <w:numId w:val="2"/>
        </w:numPr>
        <w:spacing w:after="80" w:line="276"/>
      </w:pPr>
      <w:r>
        <w:rPr>
          <w:rFonts w:ascii="Calibri" w:cs="Calibri" w:eastAsia="Calibri" w:hAnsi="Calibri"/>
          <w:color w:val="374151"/>
          <w:sz w:val="21"/>
          <w:szCs w:val="21"/>
        </w:rPr>
        <w:t xml:space="preserve">Extend GARCH to asymmetric specifications, which capture the tendency of volatility to respond more strongly to declines than to advances.</w:t>
      </w:r>
    </w:p>
    <w:p>
      <w:pPr>
        <w:pStyle w:val="ListParagraph"/>
        <w:numPr>
          <w:ilvl w:val="0"/>
          <w:numId w:val="2"/>
        </w:numPr>
        <w:spacing w:after="80" w:line="276"/>
      </w:pPr>
      <w:r>
        <w:rPr>
          <w:rFonts w:ascii="Calibri" w:cs="Calibri" w:eastAsia="Calibri" w:hAnsi="Calibri"/>
          <w:color w:val="374151"/>
          <w:sz w:val="21"/>
          <w:szCs w:val="21"/>
        </w:rPr>
        <w:t xml:space="preserve">Add portfolio-level analytics: efficient frontier construction, risk parity weighting, and position sizing derived from the existing risk measures.</w:t>
      </w:r>
    </w:p>
    <w:p>
      <w:pPr>
        <w:pStyle w:val="ListParagraph"/>
        <w:numPr>
          <w:ilvl w:val="0"/>
          <w:numId w:val="2"/>
        </w:numPr>
        <w:spacing w:after="80" w:line="276"/>
      </w:pPr>
      <w:r>
        <w:rPr>
          <w:rFonts w:ascii="Calibri" w:cs="Calibri" w:eastAsia="Calibri" w:hAnsi="Calibri"/>
          <w:color w:val="374151"/>
          <w:sz w:val="21"/>
          <w:szCs w:val="21"/>
        </w:rPr>
        <w:t xml:space="preserve">Formalise stationarity testing and automatic model-order selection diagnostics.</w:t>
      </w:r>
    </w:p>
    <w:p>
      <w:pPr>
        <w:pStyle w:val="Heading1"/>
        <w:spacing w:after="160" w:before="320"/>
      </w:pPr>
      <w:r>
        <w:rPr>
          <w:rFonts w:ascii="Calibri" w:cs="Calibri" w:eastAsia="Calibri" w:hAnsi="Calibri"/>
          <w:b/>
          <w:bCs/>
          <w:color w:val="1F4E9E"/>
          <w:sz w:val="30"/>
          <w:szCs w:val="30"/>
        </w:rPr>
        <w:t xml:space="preserve">13. Conclusion</w:t>
      </w:r>
    </w:p>
    <w:p>
      <w:pPr>
        <w:spacing w:after="120" w:line="276"/>
      </w:pPr>
      <w:r>
        <w:rPr>
          <w:rFonts w:ascii="Calibri" w:cs="Calibri" w:eastAsia="Calibri" w:hAnsi="Calibri"/>
          <w:color w:val="374151"/>
          <w:sz w:val="21"/>
          <w:szCs w:val="21"/>
        </w:rPr>
        <w:t xml:space="preserve">The system meets the objectives set out at the start of this report. Five heterogeneous data sources are consolidated into a single pipeline with centralised preprocessing and transparent quality reporting. Volatility and downside risk are quantified using standard measures, with volatility clustering modelled explicitly. Market-cycle phases are identified by explainable rules whose basis is reported alongside every label. The relationship between digital and traditional assets is measured, and — more usefully — is shown to change under market stress.</w:t>
      </w:r>
    </w:p>
    <w:p>
      <w:pPr>
        <w:spacing w:after="120" w:line="276"/>
      </w:pPr>
      <w:r>
        <w:rPr>
          <w:rFonts w:ascii="Calibri" w:cs="Calibri" w:eastAsia="Calibri" w:hAnsi="Calibri"/>
          <w:color w:val="374151"/>
          <w:sz w:val="21"/>
          <w:szCs w:val="21"/>
        </w:rPr>
        <w:t xml:space="preserve">The most substantive empirical finding is that the diversification benefit apparently offered by cryptocurrency is regime-dependent. Full-sample correlations against traditional assets are near zero, but correlation with the equity benchmark rises for all six digital assets during the benchmark's worst-performing days. An investor relying on the full-sample figure would be assuming protection that weakens exactly when it is needed.</w:t>
      </w:r>
    </w:p>
    <w:p>
      <w:pPr>
        <w:spacing w:after="120" w:line="276"/>
      </w:pPr>
      <w:r>
        <w:rPr>
          <w:rFonts w:ascii="Calibri" w:cs="Calibri" w:eastAsia="Calibri" w:hAnsi="Calibri"/>
          <w:color w:val="374151"/>
          <w:sz w:val="21"/>
          <w:szCs w:val="21"/>
        </w:rPr>
        <w:t xml:space="preserve">The forecasting and classification components are equally informative in the negative. Neither the ARIMA model nor the supervised classifier beats its baseline, and the system reports this directly. A tool intended to support investment decisions is more useful when it distinguishes what it can establish from what it cannot, and the validation methodology adopted here — time-ordered splits, baselines that are difficult to beat by accident, and explicit skill scores — is what makes that distinction credible.</w:t>
      </w:r>
    </w:p>
    <w:p>
      <w:pPr>
        <w:pStyle w:val="Heading1"/>
        <w:spacing w:after="160" w:before="320"/>
      </w:pPr>
      <w:r>
        <w:rPr>
          <w:rFonts w:ascii="Calibri" w:cs="Calibri" w:eastAsia="Calibri" w:hAnsi="Calibri"/>
          <w:b/>
          <w:bCs/>
          <w:color w:val="1F4E9E"/>
          <w:sz w:val="30"/>
          <w:szCs w:val="30"/>
        </w:rPr>
        <w:t xml:space="preserve">14. References</w:t>
      </w:r>
    </w:p>
    <w:p>
      <w:pPr>
        <w:spacing w:after="120" w:line="276"/>
      </w:pPr>
      <w:r>
        <w:rPr>
          <w:rFonts w:ascii="Calibri" w:cs="Calibri" w:eastAsia="Calibri" w:hAnsi="Calibri"/>
          <w:color w:val="374151"/>
          <w:sz w:val="19"/>
          <w:szCs w:val="19"/>
        </w:rPr>
        <w:t xml:space="preserve">CoinGecko API Documentation. https://www.coingecko.com/en/api/documentation</w:t>
      </w:r>
    </w:p>
    <w:p>
      <w:pPr>
        <w:spacing w:after="120" w:line="276"/>
      </w:pPr>
      <w:r>
        <w:rPr>
          <w:rFonts w:ascii="Calibri" w:cs="Calibri" w:eastAsia="Calibri" w:hAnsi="Calibri"/>
          <w:color w:val="374151"/>
          <w:sz w:val="19"/>
          <w:szCs w:val="19"/>
        </w:rPr>
        <w:t xml:space="preserve">Yahoo Finance market data, accessed via the yfinance library. https://github.com/ranaroussi/yfinance</w:t>
      </w:r>
    </w:p>
    <w:p>
      <w:pPr>
        <w:spacing w:after="120" w:line="276"/>
      </w:pPr>
      <w:r>
        <w:rPr>
          <w:rFonts w:ascii="Calibri" w:cs="Calibri" w:eastAsia="Calibri" w:hAnsi="Calibri"/>
          <w:color w:val="374151"/>
          <w:sz w:val="19"/>
          <w:szCs w:val="19"/>
        </w:rPr>
        <w:t xml:space="preserve">Alternative.me Crypto Fear &amp; Greed Index. https://alternative.me/crypto/fear-and-greed-index/</w:t>
      </w:r>
    </w:p>
    <w:p>
      <w:pPr>
        <w:spacing w:after="120" w:line="276"/>
      </w:pPr>
      <w:r>
        <w:rPr>
          <w:rFonts w:ascii="Calibri" w:cs="Calibri" w:eastAsia="Calibri" w:hAnsi="Calibri"/>
          <w:color w:val="374151"/>
          <w:sz w:val="19"/>
          <w:szCs w:val="19"/>
        </w:rPr>
        <w:t xml:space="preserve">Blockchain.com Charts API. https://www.blockchain.com/explorer/charts</w:t>
      </w:r>
    </w:p>
    <w:p>
      <w:pPr>
        <w:spacing w:after="120" w:line="276"/>
      </w:pPr>
      <w:r>
        <w:rPr>
          <w:rFonts w:ascii="Calibri" w:cs="Calibri" w:eastAsia="Calibri" w:hAnsi="Calibri"/>
          <w:color w:val="374151"/>
          <w:sz w:val="19"/>
          <w:szCs w:val="19"/>
        </w:rPr>
        <w:t xml:space="preserve">Box, G. E. P., Jenkins, G. M., Reinsel, G. C. and Ljung, G. M. (2015). Time Series Analysis: Forecasting and Control. 5th edition. Wiley.</w:t>
      </w:r>
    </w:p>
    <w:p>
      <w:pPr>
        <w:spacing w:after="120" w:line="276"/>
      </w:pPr>
      <w:r>
        <w:rPr>
          <w:rFonts w:ascii="Calibri" w:cs="Calibri" w:eastAsia="Calibri" w:hAnsi="Calibri"/>
          <w:color w:val="374151"/>
          <w:sz w:val="19"/>
          <w:szCs w:val="19"/>
        </w:rPr>
        <w:t xml:space="preserve">Bollerslev, T. (1986). Generalized Autoregressive Conditional Heteroskedasticity. Journal of Econometrics, 31(3), 307–327.</w:t>
      </w:r>
    </w:p>
    <w:p>
      <w:pPr>
        <w:spacing w:after="120" w:line="276"/>
      </w:pPr>
      <w:r>
        <w:rPr>
          <w:rFonts w:ascii="Calibri" w:cs="Calibri" w:eastAsia="Calibri" w:hAnsi="Calibri"/>
          <w:color w:val="374151"/>
          <w:sz w:val="19"/>
          <w:szCs w:val="19"/>
        </w:rPr>
        <w:t xml:space="preserve">Wyckoff, R. D. The Richard D. Wyckoff Method of Trading and Investing in Stocks.</w:t>
      </w:r>
    </w:p>
    <w:p>
      <w:pPr>
        <w:spacing w:after="120" w:line="276"/>
      </w:pPr>
      <w:r>
        <w:rPr>
          <w:rFonts w:ascii="Calibri" w:cs="Calibri" w:eastAsia="Calibri" w:hAnsi="Calibri"/>
          <w:color w:val="374151"/>
          <w:sz w:val="19"/>
          <w:szCs w:val="19"/>
        </w:rPr>
        <w:t xml:space="preserve">Sortino, F. A. and Price, L. N. (1994). Performance Measurement in a Downside Risk Framework. Journal of Investing, 3(3), 59–64.</w:t>
      </w:r>
    </w:p>
    <w:p>
      <w:pPr>
        <w:spacing w:after="120" w:line="276"/>
      </w:pPr>
      <w:r>
        <w:rPr>
          <w:rFonts w:ascii="Calibri" w:cs="Calibri" w:eastAsia="Calibri" w:hAnsi="Calibri"/>
          <w:color w:val="374151"/>
          <w:sz w:val="19"/>
          <w:szCs w:val="19"/>
        </w:rPr>
        <w:t xml:space="preserve">Seabold, S. and Perktold, J. (2010). statsmodels: Econometric and Statistical Modeling with Python. Proceedings of the 9th Python in Science Conference.</w:t>
      </w:r>
    </w:p>
    <w:p>
      <w:pPr>
        <w:spacing w:after="120" w:line="276"/>
      </w:pPr>
      <w:r>
        <w:rPr>
          <w:rFonts w:ascii="Calibri" w:cs="Calibri" w:eastAsia="Calibri" w:hAnsi="Calibri"/>
          <w:color w:val="374151"/>
          <w:sz w:val="19"/>
          <w:szCs w:val="19"/>
        </w:rPr>
        <w:t xml:space="preserve">Pedregosa, F. et al. (2011). Scikit-learn: Machine Learning in Python. Journal of Machine Learning Research, 12, 2825–2830.</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Cryptocurrency Market Analysis System  |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2026-08-30T07:19:06.873Z</dcterms:created>
  <dcterms:modified xsi:type="dcterms:W3CDTF">2026-08-30T07:19:06.875Z</dcterms:modified>
</cp:coreProperties>
</file>

<file path=docProps/custom.xml><?xml version="1.0" encoding="utf-8"?>
<Properties xmlns="http://schemas.openxmlformats.org/officeDocument/2006/custom-properties" xmlns:vt="http://schemas.openxmlformats.org/officeDocument/2006/docPropsVTypes"/>
</file>