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1D5" w:rsidRPr="009A41D5" w:rsidRDefault="009A41D5" w:rsidP="009A41D5">
      <w:pPr>
        <w:spacing w:before="345" w:after="144" w:line="240" w:lineRule="auto"/>
        <w:outlineLvl w:val="0"/>
        <w:rPr>
          <w:rFonts w:ascii="Arial" w:eastAsia="Times New Roman" w:hAnsi="Arial" w:cs="Arial"/>
          <w:b/>
          <w:bCs/>
          <w:color w:val="333333"/>
          <w:kern w:val="36"/>
          <w:sz w:val="41"/>
          <w:szCs w:val="41"/>
        </w:rPr>
      </w:pPr>
      <w:r w:rsidRPr="009A41D5">
        <w:rPr>
          <w:rFonts w:ascii="Arial" w:eastAsia="Times New Roman" w:hAnsi="Arial" w:cs="Arial"/>
          <w:b/>
          <w:bCs/>
          <w:color w:val="333333"/>
          <w:kern w:val="36"/>
          <w:sz w:val="41"/>
          <w:szCs w:val="41"/>
        </w:rPr>
        <w:t>Approval delegate qualifications</w:t>
      </w:r>
    </w:p>
    <w:p w:rsidR="009A41D5" w:rsidRPr="009A41D5" w:rsidRDefault="009A41D5" w:rsidP="009A41D5">
      <w:pPr>
        <w:spacing w:after="192" w:line="240" w:lineRule="auto"/>
        <w:rPr>
          <w:rFonts w:ascii="Arial" w:eastAsia="Times New Roman" w:hAnsi="Arial" w:cs="Arial"/>
          <w:color w:val="000000"/>
          <w:sz w:val="28"/>
          <w:szCs w:val="28"/>
        </w:rPr>
      </w:pPr>
      <w:r w:rsidRPr="009A41D5">
        <w:rPr>
          <w:rFonts w:ascii="Arial" w:eastAsia="Times New Roman" w:hAnsi="Arial" w:cs="Arial"/>
          <w:color w:val="000000"/>
          <w:sz w:val="28"/>
          <w:szCs w:val="28"/>
        </w:rPr>
        <w:t>When you open the </w:t>
      </w:r>
      <w:r w:rsidRPr="009A41D5">
        <w:rPr>
          <w:rFonts w:ascii="Arial" w:eastAsia="Times New Roman" w:hAnsi="Arial" w:cs="Arial"/>
          <w:b/>
          <w:bCs/>
          <w:color w:val="000000"/>
          <w:sz w:val="28"/>
          <w:szCs w:val="28"/>
        </w:rPr>
        <w:t>Approval Delegation</w:t>
      </w:r>
      <w:r w:rsidRPr="009A41D5">
        <w:rPr>
          <w:rFonts w:ascii="Arial" w:eastAsia="Times New Roman" w:hAnsi="Arial" w:cs="Arial"/>
          <w:color w:val="000000"/>
          <w:sz w:val="28"/>
          <w:szCs w:val="28"/>
        </w:rPr>
        <w:t> wizard, the wizard generates a list of qualified operators who are eligible for approval delegation. The wizard determines operator eligibility based on the following criteria:</w:t>
      </w:r>
    </w:p>
    <w:tbl>
      <w:tblPr>
        <w:tblW w:w="0" w:type="auto"/>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195"/>
        <w:gridCol w:w="3021"/>
        <w:gridCol w:w="3128"/>
      </w:tblGrid>
      <w:tr w:rsidR="009A41D5" w:rsidRPr="009A41D5" w:rsidTr="009A41D5">
        <w:trPr>
          <w:tblHeader/>
        </w:trPr>
        <w:tc>
          <w:tcPr>
            <w:tcW w:w="0" w:type="auto"/>
            <w:tcBorders>
              <w:top w:val="single" w:sz="6" w:space="0" w:color="B9B8BB"/>
              <w:left w:val="single" w:sz="6" w:space="0" w:color="B9B8BB"/>
              <w:bottom w:val="single" w:sz="6" w:space="0" w:color="B9B8BB"/>
              <w:right w:val="single" w:sz="6" w:space="0" w:color="B9B8BB"/>
            </w:tcBorders>
            <w:shd w:val="clear" w:color="auto" w:fill="F3F3F3"/>
            <w:tcMar>
              <w:top w:w="120" w:type="dxa"/>
              <w:left w:w="120" w:type="dxa"/>
              <w:bottom w:w="120" w:type="dxa"/>
              <w:right w:w="120" w:type="dxa"/>
            </w:tcMar>
            <w:hideMark/>
          </w:tcPr>
          <w:p w:rsidR="009A41D5" w:rsidRPr="009A41D5" w:rsidRDefault="009A41D5" w:rsidP="009A41D5">
            <w:pPr>
              <w:spacing w:after="0" w:line="240" w:lineRule="auto"/>
              <w:rPr>
                <w:rFonts w:ascii="Times New Roman" w:eastAsia="Times New Roman" w:hAnsi="Times New Roman" w:cs="Times New Roman"/>
                <w:b/>
                <w:bCs/>
                <w:color w:val="333333"/>
                <w:sz w:val="24"/>
                <w:szCs w:val="24"/>
              </w:rPr>
            </w:pPr>
            <w:r w:rsidRPr="009A41D5">
              <w:rPr>
                <w:rFonts w:ascii="Times New Roman" w:eastAsia="Times New Roman" w:hAnsi="Times New Roman" w:cs="Times New Roman"/>
                <w:b/>
                <w:bCs/>
                <w:color w:val="333333"/>
                <w:sz w:val="24"/>
                <w:szCs w:val="24"/>
              </w:rPr>
              <w:t>To delegate approvals for this application</w:t>
            </w:r>
          </w:p>
        </w:tc>
        <w:tc>
          <w:tcPr>
            <w:tcW w:w="0" w:type="auto"/>
            <w:tcBorders>
              <w:top w:val="single" w:sz="6" w:space="0" w:color="B9B8BB"/>
              <w:left w:val="single" w:sz="6" w:space="0" w:color="B9B8BB"/>
              <w:bottom w:val="single" w:sz="6" w:space="0" w:color="B9B8BB"/>
              <w:right w:val="single" w:sz="6" w:space="0" w:color="B9B8BB"/>
            </w:tcBorders>
            <w:shd w:val="clear" w:color="auto" w:fill="F3F3F3"/>
            <w:tcMar>
              <w:top w:w="120" w:type="dxa"/>
              <w:left w:w="120" w:type="dxa"/>
              <w:bottom w:w="120" w:type="dxa"/>
              <w:right w:w="120" w:type="dxa"/>
            </w:tcMar>
            <w:hideMark/>
          </w:tcPr>
          <w:p w:rsidR="009A41D5" w:rsidRPr="009A41D5" w:rsidRDefault="009A41D5" w:rsidP="009A41D5">
            <w:pPr>
              <w:spacing w:after="0" w:line="240" w:lineRule="auto"/>
              <w:rPr>
                <w:rFonts w:ascii="Times New Roman" w:eastAsia="Times New Roman" w:hAnsi="Times New Roman" w:cs="Times New Roman"/>
                <w:b/>
                <w:bCs/>
                <w:color w:val="333333"/>
                <w:sz w:val="24"/>
                <w:szCs w:val="24"/>
              </w:rPr>
            </w:pPr>
            <w:r w:rsidRPr="009A41D5">
              <w:rPr>
                <w:rFonts w:ascii="Times New Roman" w:eastAsia="Times New Roman" w:hAnsi="Times New Roman" w:cs="Times New Roman"/>
                <w:b/>
                <w:bCs/>
                <w:color w:val="333333"/>
                <w:sz w:val="24"/>
                <w:szCs w:val="24"/>
              </w:rPr>
              <w:t>Requires these application profile rights</w:t>
            </w:r>
          </w:p>
        </w:tc>
        <w:tc>
          <w:tcPr>
            <w:tcW w:w="0" w:type="auto"/>
            <w:tcBorders>
              <w:top w:val="single" w:sz="6" w:space="0" w:color="B9B8BB"/>
              <w:left w:val="single" w:sz="6" w:space="0" w:color="B9B8BB"/>
              <w:bottom w:val="single" w:sz="6" w:space="0" w:color="B9B8BB"/>
              <w:right w:val="single" w:sz="6" w:space="0" w:color="B9B8BB"/>
            </w:tcBorders>
            <w:shd w:val="clear" w:color="auto" w:fill="F3F3F3"/>
            <w:tcMar>
              <w:top w:w="120" w:type="dxa"/>
              <w:left w:w="120" w:type="dxa"/>
              <w:bottom w:w="120" w:type="dxa"/>
              <w:right w:w="120" w:type="dxa"/>
            </w:tcMar>
            <w:hideMark/>
          </w:tcPr>
          <w:p w:rsidR="009A41D5" w:rsidRPr="009A41D5" w:rsidRDefault="009A41D5" w:rsidP="009A41D5">
            <w:pPr>
              <w:spacing w:after="0" w:line="240" w:lineRule="auto"/>
              <w:rPr>
                <w:rFonts w:ascii="Times New Roman" w:eastAsia="Times New Roman" w:hAnsi="Times New Roman" w:cs="Times New Roman"/>
                <w:b/>
                <w:bCs/>
                <w:color w:val="333333"/>
                <w:sz w:val="24"/>
                <w:szCs w:val="24"/>
              </w:rPr>
            </w:pPr>
            <w:r w:rsidRPr="009A41D5">
              <w:rPr>
                <w:rFonts w:ascii="Times New Roman" w:eastAsia="Times New Roman" w:hAnsi="Times New Roman" w:cs="Times New Roman"/>
                <w:b/>
                <w:bCs/>
                <w:color w:val="333333"/>
                <w:sz w:val="24"/>
                <w:szCs w:val="24"/>
              </w:rPr>
              <w:t>And at least one of these capability words</w:t>
            </w:r>
          </w:p>
        </w:tc>
      </w:tr>
      <w:tr w:rsidR="009A41D5" w:rsidRPr="009A41D5" w:rsidTr="009A41D5">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0"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b/>
                <w:bCs/>
                <w:color w:val="222222"/>
                <w:sz w:val="24"/>
                <w:szCs w:val="24"/>
              </w:rPr>
              <w:t>Change Management</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192"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View</w:t>
            </w:r>
          </w:p>
          <w:p w:rsidR="009A41D5" w:rsidRPr="009A41D5" w:rsidRDefault="009A41D5" w:rsidP="009A41D5">
            <w:pPr>
              <w:spacing w:after="192"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Can access approvals</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192" w:line="240" w:lineRule="auto"/>
              <w:rPr>
                <w:rFonts w:ascii="Times New Roman" w:eastAsia="Times New Roman" w:hAnsi="Times New Roman" w:cs="Times New Roman"/>
                <w:color w:val="222222"/>
                <w:sz w:val="24"/>
                <w:szCs w:val="24"/>
              </w:rPr>
            </w:pPr>
            <w:proofErr w:type="spellStart"/>
            <w:r w:rsidRPr="009A41D5">
              <w:rPr>
                <w:rFonts w:ascii="Times New Roman" w:eastAsia="Times New Roman" w:hAnsi="Times New Roman" w:cs="Times New Roman"/>
                <w:color w:val="222222"/>
                <w:sz w:val="24"/>
                <w:szCs w:val="24"/>
              </w:rPr>
              <w:t>SysAdmin</w:t>
            </w:r>
            <w:proofErr w:type="spellEnd"/>
          </w:p>
          <w:p w:rsidR="009A41D5" w:rsidRPr="009A41D5" w:rsidRDefault="009A41D5" w:rsidP="009A41D5">
            <w:pPr>
              <w:spacing w:after="192" w:line="240" w:lineRule="auto"/>
              <w:rPr>
                <w:rFonts w:ascii="Times New Roman" w:eastAsia="Times New Roman" w:hAnsi="Times New Roman" w:cs="Times New Roman"/>
                <w:color w:val="222222"/>
                <w:sz w:val="24"/>
                <w:szCs w:val="24"/>
              </w:rPr>
            </w:pPr>
            <w:proofErr w:type="spellStart"/>
            <w:r w:rsidRPr="009A41D5">
              <w:rPr>
                <w:rFonts w:ascii="Times New Roman" w:eastAsia="Times New Roman" w:hAnsi="Times New Roman" w:cs="Times New Roman"/>
                <w:color w:val="222222"/>
                <w:sz w:val="24"/>
                <w:szCs w:val="24"/>
              </w:rPr>
              <w:t>ChMAdmin</w:t>
            </w:r>
            <w:proofErr w:type="spellEnd"/>
          </w:p>
          <w:p w:rsidR="009A41D5" w:rsidRPr="009A41D5" w:rsidRDefault="009A41D5" w:rsidP="009A41D5">
            <w:pPr>
              <w:spacing w:after="192"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change request</w:t>
            </w:r>
          </w:p>
          <w:p w:rsidR="009A41D5" w:rsidRPr="009A41D5" w:rsidRDefault="009A41D5" w:rsidP="009A41D5">
            <w:pPr>
              <w:spacing w:after="192"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change task</w:t>
            </w:r>
          </w:p>
        </w:tc>
      </w:tr>
      <w:tr w:rsidR="009A41D5" w:rsidRPr="009A41D5" w:rsidTr="009A41D5">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0"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b/>
                <w:bCs/>
                <w:color w:val="222222"/>
                <w:sz w:val="24"/>
                <w:szCs w:val="24"/>
              </w:rPr>
              <w:t>Request Management</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192"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View</w:t>
            </w:r>
          </w:p>
          <w:p w:rsidR="009A41D5" w:rsidRPr="009A41D5" w:rsidRDefault="009A41D5" w:rsidP="009A41D5">
            <w:pPr>
              <w:spacing w:after="192"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Approvals</w:t>
            </w:r>
          </w:p>
          <w:p w:rsidR="009A41D5" w:rsidRPr="009A41D5" w:rsidRDefault="009A41D5" w:rsidP="009A41D5">
            <w:pPr>
              <w:spacing w:after="192"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Approve</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192" w:line="240" w:lineRule="auto"/>
              <w:rPr>
                <w:rFonts w:ascii="Times New Roman" w:eastAsia="Times New Roman" w:hAnsi="Times New Roman" w:cs="Times New Roman"/>
                <w:color w:val="222222"/>
                <w:sz w:val="24"/>
                <w:szCs w:val="24"/>
              </w:rPr>
            </w:pPr>
            <w:proofErr w:type="spellStart"/>
            <w:r w:rsidRPr="009A41D5">
              <w:rPr>
                <w:rFonts w:ascii="Times New Roman" w:eastAsia="Times New Roman" w:hAnsi="Times New Roman" w:cs="Times New Roman"/>
                <w:color w:val="222222"/>
                <w:sz w:val="24"/>
                <w:szCs w:val="24"/>
              </w:rPr>
              <w:t>SysAdmin</w:t>
            </w:r>
            <w:proofErr w:type="spellEnd"/>
          </w:p>
          <w:p w:rsidR="009A41D5" w:rsidRPr="009A41D5" w:rsidRDefault="009A41D5" w:rsidP="009A41D5">
            <w:pPr>
              <w:spacing w:after="192" w:line="240" w:lineRule="auto"/>
              <w:rPr>
                <w:rFonts w:ascii="Times New Roman" w:eastAsia="Times New Roman" w:hAnsi="Times New Roman" w:cs="Times New Roman"/>
                <w:color w:val="222222"/>
                <w:sz w:val="24"/>
                <w:szCs w:val="24"/>
              </w:rPr>
            </w:pPr>
            <w:proofErr w:type="spellStart"/>
            <w:r w:rsidRPr="009A41D5">
              <w:rPr>
                <w:rFonts w:ascii="Times New Roman" w:eastAsia="Times New Roman" w:hAnsi="Times New Roman" w:cs="Times New Roman"/>
                <w:color w:val="222222"/>
                <w:sz w:val="24"/>
                <w:szCs w:val="24"/>
              </w:rPr>
              <w:t>OCMAdmin</w:t>
            </w:r>
            <w:proofErr w:type="spellEnd"/>
          </w:p>
          <w:p w:rsidR="009A41D5" w:rsidRPr="009A41D5" w:rsidRDefault="009A41D5" w:rsidP="009A41D5">
            <w:pPr>
              <w:spacing w:after="192"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OCMQ</w:t>
            </w:r>
          </w:p>
        </w:tc>
      </w:tr>
      <w:tr w:rsidR="009A41D5" w:rsidRPr="009A41D5" w:rsidTr="009A41D5">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0"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b/>
                <w:bCs/>
                <w:color w:val="222222"/>
                <w:sz w:val="24"/>
                <w:szCs w:val="24"/>
              </w:rPr>
              <w:t>Service Catalog</w:t>
            </w:r>
            <w:r w:rsidRPr="009A41D5">
              <w:rPr>
                <w:rFonts w:ascii="Times New Roman" w:eastAsia="Times New Roman" w:hAnsi="Times New Roman" w:cs="Times New Roman"/>
                <w:b/>
                <w:bCs/>
                <w:color w:val="222222"/>
                <w:sz w:val="24"/>
                <w:szCs w:val="24"/>
              </w:rPr>
              <w:br/>
              <w:t>(part of Service Desk)</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0"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View</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A41D5" w:rsidRPr="009A41D5" w:rsidRDefault="009A41D5" w:rsidP="009A41D5">
            <w:pPr>
              <w:spacing w:after="0" w:line="240" w:lineRule="auto"/>
              <w:rPr>
                <w:rFonts w:ascii="Times New Roman" w:eastAsia="Times New Roman" w:hAnsi="Times New Roman" w:cs="Times New Roman"/>
                <w:color w:val="222222"/>
                <w:sz w:val="24"/>
                <w:szCs w:val="24"/>
              </w:rPr>
            </w:pPr>
            <w:r w:rsidRPr="009A41D5">
              <w:rPr>
                <w:rFonts w:ascii="Times New Roman" w:eastAsia="Times New Roman" w:hAnsi="Times New Roman" w:cs="Times New Roman"/>
                <w:color w:val="222222"/>
                <w:sz w:val="24"/>
                <w:szCs w:val="24"/>
              </w:rPr>
              <w:t>[no capability words required]</w:t>
            </w:r>
          </w:p>
        </w:tc>
      </w:tr>
    </w:tbl>
    <w:p w:rsidR="009A41D5" w:rsidRPr="009A41D5" w:rsidRDefault="009A41D5" w:rsidP="009A41D5">
      <w:pPr>
        <w:spacing w:after="192" w:line="240" w:lineRule="auto"/>
        <w:rPr>
          <w:rFonts w:ascii="Arial" w:eastAsia="Times New Roman" w:hAnsi="Arial" w:cs="Arial"/>
          <w:color w:val="000000"/>
          <w:sz w:val="28"/>
          <w:szCs w:val="28"/>
        </w:rPr>
      </w:pPr>
      <w:r w:rsidRPr="009A41D5">
        <w:rPr>
          <w:rFonts w:ascii="Arial" w:eastAsia="Times New Roman" w:hAnsi="Arial" w:cs="Arial"/>
          <w:color w:val="000000"/>
          <w:sz w:val="28"/>
          <w:szCs w:val="28"/>
        </w:rPr>
        <w:t xml:space="preserve">For example, if </w:t>
      </w:r>
      <w:proofErr w:type="spellStart"/>
      <w:r w:rsidRPr="009A41D5">
        <w:rPr>
          <w:rFonts w:ascii="Arial" w:eastAsia="Times New Roman" w:hAnsi="Arial" w:cs="Arial"/>
          <w:color w:val="000000"/>
          <w:sz w:val="28"/>
          <w:szCs w:val="28"/>
        </w:rPr>
        <w:t>Change.Approver</w:t>
      </w:r>
      <w:proofErr w:type="spellEnd"/>
      <w:r w:rsidRPr="009A41D5">
        <w:rPr>
          <w:rFonts w:ascii="Arial" w:eastAsia="Times New Roman" w:hAnsi="Arial" w:cs="Arial"/>
          <w:color w:val="000000"/>
          <w:sz w:val="28"/>
          <w:szCs w:val="28"/>
        </w:rPr>
        <w:t xml:space="preserve"> wants to delegate all approvals to another operator, the potential delegate must have the following rights and capability words:</w:t>
      </w:r>
    </w:p>
    <w:p w:rsidR="009A41D5" w:rsidRPr="009A41D5" w:rsidRDefault="009A41D5" w:rsidP="009A41D5">
      <w:pPr>
        <w:numPr>
          <w:ilvl w:val="0"/>
          <w:numId w:val="1"/>
        </w:numPr>
        <w:spacing w:before="156" w:after="156" w:line="240" w:lineRule="auto"/>
        <w:ind w:left="3540"/>
        <w:rPr>
          <w:rFonts w:ascii="Arial" w:eastAsia="Times New Roman" w:hAnsi="Arial" w:cs="Arial"/>
          <w:color w:val="000000"/>
          <w:sz w:val="28"/>
          <w:szCs w:val="28"/>
        </w:rPr>
      </w:pPr>
      <w:r w:rsidRPr="009A41D5">
        <w:rPr>
          <w:rFonts w:ascii="Arial" w:eastAsia="Times New Roman" w:hAnsi="Arial" w:cs="Arial"/>
          <w:color w:val="000000"/>
          <w:sz w:val="28"/>
          <w:szCs w:val="28"/>
        </w:rPr>
        <w:t>View and approval rights to the Change Management and Request Management applications</w:t>
      </w:r>
    </w:p>
    <w:p w:rsidR="009A41D5" w:rsidRPr="009A41D5" w:rsidRDefault="009A41D5" w:rsidP="009A41D5">
      <w:pPr>
        <w:numPr>
          <w:ilvl w:val="0"/>
          <w:numId w:val="2"/>
        </w:numPr>
        <w:spacing w:before="156" w:after="156" w:line="240" w:lineRule="auto"/>
        <w:ind w:left="3540"/>
        <w:rPr>
          <w:rFonts w:ascii="Arial" w:eastAsia="Times New Roman" w:hAnsi="Arial" w:cs="Arial"/>
          <w:color w:val="000000"/>
          <w:sz w:val="28"/>
          <w:szCs w:val="28"/>
        </w:rPr>
      </w:pPr>
      <w:r w:rsidRPr="009A41D5">
        <w:rPr>
          <w:rFonts w:ascii="Arial" w:eastAsia="Times New Roman" w:hAnsi="Arial" w:cs="Arial"/>
          <w:color w:val="000000"/>
          <w:sz w:val="28"/>
          <w:szCs w:val="28"/>
        </w:rPr>
        <w:t>View rights in the Service Desk application</w:t>
      </w:r>
    </w:p>
    <w:p w:rsidR="009A41D5" w:rsidRPr="009A41D5" w:rsidRDefault="009A41D5" w:rsidP="009A41D5">
      <w:pPr>
        <w:numPr>
          <w:ilvl w:val="0"/>
          <w:numId w:val="3"/>
        </w:numPr>
        <w:spacing w:before="156" w:after="156" w:line="240" w:lineRule="auto"/>
        <w:ind w:left="3540"/>
        <w:rPr>
          <w:rFonts w:ascii="Arial" w:eastAsia="Times New Roman" w:hAnsi="Arial" w:cs="Arial"/>
          <w:color w:val="000000"/>
          <w:sz w:val="28"/>
          <w:szCs w:val="28"/>
        </w:rPr>
      </w:pPr>
      <w:r w:rsidRPr="009A41D5">
        <w:rPr>
          <w:rFonts w:ascii="Arial" w:eastAsia="Times New Roman" w:hAnsi="Arial" w:cs="Arial"/>
          <w:color w:val="000000"/>
          <w:sz w:val="28"/>
          <w:szCs w:val="28"/>
        </w:rPr>
        <w:t>At least one of the capability words required for Change Management</w:t>
      </w:r>
    </w:p>
    <w:p w:rsidR="009A41D5" w:rsidRPr="009A41D5" w:rsidRDefault="009A41D5" w:rsidP="009A41D5">
      <w:pPr>
        <w:numPr>
          <w:ilvl w:val="0"/>
          <w:numId w:val="4"/>
        </w:numPr>
        <w:spacing w:before="156" w:after="156" w:line="240" w:lineRule="auto"/>
        <w:ind w:left="3540"/>
        <w:rPr>
          <w:rFonts w:ascii="Arial" w:eastAsia="Times New Roman" w:hAnsi="Arial" w:cs="Arial"/>
          <w:color w:val="000000"/>
          <w:sz w:val="28"/>
          <w:szCs w:val="28"/>
        </w:rPr>
      </w:pPr>
      <w:r w:rsidRPr="009A41D5">
        <w:rPr>
          <w:rFonts w:ascii="Arial" w:eastAsia="Times New Roman" w:hAnsi="Arial" w:cs="Arial"/>
          <w:color w:val="000000"/>
          <w:sz w:val="28"/>
          <w:szCs w:val="28"/>
        </w:rPr>
        <w:t>At least one of the capability words required for Request Management</w:t>
      </w:r>
    </w:p>
    <w:p w:rsidR="009A41D5" w:rsidRPr="009A41D5" w:rsidRDefault="009A41D5" w:rsidP="009A41D5">
      <w:pPr>
        <w:spacing w:after="192" w:line="240" w:lineRule="auto"/>
        <w:rPr>
          <w:rFonts w:ascii="Arial" w:eastAsia="Times New Roman" w:hAnsi="Arial" w:cs="Arial"/>
          <w:color w:val="000000"/>
          <w:sz w:val="28"/>
          <w:szCs w:val="28"/>
        </w:rPr>
      </w:pPr>
      <w:r w:rsidRPr="009A41D5">
        <w:rPr>
          <w:rFonts w:ascii="Arial" w:eastAsia="Times New Roman" w:hAnsi="Arial" w:cs="Arial"/>
          <w:color w:val="000000"/>
          <w:sz w:val="28"/>
          <w:szCs w:val="28"/>
        </w:rPr>
        <w:t xml:space="preserve">If, however, </w:t>
      </w:r>
      <w:proofErr w:type="spellStart"/>
      <w:r w:rsidRPr="009A41D5">
        <w:rPr>
          <w:rFonts w:ascii="Arial" w:eastAsia="Times New Roman" w:hAnsi="Arial" w:cs="Arial"/>
          <w:color w:val="000000"/>
          <w:sz w:val="28"/>
          <w:szCs w:val="28"/>
        </w:rPr>
        <w:t>Change.Approver</w:t>
      </w:r>
      <w:proofErr w:type="spellEnd"/>
      <w:r w:rsidRPr="009A41D5">
        <w:rPr>
          <w:rFonts w:ascii="Arial" w:eastAsia="Times New Roman" w:hAnsi="Arial" w:cs="Arial"/>
          <w:color w:val="000000"/>
          <w:sz w:val="28"/>
          <w:szCs w:val="28"/>
        </w:rPr>
        <w:t xml:space="preserve"> only wants to delegate Service Catalog approvals, then potential delegates are only required to have view rights for the Service Desk application.</w:t>
      </w:r>
    </w:p>
    <w:p w:rsidR="009A41D5" w:rsidRPr="009A41D5" w:rsidRDefault="009A41D5" w:rsidP="009A41D5">
      <w:pPr>
        <w:spacing w:after="192" w:line="240" w:lineRule="auto"/>
        <w:rPr>
          <w:rFonts w:ascii="Arial" w:eastAsia="Times New Roman" w:hAnsi="Arial" w:cs="Arial"/>
          <w:color w:val="000000"/>
          <w:sz w:val="28"/>
          <w:szCs w:val="28"/>
        </w:rPr>
      </w:pPr>
      <w:r w:rsidRPr="009A41D5">
        <w:rPr>
          <w:rFonts w:ascii="Arial" w:eastAsia="Times New Roman" w:hAnsi="Arial" w:cs="Arial"/>
          <w:color w:val="000000"/>
          <w:sz w:val="28"/>
          <w:szCs w:val="28"/>
        </w:rPr>
        <w:lastRenderedPageBreak/>
        <w:t>In some cases, you may not see any qualified operators. You may also want to delegate to an operator who is not currently on the list of qualified operators. In either case, ask your System Administrator to grant the desired operator the necessary rights to be an approval delegate.</w:t>
      </w:r>
    </w:p>
    <w:p w:rsidR="009A41D5" w:rsidRPr="009A41D5" w:rsidRDefault="009A41D5" w:rsidP="009A41D5">
      <w:pPr>
        <w:spacing w:after="156" w:line="240" w:lineRule="auto"/>
        <w:rPr>
          <w:rFonts w:ascii="Arial" w:eastAsia="Times New Roman" w:hAnsi="Arial" w:cs="Arial"/>
          <w:color w:val="000000"/>
          <w:sz w:val="28"/>
          <w:szCs w:val="28"/>
        </w:rPr>
      </w:pPr>
      <w:hyperlink r:id="rId5" w:history="1">
        <w:r w:rsidRPr="009A41D5">
          <w:rPr>
            <w:rFonts w:ascii="Arial" w:eastAsia="Times New Roman" w:hAnsi="Arial" w:cs="Arial"/>
            <w:noProof/>
            <w:color w:val="1D868B"/>
            <w:sz w:val="28"/>
            <w:szCs w:val="28"/>
          </w:rPr>
          <w:drawing>
            <wp:inline distT="0" distB="0" distL="0" distR="0" wp14:anchorId="1E52865E" wp14:editId="01BDFE4F">
              <wp:extent cx="152400" cy="85725"/>
              <wp:effectExtent l="0" t="0" r="0" b="0"/>
              <wp:docPr id="1" name="Picture 1" descr="Clos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9A41D5">
          <w:rPr>
            <w:rFonts w:ascii="Arial" w:eastAsia="Times New Roman" w:hAnsi="Arial" w:cs="Arial"/>
            <w:color w:val="1D868B"/>
            <w:sz w:val="28"/>
            <w:szCs w:val="28"/>
          </w:rPr>
          <w:t>Click here to show or hide links to related topics.</w:t>
        </w:r>
      </w:hyperlink>
    </w:p>
    <w:p w:rsidR="00F4590C" w:rsidRDefault="00F4590C">
      <w:bookmarkStart w:id="0" w:name="_GoBack"/>
      <w:bookmarkEnd w:id="0"/>
    </w:p>
    <w:sectPr w:rsidR="00F4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F47CB"/>
    <w:multiLevelType w:val="multilevel"/>
    <w:tmpl w:val="E31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D5"/>
    <w:rsid w:val="009A41D5"/>
    <w:rsid w:val="00F4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F8BD8-3821-4066-B941-D5583780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837097">
      <w:bodyDiv w:val="1"/>
      <w:marLeft w:val="0"/>
      <w:marRight w:val="0"/>
      <w:marTop w:val="0"/>
      <w:marBottom w:val="0"/>
      <w:divBdr>
        <w:top w:val="none" w:sz="0" w:space="0" w:color="auto"/>
        <w:left w:val="none" w:sz="0" w:space="0" w:color="auto"/>
        <w:bottom w:val="none" w:sz="0" w:space="0" w:color="auto"/>
        <w:right w:val="none" w:sz="0" w:space="0" w:color="auto"/>
      </w:divBdr>
      <w:divsChild>
        <w:div w:id="1595430347">
          <w:marLeft w:val="0"/>
          <w:marRight w:val="0"/>
          <w:marTop w:val="0"/>
          <w:marBottom w:val="0"/>
          <w:divBdr>
            <w:top w:val="none" w:sz="0" w:space="0" w:color="auto"/>
            <w:left w:val="none" w:sz="0" w:space="0" w:color="auto"/>
            <w:bottom w:val="none" w:sz="0" w:space="0" w:color="auto"/>
            <w:right w:val="none" w:sz="0" w:space="0" w:color="auto"/>
          </w:divBdr>
          <w:divsChild>
            <w:div w:id="1408919825">
              <w:marLeft w:val="0"/>
              <w:marRight w:val="0"/>
              <w:marTop w:val="0"/>
              <w:marBottom w:val="0"/>
              <w:divBdr>
                <w:top w:val="none" w:sz="0" w:space="0" w:color="auto"/>
                <w:left w:val="none" w:sz="0" w:space="0" w:color="auto"/>
                <w:bottom w:val="none" w:sz="0" w:space="0" w:color="auto"/>
                <w:right w:val="none" w:sz="0" w:space="0" w:color="auto"/>
              </w:divBdr>
              <w:divsChild>
                <w:div w:id="704211614">
                  <w:marLeft w:val="0"/>
                  <w:marRight w:val="0"/>
                  <w:marTop w:val="0"/>
                  <w:marBottom w:val="0"/>
                  <w:divBdr>
                    <w:top w:val="none" w:sz="0" w:space="0" w:color="auto"/>
                    <w:left w:val="none" w:sz="0" w:space="0" w:color="auto"/>
                    <w:bottom w:val="none" w:sz="0" w:space="0" w:color="auto"/>
                    <w:right w:val="none" w:sz="0" w:space="0" w:color="auto"/>
                  </w:divBdr>
                  <w:divsChild>
                    <w:div w:id="1895382762">
                      <w:marLeft w:val="3300"/>
                      <w:marRight w:val="0"/>
                      <w:marTop w:val="0"/>
                      <w:marBottom w:val="0"/>
                      <w:divBdr>
                        <w:top w:val="none" w:sz="0" w:space="0" w:color="auto"/>
                        <w:left w:val="none" w:sz="0" w:space="0" w:color="auto"/>
                        <w:bottom w:val="none" w:sz="0" w:space="0" w:color="auto"/>
                        <w:right w:val="none" w:sz="0" w:space="0" w:color="auto"/>
                      </w:divBdr>
                      <w:divsChild>
                        <w:div w:id="420836430">
                          <w:marLeft w:val="0"/>
                          <w:marRight w:val="0"/>
                          <w:marTop w:val="0"/>
                          <w:marBottom w:val="480"/>
                          <w:divBdr>
                            <w:top w:val="none" w:sz="0" w:space="0" w:color="auto"/>
                            <w:left w:val="none" w:sz="0" w:space="0" w:color="auto"/>
                            <w:bottom w:val="none" w:sz="0" w:space="0" w:color="auto"/>
                            <w:right w:val="none" w:sz="0" w:space="0" w:color="auto"/>
                          </w:divBdr>
                        </w:div>
                        <w:div w:id="1934514982">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Garima</dc:creator>
  <cp:keywords/>
  <dc:description/>
  <cp:lastModifiedBy>KUMAR Garima</cp:lastModifiedBy>
  <cp:revision>1</cp:revision>
  <dcterms:created xsi:type="dcterms:W3CDTF">2018-05-16T05:45:00Z</dcterms:created>
  <dcterms:modified xsi:type="dcterms:W3CDTF">2018-05-16T05:45:00Z</dcterms:modified>
</cp:coreProperties>
</file>