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B2B2B"/>
          <w:sz w:val="36"/>
          <w:szCs w:val="36"/>
        </w:rPr>
        <w:t xml:space="preserve">BRIDGE FLEX — TRAINING &amp; ONBOARDING MODULES</w:t>
      </w:r>
    </w:p>
    <w:p>
      <w:pPr>
        <w:spacing w:after="120"/>
      </w:pPr>
      <w:r>
        <w:rPr>
          <w:i/>
          <w:iCs/>
          <w:color w:val="666666"/>
          <w:sz w:val="22"/>
          <w:szCs w:val="22"/>
        </w:rPr>
        <w:t xml:space="preserve">Spec for Chris — App Training Content Build (Phase 2)</w:t>
      </w:r>
    </w:p>
    <w:p>
      <w:pPr>
        <w:spacing w:after="300"/>
      </w:pPr>
      <w:r>
        <w:rPr>
          <w:color w:val="2B2B2B"/>
          <w:sz w:val="21"/>
          <w:szCs w:val="21"/>
        </w:rPr>
        <w:t xml:space="preserve">Modules 1 (What a UK Nursery Looks Like) and 2 (Nursery Daily Routine) are already built. This is the next batch — please build Modules 3, 4 and 5 next.</w:t>
      </w:r>
    </w:p>
    <w:p>
      <w:pPr>
        <w:pStyle w:val="Heading1"/>
        <w:pBdr>
          <w:bottom w:val="single" w:color="4A6FA5" w:sz="6" w:space="4"/>
        </w:pBdr>
        <w:spacing w:after="160" w:before="360"/>
      </w:pPr>
      <w:r>
        <w:rPr>
          <w:b/>
          <w:bCs/>
          <w:color w:val="2B2B2B"/>
          <w:sz w:val="26"/>
          <w:szCs w:val="26"/>
        </w:rPr>
        <w:t xml:space="preserve">Module 3: Choking &amp; Safety Hazards</w:t>
      </w:r>
    </w:p>
    <w:p>
      <w:pPr>
        <w:spacing w:after="60" w:before="120"/>
      </w:pPr>
      <w:r>
        <w:rPr>
          <w:b/>
          <w:bCs/>
          <w:color w:val="4A6FA5"/>
          <w:sz w:val="21"/>
          <w:szCs w:val="21"/>
        </w:rPr>
        <w:t xml:space="preserve">Purpose</w:t>
      </w:r>
    </w:p>
    <w:p>
      <w:pPr>
        <w:spacing w:after="160"/>
      </w:pPr>
      <w:r>
        <w:rPr>
          <w:color w:val="2B2B2B"/>
          <w:sz w:val="21"/>
          <w:szCs w:val="21"/>
        </w:rPr>
        <w:t xml:space="preserve">Every practitioner must recognise choking and everyday safety hazards immediately — this is a core safeguarding requirement, not optional viewing.</w:t>
      </w:r>
    </w:p>
    <w:p>
      <w:pPr>
        <w:spacing w:after="60" w:before="120"/>
      </w:pPr>
      <w:r>
        <w:rPr>
          <w:b/>
          <w:bCs/>
          <w:color w:val="4A6FA5"/>
          <w:sz w:val="21"/>
          <w:szCs w:val="21"/>
        </w:rPr>
        <w:t xml:space="preserve">Content Outline</w:t>
      </w:r>
    </w:p>
    <w:p>
      <w:pPr>
        <w:pStyle w:val="ListParagraph"/>
        <w:numPr>
          <w:ilvl w:val="0"/>
          <w:numId w:val="2"/>
        </w:numPr>
        <w:spacing w:after="80"/>
      </w:pPr>
      <w:r>
        <w:rPr>
          <w:color w:val="2B2B2B"/>
          <w:sz w:val="21"/>
          <w:szCs w:val="21"/>
        </w:rPr>
        <w:t xml:space="preserve">Common choking hazards by age group — small toys, grapes/cherry tomatoes whole, nuts, hard sweets, coins, balloons</w:t>
      </w:r>
    </w:p>
    <w:p>
      <w:pPr>
        <w:pStyle w:val="ListParagraph"/>
        <w:numPr>
          <w:ilvl w:val="0"/>
          <w:numId w:val="2"/>
        </w:numPr>
        <w:spacing w:after="80"/>
      </w:pPr>
      <w:r>
        <w:rPr>
          <w:color w:val="2B2B2B"/>
          <w:sz w:val="21"/>
          <w:szCs w:val="21"/>
        </w:rPr>
        <w:t xml:space="preserve">Safe food preparation — cutting round foods lengthways, age-appropriate portion sizes and textures</w:t>
      </w:r>
    </w:p>
    <w:p>
      <w:pPr>
        <w:pStyle w:val="ListParagraph"/>
        <w:numPr>
          <w:ilvl w:val="0"/>
          <w:numId w:val="2"/>
        </w:numPr>
        <w:spacing w:after="80"/>
      </w:pPr>
      <w:r>
        <w:rPr>
          <w:color w:val="2B2B2B"/>
          <w:sz w:val="21"/>
          <w:szCs w:val="21"/>
        </w:rPr>
        <w:t xml:space="preserve">Recognising a choking child — signs of distress, silent choking vs. coughing</w:t>
      </w:r>
    </w:p>
    <w:p>
      <w:pPr>
        <w:pStyle w:val="ListParagraph"/>
        <w:numPr>
          <w:ilvl w:val="0"/>
          <w:numId w:val="2"/>
        </w:numPr>
        <w:spacing w:after="80"/>
      </w:pPr>
      <w:r>
        <w:rPr>
          <w:color w:val="2B2B2B"/>
          <w:sz w:val="21"/>
          <w:szCs w:val="21"/>
        </w:rPr>
        <w:t xml:space="preserve">Immediate response — back blows and abdominal thrusts per paediatric first aid guidance, calling for senior staff, when to call 999</w:t>
      </w:r>
    </w:p>
    <w:p>
      <w:pPr>
        <w:pStyle w:val="ListParagraph"/>
        <w:numPr>
          <w:ilvl w:val="0"/>
          <w:numId w:val="2"/>
        </w:numPr>
        <w:spacing w:after="80"/>
      </w:pPr>
      <w:r>
        <w:rPr>
          <w:color w:val="2B2B2B"/>
          <w:sz w:val="21"/>
          <w:szCs w:val="21"/>
        </w:rPr>
        <w:t xml:space="preserve">Other everyday hazards — trailing cords, hot drinks left in reach, unsecured furniture, cleaning products</w:t>
      </w:r>
    </w:p>
    <w:p>
      <w:pPr>
        <w:pStyle w:val="ListParagraph"/>
        <w:numPr>
          <w:ilvl w:val="0"/>
          <w:numId w:val="2"/>
        </w:numPr>
        <w:spacing w:after="80"/>
      </w:pPr>
      <w:r>
        <w:rPr>
          <w:color w:val="2B2B2B"/>
          <w:sz w:val="21"/>
          <w:szCs w:val="21"/>
        </w:rPr>
        <w:t xml:space="preserve">Reporting — how an incident or near-miss must be logged and reported to the room leader/manager</w:t>
      </w:r>
    </w:p>
    <w:p>
      <w:pPr>
        <w:spacing w:after="160" w:before="80"/>
      </w:pPr>
      <w:r>
        <w:rPr>
          <w:i/>
          <w:iCs/>
          <w:color w:val="666666"/>
          <w:sz w:val="20"/>
          <w:szCs w:val="20"/>
        </w:rPr>
        <w:t xml:space="preserve">Note for Chris: this module should link to (or clearly state it does not replace) a recognised paediatric first aid certification — it's an awareness refresher, not a substitute for accredited training.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5FA" w:val="clear"/>
            <w:tcMar>
              <w:top w:type="dxa" w:w="160"/>
              <w:left w:type="dxa" w:w="200"/>
              <w:bottom w:type="dxa" w:w="160"/>
              <w:right w:type="dxa" w:w="200"/>
            </w:tcMar>
          </w:tcPr>
          <w:p>
            <w:pPr>
              <w:spacing w:after="60"/>
            </w:pPr>
            <w:r>
              <w:rPr>
                <w:b/>
                <w:bCs/>
                <w:color w:val="4A6FA5"/>
                <w:sz w:val="20"/>
                <w:szCs w:val="20"/>
              </w:rPr>
              <w:t xml:space="preserve">3D VIDEO GENERATION PROMPT</w:t>
            </w:r>
          </w:p>
          <w:p>
            <w:r>
              <w:rPr>
                <w:i/>
                <w:iCs/>
                <w:color w:val="2B2B2B"/>
                <w:sz w:val="20"/>
                <w:szCs w:val="20"/>
              </w:rPr>
              <w:t xml:space="preserve">Create a clear, detailed 3D animated safety-awareness video for a childcare training app, aimed at someone who has never worked in a UK nursery before and needs to genuinely learn this, not just skim it. Walk through, step by step: a stylised nursery table setting with common choking-hazard foods (grapes, cherry tomatoes, nuts, hard sweets, coins, balloons) labelled clearly one at a time; a close-up demonstration of safe food preparation (cutting round foods lengthways, age-appropriate portions and textures); a sequence showing the signs of a choking child (distress, silent choking vs. coughing) presented calmly and clearly rather than glossed over; a full demonstration of the immediate response (back blows, abdominal thrusts per paediatric first aid guidance, calling a senior colleague, when to call 999); then a walkthrough of everyday hazards around the room (trailing cords, hot drinks, unsecured furniture, cleaning products) with the camera pausing on each one; and finally a short sequence on how to log and report an incident or near-miss. Reassuring and instructional tone throughout, soft colours, no realistic depictions of choking or distress, generic character placeholders only. This should run long enough to properly teach each point, not rush through it — aim for a full, unhurried explainer rather than a quick refresher.</w:t>
            </w:r>
          </w:p>
        </w:tc>
      </w:tr>
    </w:tbl>
    <w:p>
      <w:pPr>
        <w:pStyle w:val="Heading1"/>
        <w:pBdr>
          <w:bottom w:val="single" w:color="4A6FA5" w:sz="6" w:space="4"/>
        </w:pBdr>
        <w:spacing w:after="160" w:before="360"/>
      </w:pPr>
      <w:r>
        <w:rPr>
          <w:b/>
          <w:bCs/>
          <w:color w:val="2B2B2B"/>
          <w:sz w:val="26"/>
          <w:szCs w:val="26"/>
        </w:rPr>
        <w:t xml:space="preserve">Module 4: Mealtime Routines &amp; Etiquette</w:t>
      </w:r>
    </w:p>
    <w:p>
      <w:pPr>
        <w:spacing w:after="60" w:before="120"/>
      </w:pPr>
      <w:r>
        <w:rPr>
          <w:b/>
          <w:bCs/>
          <w:color w:val="4A6FA5"/>
          <w:sz w:val="21"/>
          <w:szCs w:val="21"/>
        </w:rPr>
        <w:t xml:space="preserve">Purpose</w:t>
      </w:r>
    </w:p>
    <w:p>
      <w:pPr>
        <w:spacing w:after="160"/>
      </w:pPr>
      <w:r>
        <w:rPr>
          <w:color w:val="2B2B2B"/>
          <w:sz w:val="21"/>
          <w:szCs w:val="21"/>
        </w:rPr>
        <w:t xml:space="preserve">Explain how mealtimes actually run in a UK nursery — seating, portioning, independence-building, and hygiene — so a new starter can step straight into supporting a meal.</w:t>
      </w:r>
    </w:p>
    <w:p>
      <w:pPr>
        <w:spacing w:after="60" w:before="120"/>
      </w:pPr>
      <w:r>
        <w:rPr>
          <w:b/>
          <w:bCs/>
          <w:color w:val="4A6FA5"/>
          <w:sz w:val="21"/>
          <w:szCs w:val="21"/>
        </w:rPr>
        <w:t xml:space="preserve">Content Outline</w:t>
      </w:r>
    </w:p>
    <w:p>
      <w:pPr>
        <w:pStyle w:val="ListParagraph"/>
        <w:numPr>
          <w:ilvl w:val="0"/>
          <w:numId w:val="2"/>
        </w:numPr>
        <w:spacing w:after="80"/>
      </w:pPr>
      <w:r>
        <w:rPr>
          <w:color w:val="2B2B2B"/>
          <w:sz w:val="21"/>
          <w:szCs w:val="21"/>
        </w:rPr>
        <w:t xml:space="preserve">Before the meal — handwashing routine for children and staff, wiping tables, setting out plates/cups</w:t>
      </w:r>
    </w:p>
    <w:p>
      <w:pPr>
        <w:pStyle w:val="ListParagraph"/>
        <w:numPr>
          <w:ilvl w:val="0"/>
          <w:numId w:val="2"/>
        </w:numPr>
        <w:spacing w:after="80"/>
      </w:pPr>
      <w:r>
        <w:rPr>
          <w:color w:val="2B2B2B"/>
          <w:sz w:val="21"/>
          <w:szCs w:val="21"/>
        </w:rPr>
        <w:t xml:space="preserve">Seating — small groups at low tables, key worker or assigned staff sitting with children, not standing over them</w:t>
      </w:r>
    </w:p>
    <w:p>
      <w:pPr>
        <w:pStyle w:val="ListParagraph"/>
        <w:numPr>
          <w:ilvl w:val="0"/>
          <w:numId w:val="2"/>
        </w:numPr>
        <w:spacing w:after="80"/>
      </w:pPr>
      <w:r>
        <w:rPr>
          <w:color w:val="2B2B2B"/>
          <w:sz w:val="21"/>
          <w:szCs w:val="21"/>
        </w:rPr>
        <w:t xml:space="preserve">Serving — age-appropriate portions, encouraging children to self-serve where possible (spooning, pouring from small jugs)</w:t>
      </w:r>
    </w:p>
    <w:p>
      <w:pPr>
        <w:pStyle w:val="ListParagraph"/>
        <w:numPr>
          <w:ilvl w:val="0"/>
          <w:numId w:val="2"/>
        </w:numPr>
        <w:spacing w:after="80"/>
      </w:pPr>
      <w:r>
        <w:rPr>
          <w:color w:val="2B2B2B"/>
          <w:sz w:val="21"/>
          <w:szCs w:val="21"/>
        </w:rPr>
        <w:t xml:space="preserve">Supporting independence — letting children use cutlery appropriate to age, praising rather than rushing</w:t>
      </w:r>
    </w:p>
    <w:p>
      <w:pPr>
        <w:pStyle w:val="ListParagraph"/>
        <w:numPr>
          <w:ilvl w:val="0"/>
          <w:numId w:val="2"/>
        </w:numPr>
        <w:spacing w:after="80"/>
      </w:pPr>
      <w:r>
        <w:rPr>
          <w:color w:val="2B2B2B"/>
          <w:sz w:val="21"/>
          <w:szCs w:val="21"/>
        </w:rPr>
        <w:t xml:space="preserve">Allergies and dietary needs — checking the room's allergy list before serving, never assuming, always double-checking with a senior member of staff</w:t>
      </w:r>
    </w:p>
    <w:p>
      <w:pPr>
        <w:pStyle w:val="ListParagraph"/>
        <w:numPr>
          <w:ilvl w:val="0"/>
          <w:numId w:val="2"/>
        </w:numPr>
        <w:spacing w:after="80"/>
      </w:pPr>
      <w:r>
        <w:rPr>
          <w:color w:val="2B2B2B"/>
          <w:sz w:val="21"/>
          <w:szCs w:val="21"/>
        </w:rPr>
        <w:t xml:space="preserve">Conversation and modelling — staff talking with children during the meal, modelling manners (please, thank you), not just supervising in silence</w:t>
      </w:r>
    </w:p>
    <w:p>
      <w:pPr>
        <w:pStyle w:val="ListParagraph"/>
        <w:numPr>
          <w:ilvl w:val="0"/>
          <w:numId w:val="2"/>
        </w:numPr>
        <w:spacing w:after="80"/>
      </w:pPr>
      <w:r>
        <w:rPr>
          <w:color w:val="2B2B2B"/>
          <w:sz w:val="21"/>
          <w:szCs w:val="21"/>
        </w:rPr>
        <w:t xml:space="preserve">After the meal — clearing away, wiping faces and hands, toileting/nappy changes, brief quiet time before the next activity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5FA" w:val="clear"/>
            <w:tcMar>
              <w:top w:type="dxa" w:w="160"/>
              <w:left w:type="dxa" w:w="200"/>
              <w:bottom w:type="dxa" w:w="160"/>
              <w:right w:type="dxa" w:w="200"/>
            </w:tcMar>
          </w:tcPr>
          <w:p>
            <w:pPr>
              <w:spacing w:after="60"/>
            </w:pPr>
            <w:r>
              <w:rPr>
                <w:b/>
                <w:bCs/>
                <w:color w:val="4A6FA5"/>
                <w:sz w:val="20"/>
                <w:szCs w:val="20"/>
              </w:rPr>
              <w:t xml:space="preserve">3D VIDEO GENERATION PROMPT</w:t>
            </w:r>
          </w:p>
          <w:p>
            <w:r>
              <w:rPr>
                <w:i/>
                <w:iCs/>
                <w:color w:val="2B2B2B"/>
                <w:sz w:val="20"/>
                <w:szCs w:val="20"/>
              </w:rPr>
              <w:t xml:space="preserve">Create a warm, detailed 3D animated video walking through a full UK nursery mealtime from start to finish, for someone who has never seen how this actually works in practice. Show, in sequence with enough time on each step to actually explain it: the pre-meal routine (handwashing for children and staff, wiping tables, setting out plates and cups); the seating arrangement (small groups at low tables, a staff figure sitting alongside child-height silhouette characters rather than standing over them); serving (age-appropriate portions, children self-serving where possible — spooning, pouring from small jugs); a moment demonstrating how staff check the room's allergy list and double-check with a colleague before serving; a scene of staff modelling conversation and manners at the table (please, thank you) rather than sitting in silence; and the after-meal routine (clearing away, wiping faces and hands, brief quiet time before the next activity). Bright, friendly, calm mealtime atmosphere, no real children or staff, generic character placeholders only. This should be a full, unhurried walkthrough rather than a quick highlight reel.</w:t>
            </w:r>
          </w:p>
        </w:tc>
      </w:tr>
    </w:tbl>
    <w:p>
      <w:pPr>
        <w:pStyle w:val="Heading1"/>
        <w:pBdr>
          <w:bottom w:val="single" w:color="4A6FA5" w:sz="6" w:space="4"/>
        </w:pBdr>
        <w:spacing w:after="160" w:before="360"/>
      </w:pPr>
      <w:r>
        <w:rPr>
          <w:b/>
          <w:bCs/>
          <w:color w:val="2B2B2B"/>
          <w:sz w:val="26"/>
          <w:szCs w:val="26"/>
        </w:rPr>
        <w:t xml:space="preserve">Module 5: Play &amp; Activity Time</w:t>
      </w:r>
    </w:p>
    <w:p>
      <w:pPr>
        <w:spacing w:after="60" w:before="120"/>
      </w:pPr>
      <w:r>
        <w:rPr>
          <w:b/>
          <w:bCs/>
          <w:color w:val="4A6FA5"/>
          <w:sz w:val="21"/>
          <w:szCs w:val="21"/>
        </w:rPr>
        <w:t xml:space="preserve">Purpose</w:t>
      </w:r>
    </w:p>
    <w:p>
      <w:pPr>
        <w:spacing w:after="160"/>
      </w:pPr>
      <w:r>
        <w:rPr>
          <w:color w:val="2B2B2B"/>
          <w:sz w:val="21"/>
          <w:szCs w:val="21"/>
        </w:rPr>
        <w:t xml:space="preserve">Help a new starter understand what 'good' play support looks like — not just supervising, but engaging, extending, and linking play to learning.</w:t>
      </w:r>
    </w:p>
    <w:p>
      <w:pPr>
        <w:spacing w:after="60" w:before="120"/>
      </w:pPr>
      <w:r>
        <w:rPr>
          <w:b/>
          <w:bCs/>
          <w:color w:val="4A6FA5"/>
          <w:sz w:val="21"/>
          <w:szCs w:val="21"/>
        </w:rPr>
        <w:t xml:space="preserve">Content Outline</w:t>
      </w:r>
    </w:p>
    <w:p>
      <w:pPr>
        <w:pStyle w:val="ListParagraph"/>
        <w:numPr>
          <w:ilvl w:val="0"/>
          <w:numId w:val="2"/>
        </w:numPr>
        <w:spacing w:after="80"/>
      </w:pPr>
      <w:r>
        <w:rPr>
          <w:color w:val="2B2B2B"/>
          <w:sz w:val="21"/>
          <w:szCs w:val="21"/>
        </w:rPr>
        <w:t xml:space="preserve">Types of play — free play, adult-led structured activity, small group activity, outdoor play</w:t>
      </w:r>
    </w:p>
    <w:p>
      <w:pPr>
        <w:pStyle w:val="ListParagraph"/>
        <w:numPr>
          <w:ilvl w:val="0"/>
          <w:numId w:val="2"/>
        </w:numPr>
        <w:spacing w:after="80"/>
      </w:pPr>
      <w:r>
        <w:rPr>
          <w:color w:val="2B2B2B"/>
          <w:sz w:val="21"/>
          <w:szCs w:val="21"/>
        </w:rPr>
        <w:t xml:space="preserve">Role of the adult — getting down to the child's level, following their lead, asking open questions rather than closed ones</w:t>
      </w:r>
    </w:p>
    <w:p>
      <w:pPr>
        <w:pStyle w:val="ListParagraph"/>
        <w:numPr>
          <w:ilvl w:val="0"/>
          <w:numId w:val="2"/>
        </w:numPr>
        <w:spacing w:after="80"/>
      </w:pPr>
      <w:r>
        <w:rPr>
          <w:color w:val="2B2B2B"/>
          <w:sz w:val="21"/>
          <w:szCs w:val="21"/>
        </w:rPr>
        <w:t xml:space="preserve">Setting up an activity area — rotating resources, keeping areas inviting and age-appropriate, tidying as you go</w:t>
      </w:r>
    </w:p>
    <w:p>
      <w:pPr>
        <w:pStyle w:val="ListParagraph"/>
        <w:numPr>
          <w:ilvl w:val="0"/>
          <w:numId w:val="2"/>
        </w:numPr>
        <w:spacing w:after="80"/>
      </w:pPr>
      <w:r>
        <w:rPr>
          <w:color w:val="2B2B2B"/>
          <w:sz w:val="21"/>
          <w:szCs w:val="21"/>
        </w:rPr>
        <w:t xml:space="preserve">Supporting different ages in the same session — adapting the same activity for a 2-year-old vs. a 4-year-old</w:t>
      </w:r>
    </w:p>
    <w:p>
      <w:pPr>
        <w:pStyle w:val="ListParagraph"/>
        <w:numPr>
          <w:ilvl w:val="0"/>
          <w:numId w:val="2"/>
        </w:numPr>
        <w:spacing w:after="80"/>
      </w:pPr>
      <w:r>
        <w:rPr>
          <w:color w:val="2B2B2B"/>
          <w:sz w:val="21"/>
          <w:szCs w:val="21"/>
        </w:rPr>
        <w:t xml:space="preserve">Linking play to learning — briefly noting which EYFS area an activity supports (fine motor, communication, personal-social)</w:t>
      </w:r>
    </w:p>
    <w:p>
      <w:pPr>
        <w:pStyle w:val="ListParagraph"/>
        <w:numPr>
          <w:ilvl w:val="0"/>
          <w:numId w:val="2"/>
        </w:numPr>
        <w:spacing w:after="80"/>
      </w:pPr>
      <w:r>
        <w:rPr>
          <w:color w:val="2B2B2B"/>
          <w:sz w:val="21"/>
          <w:szCs w:val="21"/>
        </w:rPr>
        <w:t xml:space="preserve">Transitions — how staff signal the end of an activity (tidy-up song, visual timer) and move the group to the next part of the routine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5FA" w:val="clear"/>
            <w:tcMar>
              <w:top w:type="dxa" w:w="160"/>
              <w:left w:type="dxa" w:w="200"/>
              <w:bottom w:type="dxa" w:w="160"/>
              <w:right w:type="dxa" w:w="200"/>
            </w:tcMar>
          </w:tcPr>
          <w:p>
            <w:pPr>
              <w:spacing w:after="60"/>
            </w:pPr>
            <w:r>
              <w:rPr>
                <w:b/>
                <w:bCs/>
                <w:color w:val="4A6FA5"/>
                <w:sz w:val="20"/>
                <w:szCs w:val="20"/>
              </w:rPr>
              <w:t xml:space="preserve">3D VIDEO GENERATION PROMPT</w:t>
            </w:r>
          </w:p>
          <w:p>
            <w:r>
              <w:rPr>
                <w:i/>
                <w:iCs/>
                <w:color w:val="2B2B2B"/>
                <w:sz w:val="20"/>
                <w:szCs w:val="20"/>
              </w:rPr>
              <w:t xml:space="preserve">Create a lively but calm, detailed 3D animated video that properly teaches what good play support looks like in a UK nursery, for a viewer with no prior nursery experience. Move through each activity zone in turn — construction corner, sensory/messy-play table, reading nook, and outdoor play area — spending enough time at each to show, not just imply, the adult's role: getting down to the child's level, following the child's lead, asking open questions rather than closed ones. Include a clear side-by-side moment showing the same activity being gently adapted for a 2-year-old versus a 4-year-old. Add a brief on-screen or narrated note at each zone linking the activity to the EYFS area it supports (fine motor, communication, personal-social). End with a demonstration of a tidy-up transition (tidy-up song or visual timer) moving the group to the next part of the routine. Bright, colourful, energetic but not chaotic, no real people, generic character placeholders only. This should be a full explainer, not a fast highlight montage.</w:t>
            </w:r>
          </w:p>
        </w:tc>
      </w:tr>
    </w:tbl>
    <w:p>
      <w:pPr>
        <w:pStyle w:val="Heading1"/>
        <w:pBdr>
          <w:bottom w:val="single" w:color="4A6FA5" w:sz="6" w:space="4"/>
        </w:pBdr>
        <w:spacing w:after="160" w:before="360"/>
      </w:pPr>
      <w:r>
        <w:rPr>
          <w:b/>
          <w:bCs/>
          <w:color w:val="2B2B2B"/>
          <w:sz w:val="26"/>
          <w:szCs w:val="26"/>
        </w:rPr>
        <w:t xml:space="preserve">Notes for Chris</w:t>
      </w:r>
    </w:p>
    <w:p>
      <w:pPr>
        <w:pStyle w:val="ListParagraph"/>
        <w:numPr>
          <w:ilvl w:val="0"/>
          <w:numId w:val="2"/>
        </w:numPr>
        <w:spacing w:after="80"/>
      </w:pPr>
      <w:r>
        <w:rPr>
          <w:color w:val="2B2B2B"/>
          <w:sz w:val="21"/>
          <w:szCs w:val="21"/>
        </w:rPr>
        <w:t xml:space="preserve">Modules 1 and 2 are live — this batch (3, 4, 5) is the next build.</w:t>
      </w:r>
    </w:p>
    <w:p>
      <w:pPr>
        <w:pStyle w:val="ListParagraph"/>
        <w:numPr>
          <w:ilvl w:val="0"/>
          <w:numId w:val="2"/>
        </w:numPr>
        <w:spacing w:after="80"/>
      </w:pPr>
      <w:r>
        <w:rPr>
          <w:color w:val="2B2B2B"/>
          <w:sz w:val="21"/>
          <w:szCs w:val="21"/>
        </w:rPr>
        <w:t xml:space="preserve">Same knowledge-check pattern as before — each module ends with a short 4–5 question check before it's marked complete on a practitioner's profile.</w:t>
      </w:r>
    </w:p>
    <w:p>
      <w:pPr>
        <w:pStyle w:val="ListParagraph"/>
        <w:numPr>
          <w:ilvl w:val="0"/>
          <w:numId w:val="2"/>
        </w:numPr>
        <w:spacing w:after="80"/>
      </w:pPr>
      <w:r>
        <w:rPr>
          <w:color w:val="2B2B2B"/>
          <w:sz w:val="21"/>
          <w:szCs w:val="21"/>
        </w:rPr>
        <w:t xml:space="preserve">These videos should be fully descriptive, not quick refreshers — most practitioners using this are new to UK nurseries and need to actually learn the content, not skim it. Let each video run as long as it needs to properly cover every point in the outline.</w:t>
      </w:r>
    </w:p>
    <w:p>
      <w:pPr>
        <w:pStyle w:val="ListParagraph"/>
        <w:numPr>
          <w:ilvl w:val="0"/>
          <w:numId w:val="2"/>
        </w:numPr>
        <w:spacing w:after="80"/>
      </w:pPr>
      <w:r>
        <w:rPr>
          <w:color w:val="2B2B2B"/>
          <w:sz w:val="21"/>
          <w:szCs w:val="21"/>
        </w:rPr>
        <w:t xml:space="preserve">Phase 3 (Modules 6–9: EYFS, Early Communication, Nursery Rhymes, Diverse Family Backgrounds) is next in the pipeline — separate spec to follow.</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2026-08-15T09:02:36.062Z</dcterms:created>
  <dcterms:modified xsi:type="dcterms:W3CDTF">2026-08-15T09:02:36.074Z</dcterms:modified>
</cp:coreProperties>
</file>

<file path=docProps/custom.xml><?xml version="1.0" encoding="utf-8"?>
<Properties xmlns="http://schemas.openxmlformats.org/officeDocument/2006/custom-properties" xmlns:vt="http://schemas.openxmlformats.org/officeDocument/2006/docPropsVTypes"/>
</file>