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7365D"/>
          <w:sz w:val="28"/>
        </w:rPr>
        <w:t>TBI-TRACT — Main Tables and Supplementary eTables</w:t>
      </w:r>
    </w:p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Manuscript-facing performance estimates derive from the locked rolling-origin temporal evaluations unless otherwise specified. Classification bootstrap confidence intervals use 500 fixed-prediction resamples; continuous-duration intervals use 1,000 resamples. Full-development deployment fits are reported only for reproducibility and are not treated as validation.</w:t>
      </w:r>
    </w:p>
    <w:p>
      <w:pPr>
        <w:keepNext/>
        <w:spacing w:before="0" w:after="100"/>
      </w:pPr>
      <w:r>
        <w:rPr>
          <w:rFonts w:ascii="Arial" w:hAnsi="Arial"/>
          <w:b/>
          <w:color w:val="17365D"/>
          <w:sz w:val="21"/>
        </w:rPr>
        <w:t>Table 1. Cohort characteristics and temporal case-mix stability.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  <w:cantSplit w:val="true"/>
        </w:trPr>
        <w:tc>
          <w:tcPr>
            <w:tcW w:type="dxa" w:w="3888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Characteristic</w:t>
            </w:r>
          </w:p>
        </w:tc>
        <w:tc>
          <w:tcPr>
            <w:tcW w:type="dxa" w:w="223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Overall 2020-2024</w:t>
            </w:r>
          </w:p>
        </w:tc>
        <w:tc>
          <w:tcPr>
            <w:tcW w:type="dxa" w:w="237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Development 2020-2023</w:t>
            </w:r>
          </w:p>
        </w:tc>
        <w:tc>
          <w:tcPr>
            <w:tcW w:type="dxa" w:w="223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2024 temporal cohort</w:t>
            </w:r>
          </w:p>
        </w:tc>
        <w:tc>
          <w:tcPr>
            <w:tcW w:type="dxa" w:w="158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Absolute SMD</w:t>
            </w:r>
          </w:p>
        </w:tc>
      </w:tr>
      <w:tr>
        <w:trPr>
          <w:cantSplit w:val="true"/>
        </w:trPr>
        <w:tc>
          <w:tcPr>
            <w:tcW w:type="dxa" w:w="3888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5"/>
              </w:rPr>
              <w:t>Cohort</w:t>
            </w:r>
          </w:p>
        </w:tc>
        <w:tc>
          <w:tcPr>
            <w:tcW w:type="dxa" w:w="223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  <w:tc>
          <w:tcPr>
            <w:tcW w:type="dxa" w:w="223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  <w:tc>
          <w:tcPr>
            <w:tcW w:type="dxa" w:w="158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755,880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604,006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151,874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3888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5"/>
              </w:rPr>
              <w:t>Demographics and neurologic status</w:t>
            </w:r>
          </w:p>
        </w:tc>
        <w:tc>
          <w:tcPr>
            <w:tcW w:type="dxa" w:w="223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  <w:tc>
          <w:tcPr>
            <w:tcW w:type="dxa" w:w="223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  <w:tc>
          <w:tcPr>
            <w:tcW w:type="dxa" w:w="158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Age, mean (SD), y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55.3 (21.3)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54.8 (21.3)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57.5 (21.2)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0.129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Male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64.0%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64.2%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62.9%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0.028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Female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35.8%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35.5%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36.9%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0.028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GCS 13-15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75.9%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75.7%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76.6%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0.022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GCS 9-12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5.2%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5.3%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5.2%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0.002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GCS 3-8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15.2%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15.3%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14.8%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0.015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Both pupils reactive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81.5%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81.4%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81.5%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0.002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Neither pupil reactive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6.4%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6.4%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6.2%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0.009</w:t>
            </w:r>
          </w:p>
        </w:tc>
      </w:tr>
      <w:tr>
        <w:trPr>
          <w:cantSplit w:val="true"/>
        </w:trPr>
        <w:tc>
          <w:tcPr>
            <w:tcW w:type="dxa" w:w="3888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5"/>
              </w:rPr>
              <w:t>Mechanism</w:t>
            </w:r>
          </w:p>
        </w:tc>
        <w:tc>
          <w:tcPr>
            <w:tcW w:type="dxa" w:w="223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  <w:tc>
          <w:tcPr>
            <w:tcW w:type="dxa" w:w="223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  <w:tc>
          <w:tcPr>
            <w:tcW w:type="dxa" w:w="158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Fall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46.8%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45.8%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50.8%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0.101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Transport-related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42.2%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43.0%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39.1%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0.079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Assault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6.4%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6.6%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5.6%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0.039</w:t>
            </w:r>
          </w:p>
        </w:tc>
      </w:tr>
      <w:tr>
        <w:trPr>
          <w:cantSplit w:val="true"/>
        </w:trPr>
        <w:tc>
          <w:tcPr>
            <w:tcW w:type="dxa" w:w="3888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5"/>
              </w:rPr>
              <w:t>Selected injury phenotypes</w:t>
            </w:r>
          </w:p>
        </w:tc>
        <w:tc>
          <w:tcPr>
            <w:tcW w:type="dxa" w:w="223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  <w:tc>
          <w:tcPr>
            <w:tcW w:type="dxa" w:w="223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  <w:tc>
          <w:tcPr>
            <w:tcW w:type="dxa" w:w="158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Concussion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30.7%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32.0%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25.5%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0.145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Subdural hematoma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40.0%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39.1%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43.5%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0.089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Traumatic subarachnoid hemorrhage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36.7%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36.2%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38.8%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0.053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Traumatic cerebral edema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5.3%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5.3%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5.4%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0.003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Diffuse axonal injury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2.2%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2.2%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2.0%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0.018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Contusion / intraparenchymal hemorrhage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21.9%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21.7%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22.5%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0.018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Cranial skull fracture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19.3%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19.4%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19.0%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0.010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Thoracic injury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30.3%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30.6%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29.3%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0.027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Abdominal / pelvic injury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21.9%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22.1%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21.1%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0.024</w:t>
            </w:r>
          </w:p>
        </w:tc>
      </w:tr>
      <w:tr>
        <w:trPr>
          <w:cantSplit w:val="true"/>
        </w:trPr>
        <w:tc>
          <w:tcPr>
            <w:tcW w:type="dxa" w:w="3888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5"/>
              </w:rPr>
              <w:t>Selected pre-existing conditions</w:t>
            </w:r>
          </w:p>
        </w:tc>
        <w:tc>
          <w:tcPr>
            <w:tcW w:type="dxa" w:w="223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  <w:tc>
          <w:tcPr>
            <w:tcW w:type="dxa" w:w="223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  <w:tc>
          <w:tcPr>
            <w:tcW w:type="dxa" w:w="158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5"/>
              </w:rPr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Anticoagulant therapy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14.5%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14.0%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16.4%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0.064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Hypertension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37.1%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36.4%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40.0%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0.075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Functional dependence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10.6%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9.9%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13.2%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0.104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Dementia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6.1%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5.9%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6.9%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0.040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Values are mean (SD) or %. Absolute standardized mean differences compare 2020–2023 with 2024 and describe magnitude of case-mix shift rather than statistical significance. GCS severity uses complete admission eye, verbal, and motor scores. Selected categorical rows omit unknown/missing levels, so displayed percentages need not sum to 100%. Race, ethnicity, and payer are reported in eTable 8.</w:t>
      </w:r>
    </w:p>
    <w:p>
      <w:r>
        <w:br w:type="page"/>
      </w:r>
    </w:p>
    <w:p>
      <w:pPr>
        <w:keepNext/>
        <w:spacing w:before="0" w:after="100"/>
      </w:pPr>
      <w:r>
        <w:rPr>
          <w:rFonts w:ascii="Arial" w:hAnsi="Arial"/>
          <w:b/>
          <w:color w:val="17365D"/>
          <w:sz w:val="21"/>
        </w:rPr>
        <w:t>Table 2. Performance of final TBI-TRACT prediction models.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A. Classification and trajectory probabilities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1483"/>
        <w:gridCol w:w="1483"/>
        <w:gridCol w:w="1483"/>
        <w:gridCol w:w="1483"/>
        <w:gridCol w:w="1483"/>
        <w:gridCol w:w="1483"/>
        <w:gridCol w:w="1483"/>
        <w:gridCol w:w="1483"/>
        <w:gridCol w:w="1483"/>
      </w:tblGrid>
      <w:tr>
        <w:trPr>
          <w:tblHeader w:val="true"/>
          <w:cantSplit w:val="true"/>
        </w:trPr>
        <w:tc>
          <w:tcPr>
            <w:tcW w:type="dxa" w:w="252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Clinician-facing output</w:t>
            </w:r>
          </w:p>
        </w:tc>
        <w:tc>
          <w:tcPr>
            <w:tcW w:type="dxa" w:w="1123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2024 N</w:t>
            </w:r>
          </w:p>
        </w:tc>
        <w:tc>
          <w:tcPr>
            <w:tcW w:type="dxa" w:w="1123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Prevalence</w:t>
            </w:r>
          </w:p>
        </w:tc>
        <w:tc>
          <w:tcPr>
            <w:tcW w:type="dxa" w:w="1757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AUROC (95% CI)</w:t>
            </w:r>
          </w:p>
        </w:tc>
        <w:tc>
          <w:tcPr>
            <w:tcW w:type="dxa" w:w="1757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AUPRC (95% CI)</w:t>
            </w:r>
          </w:p>
        </w:tc>
        <w:tc>
          <w:tcPr>
            <w:tcW w:type="dxa" w:w="1037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 lift</w:t>
            </w:r>
          </w:p>
        </w:tc>
        <w:tc>
          <w:tcPr>
            <w:tcW w:type="dxa" w:w="95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Brier</w:t>
            </w:r>
          </w:p>
        </w:tc>
        <w:tc>
          <w:tcPr>
            <w:tcW w:type="dxa" w:w="1195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Cal. intercept</w:t>
            </w:r>
          </w:p>
        </w:tc>
        <w:tc>
          <w:tcPr>
            <w:tcW w:type="dxa" w:w="1037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Cal. slope</w:t>
            </w:r>
          </w:p>
        </w:tc>
        <w:tc>
          <w:tcPr>
            <w:tcW w:type="dxa" w:w="1699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2022-2024 AUROC range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Post-acute disposition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25.8%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0.785 (0.782-0.788)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0.526 (0.521-0.532)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2.0×</w:t>
            </w:r>
          </w:p>
        </w:tc>
        <w:tc>
          <w:tcPr>
            <w:tcW w:type="dxa" w:w="95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0.155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+0.025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0.992</w:t>
            </w:r>
          </w:p>
        </w:tc>
        <w:tc>
          <w:tcPr>
            <w:tcW w:type="dxa" w:w="169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0.785-0.789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Death / hospice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12.2%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0.939 (0.938-0.941)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0.777 (0.772-0.782)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6.3×</w:t>
            </w:r>
          </w:p>
        </w:tc>
        <w:tc>
          <w:tcPr>
            <w:tcW w:type="dxa" w:w="95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0.052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-0.084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1.011</w:t>
            </w:r>
          </w:p>
        </w:tc>
        <w:tc>
          <w:tcPr>
            <w:tcW w:type="dxa" w:w="169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0.939-0.942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Any ICU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52.4%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0.853 (0.851-0.854)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0.863 (0.861-0.865)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1.6×</w:t>
            </w:r>
          </w:p>
        </w:tc>
        <w:tc>
          <w:tcPr>
            <w:tcW w:type="dxa" w:w="95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0.155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+0.010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1.039</w:t>
            </w:r>
          </w:p>
        </w:tc>
        <w:tc>
          <w:tcPr>
            <w:tcW w:type="dxa" w:w="169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0.853-0.858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ICU ≥8 d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11.5%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0.885 (0.882-0.887)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0.546 (0.537-0.554)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4.7×</w:t>
            </w:r>
          </w:p>
        </w:tc>
        <w:tc>
          <w:tcPr>
            <w:tcW w:type="dxa" w:w="95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0.071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-0.012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1.026</w:t>
            </w:r>
          </w:p>
        </w:tc>
        <w:tc>
          <w:tcPr>
            <w:tcW w:type="dxa" w:w="169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0.881-0.885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Any ventilation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21.0%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0.940 (0.939-0.942)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0.862 (0.859-0.865)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4.1×</w:t>
            </w:r>
          </w:p>
        </w:tc>
        <w:tc>
          <w:tcPr>
            <w:tcW w:type="dxa" w:w="95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0.065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-0.092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1.024</w:t>
            </w:r>
          </w:p>
        </w:tc>
        <w:tc>
          <w:tcPr>
            <w:tcW w:type="dxa" w:w="169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0.940-0.941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Ventilation ≥8 d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6.6%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0.916 (0.914-0.919)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0.467 (0.457-0.478)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7.1×</w:t>
            </w:r>
          </w:p>
        </w:tc>
        <w:tc>
          <w:tcPr>
            <w:tcW w:type="dxa" w:w="95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0.044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-0.074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1.036</w:t>
            </w:r>
          </w:p>
        </w:tc>
        <w:tc>
          <w:tcPr>
            <w:tcW w:type="dxa" w:w="169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0.914-0.916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Hospital LOS ≥28 d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151,686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4.7%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0.875 (0.871-0.879)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0.278 (0.269-0.289)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6.0×</w:t>
            </w:r>
          </w:p>
        </w:tc>
        <w:tc>
          <w:tcPr>
            <w:tcW w:type="dxa" w:w="95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0.038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-0.040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1.004</w:t>
            </w:r>
          </w:p>
        </w:tc>
        <w:tc>
          <w:tcPr>
            <w:tcW w:type="dxa" w:w="169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0.870-0.875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Invasive ICP monitoring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3.7%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0.925 (0.922-0.928)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0.340 (0.328-0.352)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9.2×</w:t>
            </w:r>
          </w:p>
        </w:tc>
        <w:tc>
          <w:tcPr>
            <w:tcW w:type="dxa" w:w="95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0.028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-0.145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1.006</w:t>
            </w:r>
          </w:p>
        </w:tc>
        <w:tc>
          <w:tcPr>
            <w:tcW w:type="dxa" w:w="169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0.924-0.925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Craniotomy / craniectomy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4.7%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0.894 (0.891-0.897)</w:t>
            </w:r>
          </w:p>
        </w:tc>
        <w:tc>
          <w:tcPr>
            <w:tcW w:type="dxa" w:w="175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0.319 (0.309-0.330)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6.7×</w:t>
            </w:r>
          </w:p>
        </w:tc>
        <w:tc>
          <w:tcPr>
            <w:tcW w:type="dxa" w:w="95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0.037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1.043</w:t>
            </w:r>
          </w:p>
        </w:tc>
        <w:tc>
          <w:tcPr>
            <w:tcW w:type="dxa" w:w="169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0.894-0.896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PR lift = AUPRC / prevalence. Calibration intercept 0 and slope 1 indicate ideal calibration. Confidence intervals are percentile bootstrap intervals from fixed 2024 rolling-origin temporal-evaluation predictions (500 resamples).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B. Continuous resource-duration prediction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  <w:cantSplit w:val="true"/>
        </w:trPr>
        <w:tc>
          <w:tcPr>
            <w:tcW w:type="dxa" w:w="237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Outcome</w:t>
            </w:r>
          </w:p>
        </w:tc>
        <w:tc>
          <w:tcPr>
            <w:tcW w:type="dxa" w:w="122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2024 N</w:t>
            </w:r>
          </w:p>
        </w:tc>
        <w:tc>
          <w:tcPr>
            <w:tcW w:type="dxa" w:w="2088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Median-prediction MAE, d (95% CI)</w:t>
            </w:r>
          </w:p>
        </w:tc>
        <w:tc>
          <w:tcPr>
            <w:tcW w:type="dxa" w:w="187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Improvement vs constant-median benchmark</w:t>
            </w:r>
          </w:p>
        </w:tc>
        <w:tc>
          <w:tcPr>
            <w:tcW w:type="dxa" w:w="129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Median bias, d</w:t>
            </w:r>
          </w:p>
        </w:tc>
        <w:tc>
          <w:tcPr>
            <w:tcW w:type="dxa" w:w="1987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Q10-Q90 coverage (95% CI)</w:t>
            </w:r>
          </w:p>
        </w:tc>
        <w:tc>
          <w:tcPr>
            <w:tcW w:type="dxa" w:w="223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Median Q10-Q90 width, d (95% CI)</w:t>
            </w:r>
          </w:p>
        </w:tc>
        <w:tc>
          <w:tcPr>
            <w:tcW w:type="dxa" w:w="1843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2022-2024 MAE range, d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Hospital LOS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151,686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4.54 (4.49-4.58)</w:t>
            </w:r>
          </w:p>
        </w:tc>
        <w:tc>
          <w:tcPr>
            <w:tcW w:type="dxa" w:w="187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17.3%</w:t>
            </w:r>
          </w:p>
        </w:tc>
        <w:tc>
          <w:tcPr>
            <w:tcW w:type="dxa" w:w="12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-0.02</w:t>
            </w:r>
          </w:p>
        </w:tc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79.5% (79.3-79.7)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9.66 (9.62-9.69)</w:t>
            </w:r>
          </w:p>
        </w:tc>
        <w:tc>
          <w:tcPr>
            <w:tcW w:type="dxa" w:w="184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4.54-4.78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ICU LOS conditional on ICU use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79,606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3.41 (3.37-3.45)</w:t>
            </w:r>
          </w:p>
        </w:tc>
        <w:tc>
          <w:tcPr>
            <w:tcW w:type="dxa" w:w="187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13.3%</w:t>
            </w:r>
          </w:p>
        </w:tc>
        <w:tc>
          <w:tcPr>
            <w:tcW w:type="dxa" w:w="12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-0.04</w:t>
            </w:r>
          </w:p>
        </w:tc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80.0% (79.7-80.3)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7.77 (7.72-7.84)</w:t>
            </w:r>
          </w:p>
        </w:tc>
        <w:tc>
          <w:tcPr>
            <w:tcW w:type="dxa" w:w="184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3.41-3.68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Ventilator duration conditional on ventilation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31,883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4.79 (4.71-4.88)</w:t>
            </w:r>
          </w:p>
        </w:tc>
        <w:tc>
          <w:tcPr>
            <w:tcW w:type="dxa" w:w="187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9.4%</w:t>
            </w:r>
          </w:p>
        </w:tc>
        <w:tc>
          <w:tcPr>
            <w:tcW w:type="dxa" w:w="12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+0.01</w:t>
            </w:r>
          </w:p>
        </w:tc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76.8% (76.4-77.3)</w:t>
            </w:r>
          </w:p>
        </w:tc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14.47 (14.41-14.55)</w:t>
            </w:r>
          </w:p>
        </w:tc>
        <w:tc>
          <w:tcPr>
            <w:tcW w:type="dxa" w:w="184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4.79-4.92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Q10–Q90 is an estimated 10th–90th percentile range, not a guaranteed 80% prediction interval. ICU and ventilation duration models are conditional on observed resource use. Duration confidence intervals use 1,000 fixed-prediction bootstrap resamples. Pinball loss and empirical Q10/Q50/Q90 calibration are reported in eTable 5.</w:t>
      </w:r>
    </w:p>
    <w:p>
      <w:r>
        <w:br w:type="page"/>
      </w:r>
    </w:p>
    <w:p>
      <w:pPr>
        <w:keepNext/>
        <w:spacing w:before="0" w:after="100"/>
      </w:pPr>
      <w:r>
        <w:rPr>
          <w:rFonts w:ascii="Arial" w:hAnsi="Arial"/>
          <w:b/>
          <w:color w:val="17365D"/>
          <w:sz w:val="21"/>
        </w:rPr>
        <w:t>eTable 1. Cohort flow, endpoint definitions, and analytic populations.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A. Complete analytic cohort flow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  <w:cantSplit w:val="true"/>
        </w:trPr>
        <w:tc>
          <w:tcPr>
            <w:tcW w:type="dxa" w:w="518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Stage</w:t>
            </w:r>
          </w:p>
        </w:tc>
        <w:tc>
          <w:tcPr>
            <w:tcW w:type="dxa" w:w="144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180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N</w:t>
            </w:r>
          </w:p>
        </w:tc>
        <w:tc>
          <w:tcPr>
            <w:tcW w:type="dxa" w:w="180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Denominator</w:t>
            </w:r>
          </w:p>
        </w:tc>
        <w:tc>
          <w:tcPr>
            <w:tcW w:type="dxa" w:w="158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% of denominator</w:t>
            </w:r>
          </w:p>
        </w:tc>
      </w:tr>
      <w:tr>
        <w:trPr>
          <w:cantSplit w:val="true"/>
        </w:trPr>
        <w:tc>
          <w:tcPr>
            <w:tcW w:type="dxa" w:w="51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Age-eligible TBI encounters with qualifying S06 diagnosis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Included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1,161,027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—</w:t>
            </w:r>
          </w:p>
        </w:tc>
      </w:tr>
      <w:tr>
        <w:trPr>
          <w:cantSplit w:val="true"/>
        </w:trPr>
        <w:tc>
          <w:tcPr>
            <w:tcW w:type="dxa" w:w="51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Transfer-in or unknown presentation status excluded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Excluded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329,911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1,161,027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28.4%</w:t>
            </w:r>
          </w:p>
        </w:tc>
      </w:tr>
      <w:tr>
        <w:trPr>
          <w:cantSplit w:val="true"/>
        </w:trPr>
        <w:tc>
          <w:tcPr>
            <w:tcW w:type="dxa" w:w="51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Direct presentations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Included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831,116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1,161,027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71.6%</w:t>
            </w:r>
          </w:p>
        </w:tc>
      </w:tr>
      <w:tr>
        <w:trPr>
          <w:cantSplit w:val="true"/>
        </w:trPr>
        <w:tc>
          <w:tcPr>
            <w:tcW w:type="dxa" w:w="51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Subsequent transfer-out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Excluded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48,099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831,116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5.8%</w:t>
            </w:r>
          </w:p>
        </w:tc>
      </w:tr>
      <w:tr>
        <w:trPr>
          <w:cantSplit w:val="true"/>
        </w:trPr>
        <w:tc>
          <w:tcPr>
            <w:tcW w:type="dxa" w:w="51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Subsequent discharge against medical advice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Excluded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21,452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831,116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2.6%</w:t>
            </w:r>
          </w:p>
        </w:tc>
      </w:tr>
      <w:tr>
        <w:trPr>
          <w:cantSplit w:val="true"/>
        </w:trPr>
        <w:tc>
          <w:tcPr>
            <w:tcW w:type="dxa" w:w="51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Subsequent institutional/custody/other trajectory loss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Excluded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5,685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831,116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0.7%</w:t>
            </w:r>
          </w:p>
        </w:tc>
      </w:tr>
      <w:tr>
        <w:trPr>
          <w:cantSplit w:val="true"/>
        </w:trPr>
        <w:tc>
          <w:tcPr>
            <w:tcW w:type="dxa" w:w="51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Retained complete index-hospital trajectory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Included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755,880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831,116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90.9%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The upstream age-eligible cohort included 1,161,027 encounters with recorded age 18–89 years and qualifying S06 traumatic intracranial injury. Direct-presentation and downstream trajectory restrictions yielded 755,880 retained patients.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B. Direct-presentation observation status by calendar year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blHeader w:val="true"/>
          <w:cantSplit w:val="true"/>
        </w:trPr>
        <w:tc>
          <w:tcPr>
            <w:tcW w:type="dxa" w:w="475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Observation status</w:t>
            </w:r>
          </w:p>
        </w:tc>
        <w:tc>
          <w:tcPr>
            <w:tcW w:type="dxa" w:w="144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2020</w:t>
            </w:r>
          </w:p>
        </w:tc>
        <w:tc>
          <w:tcPr>
            <w:tcW w:type="dxa" w:w="144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2021</w:t>
            </w:r>
          </w:p>
        </w:tc>
        <w:tc>
          <w:tcPr>
            <w:tcW w:type="dxa" w:w="144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2022</w:t>
            </w:r>
          </w:p>
        </w:tc>
        <w:tc>
          <w:tcPr>
            <w:tcW w:type="dxa" w:w="144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2023</w:t>
            </w:r>
          </w:p>
        </w:tc>
        <w:tc>
          <w:tcPr>
            <w:tcW w:type="dxa" w:w="144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2024</w:t>
            </w:r>
          </w:p>
        </w:tc>
        <w:tc>
          <w:tcPr>
            <w:tcW w:type="dxa" w:w="165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Total</w:t>
            </w:r>
          </w:p>
        </w:tc>
      </w:tr>
      <w:tr>
        <w:trPr>
          <w:cantSplit w:val="true"/>
        </w:trPr>
        <w:tc>
          <w:tcPr>
            <w:tcW w:type="dxa" w:w="47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Retained complete trajectory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145,338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153,018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152,944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152,706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755,880</w:t>
            </w:r>
          </w:p>
        </w:tc>
      </w:tr>
      <w:tr>
        <w:trPr>
          <w:cantSplit w:val="true"/>
        </w:trPr>
        <w:tc>
          <w:tcPr>
            <w:tcW w:type="dxa" w:w="47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Future transfer-out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8,605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8,536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9,277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10,574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11,107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48,099</w:t>
            </w:r>
          </w:p>
        </w:tc>
      </w:tr>
      <w:tr>
        <w:trPr>
          <w:cantSplit w:val="true"/>
        </w:trPr>
        <w:tc>
          <w:tcPr>
            <w:tcW w:type="dxa" w:w="47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Future AMA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4,425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4,564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4,355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4,133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3,975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21,452</w:t>
            </w:r>
          </w:p>
        </w:tc>
      </w:tr>
      <w:tr>
        <w:trPr>
          <w:cantSplit w:val="true"/>
        </w:trPr>
        <w:tc>
          <w:tcPr>
            <w:tcW w:type="dxa" w:w="47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Future ED-other/institutional/custody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1,123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1,137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1,170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1,142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1,113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5,685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The retained cohort required an observable index-hospital trajectory. Subsequent transfer-out, discharge against medical advice, and institutional/custody/other trajectory loss were excluded because the complete index-hospital resource trajectory could not be ascertained.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C. Final outcome definitions and endpoint-specific populations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08"/>
        <w:gridCol w:w="3708"/>
        <w:gridCol w:w="3708"/>
        <w:gridCol w:w="3708"/>
      </w:tblGrid>
      <w:tr>
        <w:trPr>
          <w:tblHeader w:val="true"/>
          <w:cantSplit w:val="true"/>
        </w:trPr>
        <w:tc>
          <w:tcPr>
            <w:tcW w:type="dxa" w:w="288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Outcome/model</w:t>
            </w:r>
          </w:p>
        </w:tc>
        <w:tc>
          <w:tcPr>
            <w:tcW w:type="dxa" w:w="720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Operational definition</w:t>
            </w:r>
          </w:p>
        </w:tc>
        <w:tc>
          <w:tcPr>
            <w:tcW w:type="dxa" w:w="194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Full-development fit N</w:t>
            </w:r>
          </w:p>
        </w:tc>
        <w:tc>
          <w:tcPr>
            <w:tcW w:type="dxa" w:w="252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2024 evaluation N / prevalence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Disposition</w:t>
            </w:r>
          </w:p>
        </w:tc>
        <w:tc>
          <w:tcPr>
            <w:tcW w:type="dxa" w:w="72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Home/home health; post-acute facility; death/hospice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755,880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151,874; 61.9% / 25.8% / 12.2%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Hospital LOS trajectory</w:t>
            </w:r>
          </w:p>
        </w:tc>
        <w:tc>
          <w:tcPr>
            <w:tcW w:type="dxa" w:w="72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≤7 d; 8-27 d; ≥28 d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753,044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151,686; 70.2% / 25.1% / 4.7%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ICU trajectory</w:t>
            </w:r>
          </w:p>
        </w:tc>
        <w:tc>
          <w:tcPr>
            <w:tcW w:type="dxa" w:w="72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ICU; ICU 1-7 d; ICU ≥8 d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755,880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151,874; 47.6% / 40.8% / 11.5%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Mechanical ventilation trajectory</w:t>
            </w:r>
          </w:p>
        </w:tc>
        <w:tc>
          <w:tcPr>
            <w:tcW w:type="dxa" w:w="72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 ventilation; ventilation 1-7 d; ventilation ≥8 d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755,880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151,874; 79.0% / 14.4% / 6.6%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ICP monitoring</w:t>
            </w:r>
          </w:p>
        </w:tc>
        <w:tc>
          <w:tcPr>
            <w:tcW w:type="dxa" w:w="72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External ventricular drain (EVD) or intraparenchymal ICP monitor/BOLT. Brain tissue oxygen and jugular venous bulb monitors are excluded.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755,880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151,874; 3.7%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Craniotomy/craniectomy</w:t>
            </w:r>
          </w:p>
        </w:tc>
        <w:tc>
          <w:tcPr>
            <w:tcW w:type="dxa" w:w="72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Conservative patient-level open cranial/intracranial ICD-10-PCS endpoint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755,880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151,874; 4.7%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Continuous hospital LOS</w:t>
            </w:r>
          </w:p>
        </w:tc>
        <w:tc>
          <w:tcPr>
            <w:tcW w:type="dxa" w:w="72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Q10/Q50/Q90 hospital days among patients with known HLOS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753,044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151,686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Conditional ICU LOS</w:t>
            </w:r>
          </w:p>
        </w:tc>
        <w:tc>
          <w:tcPr>
            <w:tcW w:type="dxa" w:w="72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Q10/Q50/Q90 ICU days among ICU users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382,514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79,606</w:t>
            </w:r>
          </w:p>
        </w:tc>
      </w:tr>
      <w:tr>
        <w:trPr>
          <w:cantSplit w:val="true"/>
        </w:trPr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Conditional ventilator duration</w:t>
            </w:r>
          </w:p>
        </w:tc>
        <w:tc>
          <w:tcPr>
            <w:tcW w:type="dxa" w:w="72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Q10/Q50/Q90 ventilator days among ventilated patients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164,638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31,883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HLOS = hospital length of stay; ICU = intensive care unit; ICP = intracranial pressure; EVD = external ventricular drain; BOLT = intraparenchymal ICP monitor. The invasive ICP endpoint is EVD/BOLT-only.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D. Outcome observation completeness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  <w:cantSplit w:val="true"/>
        </w:trPr>
        <w:tc>
          <w:tcPr>
            <w:tcW w:type="dxa" w:w="432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Outcome</w:t>
            </w:r>
          </w:p>
        </w:tc>
        <w:tc>
          <w:tcPr>
            <w:tcW w:type="dxa" w:w="201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Observed N</w:t>
            </w:r>
          </w:p>
        </w:tc>
        <w:tc>
          <w:tcPr>
            <w:tcW w:type="dxa" w:w="216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Retained cohort N</w:t>
            </w:r>
          </w:p>
        </w:tc>
        <w:tc>
          <w:tcPr>
            <w:tcW w:type="dxa" w:w="201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Missing outcome N</w:t>
            </w:r>
          </w:p>
        </w:tc>
        <w:tc>
          <w:tcPr>
            <w:tcW w:type="dxa" w:w="1728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Observed %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Disposition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755,880</w:t>
            </w:r>
          </w:p>
        </w:tc>
        <w:tc>
          <w:tcPr>
            <w:tcW w:type="dxa" w:w="216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755,880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72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Hospital LOS trajectory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753,044</w:t>
            </w:r>
          </w:p>
        </w:tc>
        <w:tc>
          <w:tcPr>
            <w:tcW w:type="dxa" w:w="216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755,880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2,836</w:t>
            </w:r>
          </w:p>
        </w:tc>
        <w:tc>
          <w:tcPr>
            <w:tcW w:type="dxa" w:w="172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99.6%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ICU trajectory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755,880</w:t>
            </w:r>
          </w:p>
        </w:tc>
        <w:tc>
          <w:tcPr>
            <w:tcW w:type="dxa" w:w="216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755,880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72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Mechanical ventilation trajectory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755,880</w:t>
            </w:r>
          </w:p>
        </w:tc>
        <w:tc>
          <w:tcPr>
            <w:tcW w:type="dxa" w:w="216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755,880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72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Invasive ICP monitoring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755,880</w:t>
            </w:r>
          </w:p>
        </w:tc>
        <w:tc>
          <w:tcPr>
            <w:tcW w:type="dxa" w:w="216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755,880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72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100.0%</w:t>
            </w:r>
          </w:p>
        </w:tc>
      </w:tr>
      <w:tr>
        <w:trPr>
          <w:cantSplit w:val="true"/>
        </w:trPr>
        <w:tc>
          <w:tcPr>
            <w:tcW w:type="dxa" w:w="43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Craniotomy/craniectomy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755,880</w:t>
            </w:r>
          </w:p>
        </w:tc>
        <w:tc>
          <w:tcPr>
            <w:tcW w:type="dxa" w:w="216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755,880</w:t>
            </w:r>
          </w:p>
        </w:tc>
        <w:tc>
          <w:tcPr>
            <w:tcW w:type="dxa" w:w="20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0</w:t>
            </w:r>
          </w:p>
        </w:tc>
        <w:tc>
          <w:tcPr>
            <w:tcW w:type="dxa" w:w="172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100.0%</w:t>
            </w:r>
          </w:p>
        </w:tc>
      </w:tr>
    </w:tbl>
    <w:p>
      <w:pPr>
        <w:keepNext/>
        <w:spacing w:before="0" w:after="100"/>
      </w:pPr>
      <w:r>
        <w:rPr>
          <w:rFonts w:ascii="Arial" w:hAnsi="Arial"/>
          <w:b/>
          <w:color w:val="17365D"/>
          <w:sz w:val="21"/>
        </w:rPr>
        <w:t>eTable 2. Final predictor dictionary, timing, endpoint-specific use, and missingness.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A. Final predictor dictionary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blHeader w:val="true"/>
          <w:cantSplit w:val="true"/>
        </w:trPr>
        <w:tc>
          <w:tcPr>
            <w:tcW w:type="dxa" w:w="1987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Domain</w:t>
            </w:r>
          </w:p>
        </w:tc>
        <w:tc>
          <w:tcPr>
            <w:tcW w:type="dxa" w:w="2088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Calculator-facing predictor</w:t>
            </w:r>
          </w:p>
        </w:tc>
        <w:tc>
          <w:tcPr>
            <w:tcW w:type="dxa" w:w="2189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Analysis variable</w:t>
            </w:r>
          </w:p>
        </w:tc>
        <w:tc>
          <w:tcPr>
            <w:tcW w:type="dxa" w:w="1181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Type</w:t>
            </w:r>
          </w:p>
        </w:tc>
        <w:tc>
          <w:tcPr>
            <w:tcW w:type="dxa" w:w="2088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Source/derivation</w:t>
            </w:r>
          </w:p>
        </w:tc>
        <w:tc>
          <w:tcPr>
            <w:tcW w:type="dxa" w:w="338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Prediction-time / missingness handling</w:t>
            </w:r>
          </w:p>
        </w:tc>
        <w:tc>
          <w:tcPr>
            <w:tcW w:type="dxa" w:w="237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Final model use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Demographics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Age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age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Continuous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Registry admission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Neurologic examination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 eye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gcs_eye_clean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Ordinal numeric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GCS / qualifier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Neurologic examination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 verbal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gcs_verbal_clean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Ordinal numeric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GCS / qualifier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Neurologic examination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 motor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gcs_motor_clean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Ordinal numeric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GCS / qualifier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Neurologic examination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 qualifier: intubated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gcsq_intubated_recovered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GCS / qualifier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Neurologic examination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 qualifier: sedated/paralyzed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gcsq_sedated_paralyzed_recovered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GCS / qualifier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Neurologic examination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 qualifier: eye obstruction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gcsq_eye_obstruction_recovered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GCS / qualifier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Neurologic examination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 qualifier: unknown/unassessable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gcsq_unknown_recovered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GCS / qualifier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physiology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Systolic blood pressure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sbp_clean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Continuous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vital-sign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physiology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Pulse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pulse_clean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Continuous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vital-sign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physiology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Respiratory rate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rr_clean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Continuous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vital-sign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physiology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Oxygen saturation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spo2_clean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Continuous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vital-sign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physiology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Temperature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temperature_c_recovered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Continuous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vital-sign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Cranial/TBI phenotype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Concussion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dx_concussion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Cranial/TBI phenotype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Traumatic cerebral edema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dx_cerebral_edema_traumatic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Cranial/TBI phenotype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Diffuse axonal injury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dx_diffuse_axonal_injury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Cranial/TBI phenotype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Contusion / intraparenchymal hemorrhage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dx_focal_contusion_or_iph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Cranial/TBI phenotype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Epidural hematoma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dx_epidural_hematoma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Cranial/TBI phenotype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Subdural hematoma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dx_subdural_hematoma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Cranial/TBI phenotype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Traumatic subarachnoid hemorrhage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dx_subarachnoid_hemorrhage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Cranial/TBI phenotype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 intracranial injury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dx_other_intracranial_injury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Cranial/TBI phenotype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Cranial skull fracture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dx_cranial_skull_fracture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Cranial/TBI phenotype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Facial fracture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dx_facial_fracture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Cranial/TBI phenotype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 skull/facial fracture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dx_other_skull_or_facial_fracture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Extracranial injury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Spinal cord injury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dx_spinal_cord_injury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Extracranial injury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Neck vascular injury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dx_neck_vascular_injury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Extracranial injury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Thoracic injury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dx_thoracic_injury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Extracranial injury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Abdominal/pelvic injury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dx_abdominal_pelvic_injury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Extracranial injury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Upper-extremity injury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dx_upper_extremity_injury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Extracranial injury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Lower-extremity injury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dx_lower_extremity_injury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ICD-10-CM diagnosis-derived indicator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Intended to represent injuries identifiable during the initial diagnostic evaluation; diagnosis-recognition timestamps are unavailable in the PUF.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Pre-existing conditions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Bleeding disorder/coagulopathy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pmhx_bleeding_disorder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TQIP pre-existing condition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Pre-existing conditions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Anticoagulant therapy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pmhx_anticoagulant_therapy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TQIP pre-existing condition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Pre-existing conditions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COPD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pmhx_copd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TQIP pre-existing condition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Pre-existing conditions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Diabetes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pmhx_diabetes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TQIP pre-existing condition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Pre-existing conditions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Hypertension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pmhx_hypertension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TQIP pre-existing condition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Pre-existing conditions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Current smoking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pmhx_current_smoker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TQIP pre-existing condition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Pre-existing conditions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Functional dependence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pmhx_functional_dependence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TQIP pre-existing condition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Pre-existing conditions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Dementia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pmhx_dementia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TQIP pre-existing condition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Pre-existing conditions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Congestive heart failure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pmhx_chf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TQIP pre-existing condition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Pre-existing conditions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Chronic renal failure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pmhx_chronic_renal_failure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TQIP pre-existing condition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Pre-existing conditions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Cirrhosis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pmhx_cirrhosis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TQIP pre-existing condition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Pre-existing conditions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Chronic steroid use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pmhx_steroid_use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TQIP pre-existing condition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native missing handling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Demographics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Sex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sex_clean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Nominal categorical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Registry admission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unknown retained as category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Injury context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Mechanism of injury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mechanism_clean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Nominal categorical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External-cause / mechanism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unknown retained as category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Neurologic examination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Pupillary response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pupil_clean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Nominal categorical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pupillary response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unknown retained as category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physiology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Supplemental oxygen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supplemental_oxygen_recovered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Nominal categorical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Admission oxygen-support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after initial evaluation; unknown retained as category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All final endpoints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Social/health-system context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Race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race_clean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Nominal categorical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Registry demographic/payer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at prediction time; contextual/nonbiological interpretation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Disposition + categorical HLOS only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Social/health-system context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Ethnicity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ethnicity_clean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Nominal categorical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Registry demographic/payer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at prediction time; contextual/nonbiological interpretation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Disposition + categorical HLOS only</w:t>
            </w:r>
          </w:p>
        </w:tc>
      </w:tr>
      <w:tr>
        <w:trPr>
          <w:cantSplit w:val="true"/>
        </w:trPr>
        <w:tc>
          <w:tcPr>
            <w:tcW w:type="dxa" w:w="198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Social/health-system context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Payer/insurance</w:t>
            </w:r>
          </w:p>
        </w:tc>
        <w:tc>
          <w:tcPr>
            <w:tcW w:type="dxa" w:w="218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insurance_clean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Nominal categorical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Registry demographic/payer field</w:t>
            </w:r>
          </w:p>
        </w:tc>
        <w:tc>
          <w:tcPr>
            <w:tcW w:type="dxa" w:w="33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Available at prediction time; contextual/nonbiological interpretation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Disposition + categorical HLOS only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The pragmatic clinical backbone contains 46 predictors after removal of helmet documentation and respiratory assistance. Numeric missing values are handled by XGBoost native missing-value routing. Missing/blank categorical values are encoded as an explicit unknown level, and unseen application-time levels map to an explicit other/unseen level. Diagnosis-derived injury features were selected to represent injuries generally ascertainable during the initial diagnostic evaluation, but the registry does not provide diagnosis-recognition timestamps.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B. Predictors with nonzero missingness/unknownness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  <w:cantSplit w:val="true"/>
        </w:trPr>
        <w:tc>
          <w:tcPr>
            <w:tcW w:type="dxa" w:w="381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Predictor</w:t>
            </w:r>
          </w:p>
        </w:tc>
        <w:tc>
          <w:tcPr>
            <w:tcW w:type="dxa" w:w="180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Type</w:t>
            </w:r>
          </w:p>
        </w:tc>
        <w:tc>
          <w:tcPr>
            <w:tcW w:type="dxa" w:w="252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Final-model role</w:t>
            </w:r>
          </w:p>
        </w:tc>
        <w:tc>
          <w:tcPr>
            <w:tcW w:type="dxa" w:w="288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Overall missing/unknown N (%)</w:t>
            </w:r>
          </w:p>
        </w:tc>
        <w:tc>
          <w:tcPr>
            <w:tcW w:type="dxa" w:w="288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2024 missing/unknown N (%)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Pupillary response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Nominal categorical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Pragmatic clinical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79,978 (10.6%)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16,254 (10.7%)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Temperature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Continuous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Pragmatic clinical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78,352 (10.4%)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14,290 (9.4%)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Supplemental oxygen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Nominal categorical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Pragmatic clinical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51,660 (6.8%)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10,170 (6.7%)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Respiratory rate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Continuous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Pragmatic clinical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32,752 (4.3%)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6,380 (4.2%)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Ethnicity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Nominal categorical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Social/health-system context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30,511 (4.0%)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5,992 (3.9%)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GCS motor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Ordinal numeric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Pragmatic clinical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27,755 (3.7%)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5,166 (3.4%)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GCS verbal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Ordinal numeric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Pragmatic clinical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27,741 (3.7%)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5,172 (3.4%)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GCS eye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Ordinal numeric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Pragmatic clinical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27,509 (3.6%)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5,125 (3.4%)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Oxygen saturation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Continuous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Pragmatic clinical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27,369 (3.6%)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5,361 (3.5%)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Systolic blood pressure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Continuous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Pragmatic clinical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25,256 (3.3%)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5,010 (3.3%)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Pulse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Continuous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Pragmatic clinical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23,763 (3.1%)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4,748 (3.1%)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Race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Nominal categorical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Social/health-system context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17,758 (2.3%)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3,682 (2.4%)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Payer/insurance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Nominal categorical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Social/health-system context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14,353 (1.9%)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2,581 (1.7%)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Sex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Nominal categorical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Pragmatic clinical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1,709 (0.2%)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368 (0.2%)</w:t>
            </w:r>
          </w:p>
        </w:tc>
      </w:tr>
      <w:tr>
        <w:trPr>
          <w:cantSplit w:val="true"/>
        </w:trPr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Mechanism of injury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Nominal categorical</w:t>
            </w:r>
          </w:p>
        </w:tc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Pragmatic clinical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785 (0.1%)</w:t>
            </w:r>
          </w:p>
        </w:tc>
        <w:tc>
          <w:tcPr>
            <w:tcW w:type="dxa" w:w="28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167 (0.1%)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Only predictors with nonzero missing/unknown input states are displayed. All other final predictors had 0.0% missing/unknown encoded input in the analysis dataset. For engineered diagnosis and pre-existing-condition indicators, 0.0% missingness reflects construction as presence/absence indicators and should not be interpreted as perfect clinical ascertainment. No global complete-case filter was applied.</w:t>
      </w:r>
    </w:p>
    <w:p>
      <w:r>
        <w:br w:type="page"/>
      </w:r>
    </w:p>
    <w:p>
      <w:pPr>
        <w:keepNext/>
        <w:spacing w:before="0" w:after="100"/>
      </w:pPr>
      <w:r>
        <w:rPr>
          <w:rFonts w:ascii="Arial" w:hAnsi="Arial"/>
          <w:b/>
          <w:color w:val="17365D"/>
          <w:sz w:val="21"/>
        </w:rPr>
        <w:t>eTable 3. Predictor adjudication matrix.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  <w:cantSplit w:val="true"/>
        </w:trPr>
        <w:tc>
          <w:tcPr>
            <w:tcW w:type="dxa" w:w="223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Predictor family</w:t>
            </w:r>
          </w:p>
        </w:tc>
        <w:tc>
          <w:tcPr>
            <w:tcW w:type="dxa" w:w="324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Variables / construct</w:t>
            </w:r>
          </w:p>
        </w:tc>
        <w:tc>
          <w:tcPr>
            <w:tcW w:type="dxa" w:w="374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Clinical and timing rationale</w:t>
            </w:r>
          </w:p>
        </w:tc>
        <w:tc>
          <w:tcPr>
            <w:tcW w:type="dxa" w:w="381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Empirical adjudication evidence</w:t>
            </w:r>
          </w:p>
        </w:tc>
        <w:tc>
          <w:tcPr>
            <w:tcW w:type="dxa" w:w="165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Final decision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Age and sex</w:t>
            </w:r>
          </w:p>
        </w:tc>
        <w:tc>
          <w:tcPr>
            <w:tcW w:type="dxa" w:w="32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Age; sex</w:t>
            </w:r>
          </w:p>
        </w:tc>
        <w:tc>
          <w:tcPr>
            <w:tcW w:type="dxa" w:w="37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Baseline demographics known at prediction time.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Clinically prespecified; retained in all final models.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Retain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GCS components + pupils</w:t>
            </w:r>
          </w:p>
        </w:tc>
        <w:tc>
          <w:tcPr>
            <w:tcW w:type="dxa" w:w="32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GCS eye/verbal/motor; pupils</w:t>
            </w:r>
          </w:p>
        </w:tc>
        <w:tc>
          <w:tcPr>
            <w:tcW w:type="dxa" w:w="37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Direct neurologic severity after initial evaluation.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Core-neuro-only simplification was materially worse (median AUROC loss range -0.039 to -0.003).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Retain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GCS exam qualifiers</w:t>
            </w:r>
          </w:p>
        </w:tc>
        <w:tc>
          <w:tcPr>
            <w:tcW w:type="dxa" w:w="32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Intubated; sedated/paralyzed; eye obstruction; unknown</w:t>
            </w:r>
          </w:p>
        </w:tc>
        <w:tc>
          <w:tcPr>
            <w:tcW w:type="dxa" w:w="37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Explain altered/unassessable neurologic examination.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Removing airway qualifiers alone caused small loss (median ΔAUROC -0.0004 to -0.0001); retained after exact pragmatic retuning.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Retain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Admission vital signs</w:t>
            </w:r>
          </w:p>
        </w:tc>
        <w:tc>
          <w:tcPr>
            <w:tcW w:type="dxa" w:w="32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SBP; pulse; RR; SpO2; temperature</w:t>
            </w:r>
          </w:p>
        </w:tc>
        <w:tc>
          <w:tcPr>
            <w:tcW w:type="dxa" w:w="37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Early physiology before downstream resource use.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Valid timing and clinical plausibility; no leakage concern identified.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Retain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Supplemental oxygen</w:t>
            </w:r>
          </w:p>
        </w:tc>
        <w:tc>
          <w:tcPr>
            <w:tcW w:type="dxa" w:w="32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Supplemental oxygen status</w:t>
            </w:r>
          </w:p>
        </w:tc>
        <w:tc>
          <w:tcPr>
            <w:tcW w:type="dxa" w:w="37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Early respiratory severity/support context.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Broader respiratory-support removal worsened performance more than respiratory-assistance removal alone.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Retain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Mechanism</w:t>
            </w:r>
          </w:p>
        </w:tc>
        <w:tc>
          <w:tcPr>
            <w:tcW w:type="dxa" w:w="32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Fall; transport; assault; firearm/explosive; other</w:t>
            </w:r>
          </w:p>
        </w:tc>
        <w:tc>
          <w:tcPr>
            <w:tcW w:type="dxa" w:w="37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Injury context/energy known at prediction time.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Mechanism+helmet removal worsened discrimination (median ΔAUROC -0.0035 to -0.0010), while helmet alone was neutral.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Retain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Helmet documentation</w:t>
            </w:r>
          </w:p>
        </w:tc>
        <w:tc>
          <w:tcPr>
            <w:tcW w:type="dxa" w:w="32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Helmet use/documentation</w:t>
            </w:r>
          </w:p>
        </w:tc>
        <w:tc>
          <w:tcPr>
            <w:tcW w:type="dxa" w:w="37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Potential mechanism modifier but context-specific.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Removal was neutral (median ΔAUROC -0.0004 to 0.0001).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Remove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Respiratory assistance</w:t>
            </w:r>
          </w:p>
        </w:tc>
        <w:tc>
          <w:tcPr>
            <w:tcW w:type="dxa" w:w="32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Assisted vs unassisted</w:t>
            </w:r>
          </w:p>
        </w:tc>
        <w:tc>
          <w:tcPr>
            <w:tcW w:type="dxa" w:w="37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Overlaps airway state and complicates ventilation interpretation.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Removal was effectively neutral (median ΔAUROC -0.0001 to 0.0001).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Remove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Cranial/TBI phenotypes</w:t>
            </w:r>
          </w:p>
        </w:tc>
        <w:tc>
          <w:tcPr>
            <w:tcW w:type="dxa" w:w="32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Initial imaging-derived cranial injuries</w:t>
            </w:r>
          </w:p>
        </w:tc>
        <w:tc>
          <w:tcPr>
            <w:tcW w:type="dxa" w:w="37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Intended to represent injuries identifiable after initial diagnostic evaluation; diagnosis-recognition timestamps are unavailable in the PUF.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Retained; aggressive clinical simplification degraded performance.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Retain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Extracranial injury phenotypes</w:t>
            </w:r>
          </w:p>
        </w:tc>
        <w:tc>
          <w:tcPr>
            <w:tcW w:type="dxa" w:w="32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SCI; neck vascular; thoracic; abdominal/pelvic; extremities</w:t>
            </w:r>
          </w:p>
        </w:tc>
        <w:tc>
          <w:tcPr>
            <w:tcW w:type="dxa" w:w="37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Polytrauma affects ICU, ventilation, LOS, disposition.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Removal caused substantial degradation (median ΔAUROC -0.024 to -0.001).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Retain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Pre-existing conditions</w:t>
            </w:r>
          </w:p>
        </w:tc>
        <w:tc>
          <w:tcPr>
            <w:tcW w:type="dxa" w:w="32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12 selected PMHx variables</w:t>
            </w:r>
          </w:p>
        </w:tc>
        <w:tc>
          <w:tcPr>
            <w:tcW w:type="dxa" w:w="37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Admission-known modifiers of reserve/resource needs.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Removal consistently worsened performance (median ΔAUROC -0.006 to -0.000).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Retain</w:t>
            </w:r>
          </w:p>
        </w:tc>
      </w:tr>
      <w:tr>
        <w:trPr>
          <w:cantSplit w:val="true"/>
        </w:trPr>
        <w:tc>
          <w:tcPr>
            <w:tcW w:type="dxa" w:w="22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Race, ethnicity, payer</w:t>
            </w:r>
          </w:p>
        </w:tc>
        <w:tc>
          <w:tcPr>
            <w:tcW w:type="dxa" w:w="32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Race; ethnicity; insurance</w:t>
            </w:r>
          </w:p>
        </w:tc>
        <w:tc>
          <w:tcPr>
            <w:tcW w:type="dxa" w:w="37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Social/health-system context, not biological causes.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Full augmentation improved disposition median ΔAUROC +0.003/ΔAUPRC +0.003; HLOS +0.003/+0.004, with subgroup calibration gains.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Retain only for disposition + categorical HLOS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No universal AUROC-change threshold or univariable P-value rule was used. Decisions integrated temporal performance, calibration/proper scoring, timing/leakage, measurement burden, clinical interpretability, and subgroup behavior.</w:t>
      </w:r>
    </w:p>
    <w:p>
      <w:r>
        <w:br w:type="page"/>
      </w:r>
    </w:p>
    <w:p>
      <w:pPr>
        <w:keepNext/>
        <w:spacing w:before="0" w:after="100"/>
      </w:pPr>
      <w:r>
        <w:rPr>
          <w:rFonts w:ascii="Arial" w:hAnsi="Arial"/>
          <w:b/>
          <w:color w:val="17365D"/>
          <w:sz w:val="21"/>
        </w:rPr>
        <w:t>eTable 4. Full rolling-origin temporal classification performance.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  <w:gridCol w:w="1348"/>
      </w:tblGrid>
      <w:tr>
        <w:trPr>
          <w:tblHeader w:val="true"/>
          <w:cantSplit w:val="true"/>
        </w:trPr>
        <w:tc>
          <w:tcPr>
            <w:tcW w:type="dxa" w:w="79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Year</w:t>
            </w:r>
          </w:p>
        </w:tc>
        <w:tc>
          <w:tcPr>
            <w:tcW w:type="dxa" w:w="237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Output</w:t>
            </w:r>
          </w:p>
        </w:tc>
        <w:tc>
          <w:tcPr>
            <w:tcW w:type="dxa" w:w="122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</w:t>
            </w:r>
          </w:p>
        </w:tc>
        <w:tc>
          <w:tcPr>
            <w:tcW w:type="dxa" w:w="108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Prevalence</w:t>
            </w:r>
          </w:p>
        </w:tc>
        <w:tc>
          <w:tcPr>
            <w:tcW w:type="dxa" w:w="93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AUROC</w:t>
            </w:r>
          </w:p>
        </w:tc>
        <w:tc>
          <w:tcPr>
            <w:tcW w:type="dxa" w:w="93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AUPRC</w:t>
            </w:r>
          </w:p>
        </w:tc>
        <w:tc>
          <w:tcPr>
            <w:tcW w:type="dxa" w:w="893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 lift</w:t>
            </w:r>
          </w:p>
        </w:tc>
        <w:tc>
          <w:tcPr>
            <w:tcW w:type="dxa" w:w="893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Brier</w:t>
            </w:r>
          </w:p>
        </w:tc>
        <w:tc>
          <w:tcPr>
            <w:tcW w:type="dxa" w:w="979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Log loss</w:t>
            </w:r>
          </w:p>
        </w:tc>
        <w:tc>
          <w:tcPr>
            <w:tcW w:type="dxa" w:w="1123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Cal. intercept</w:t>
            </w:r>
          </w:p>
        </w:tc>
        <w:tc>
          <w:tcPr>
            <w:tcW w:type="dxa" w:w="979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Cal. slope</w:t>
            </w:r>
          </w:p>
        </w:tc>
      </w:tr>
      <w:tr>
        <w:trPr>
          <w:cantSplit w:val="true"/>
        </w:trPr>
        <w:tc>
          <w:tcPr>
            <w:tcW w:type="dxa" w:w="79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4"/>
              </w:rPr>
              <w:t>Craniotomy/craniectomy</w:t>
            </w:r>
          </w:p>
        </w:tc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22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80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89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89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79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12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79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152,944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0.304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6.6×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0.037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0.131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-0.021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1.019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4.8%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0.316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6.6×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0.038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0.134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+0.004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1.032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4.7%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0.319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6.7×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0.037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0.134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-0.008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1.043</w:t>
            </w:r>
          </w:p>
        </w:tc>
      </w:tr>
      <w:tr>
        <w:trPr>
          <w:cantSplit w:val="true"/>
        </w:trPr>
        <w:tc>
          <w:tcPr>
            <w:tcW w:type="dxa" w:w="79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4"/>
              </w:rPr>
              <w:t>Disposition</w:t>
            </w:r>
          </w:p>
        </w:tc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22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80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89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89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79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12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79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152,944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12.5%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0.783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6.3×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0.052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0.179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+0.020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1.013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12.3%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0.783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6.4×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0.051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0.176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-0.066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1.017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12.2%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0.777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6.3×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0.052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0.179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-0.084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1.011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152,944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63.7%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0.871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0.918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1.4×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0.137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0.421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+0.016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1.002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62.7%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0.912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1.5×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0.141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0.431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-0.001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0.991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61.9%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0.907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1.5×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0.143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0.437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+0.004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0.997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152,944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23.8%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0.789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0.508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2.1×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0.147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0.446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-0.022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0.984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25.0%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0.788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0.522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2.1×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0.152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0.458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+0.024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0.994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25.8%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0.785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0.526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2.0×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0.155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0.466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+0.025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0.992</w:t>
            </w:r>
          </w:p>
        </w:tc>
      </w:tr>
      <w:tr>
        <w:trPr>
          <w:cantSplit w:val="true"/>
        </w:trPr>
        <w:tc>
          <w:tcPr>
            <w:tcW w:type="dxa" w:w="79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4"/>
              </w:rPr>
              <w:t>Hospital LOS trajectory</w:t>
            </w:r>
          </w:p>
        </w:tc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22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80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89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89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79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12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79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152,708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24.5%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0.764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0.478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1.9×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0.156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0.473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+0.076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0.962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152,527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24.7%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0.765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0.489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2.0×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0.156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0.473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+0.029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0.995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151,686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25.1%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0.762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0.491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2.0×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0.158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0.479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+0.028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0.994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152,708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70.3%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0.907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1.3×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0.153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0.466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-0.110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1.003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152,527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70.5%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0.906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1.3×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0.151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0.464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-0.030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1.015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151,686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70.2%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0.809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0.903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1.3×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0.153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0.469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-0.019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1.008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152,708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5.1%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0.870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0.293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5.7×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0.041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+0.126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0.979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152,527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0.873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0.280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5.8×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0.039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0.144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+0.001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0.999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151,686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4.7%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0.875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0.278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6.0×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0.038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0.139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-0.040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1.004</w:t>
            </w:r>
          </w:p>
        </w:tc>
      </w:tr>
      <w:tr>
        <w:trPr>
          <w:cantSplit w:val="true"/>
        </w:trPr>
        <w:tc>
          <w:tcPr>
            <w:tcW w:type="dxa" w:w="79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4"/>
              </w:rPr>
              <w:t>ICU trajectory</w:t>
            </w:r>
          </w:p>
        </w:tc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22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80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89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89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79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12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79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Any ICU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152,944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50.3%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0.858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0.857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1.7×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0.153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0.464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-0.042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1.041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Any ICU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51.6%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0.855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0.862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1.7×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0.155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0.467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+0.007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1.027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Any ICU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52.4%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0.853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0.863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1.6×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0.155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0.468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+0.010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1.039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1-7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152,944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38.5%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0.612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1.6×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0.190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0.552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-0.061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1.022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1-7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39.9%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0.625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1.6×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0.193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0.560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-0.005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0.999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1-7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40.9%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0.632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1.5×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0.194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0.563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+0.013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1.016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152,944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11.8%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0.539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4.6×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0.073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0.245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+0.070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1.013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11.8%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0.542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4.6×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0.072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0.242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+0.028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1.024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11.5%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0.546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4.7×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0.071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0.239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-0.012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1.026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ICU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152,944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49.7%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0.858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0.861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1.7×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0.153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0.464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+0.042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1.041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ICU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48.4%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0.855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0.851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1.8×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0.155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0.467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-0.007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1.027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ICU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47.6%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0.853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0.846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1.8×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0.155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0.468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-0.010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1.039</w:t>
            </w:r>
          </w:p>
        </w:tc>
      </w:tr>
      <w:tr>
        <w:trPr>
          <w:cantSplit w:val="true"/>
        </w:trPr>
        <w:tc>
          <w:tcPr>
            <w:tcW w:type="dxa" w:w="79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4"/>
              </w:rPr>
              <w:t>Invasive ICP monitoring</w:t>
            </w:r>
          </w:p>
        </w:tc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22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80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89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89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79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12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79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152,944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4.1%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0.365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9.0×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0.030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0.108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-0.082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1.006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0.354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9.1×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0.030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0.105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-0.118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1.003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3.7%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0.340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9.2×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0.028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0.102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-0.145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1.006</w:t>
            </w:r>
          </w:p>
        </w:tc>
      </w:tr>
      <w:tr>
        <w:trPr>
          <w:cantSplit w:val="true"/>
        </w:trPr>
        <w:tc>
          <w:tcPr>
            <w:tcW w:type="dxa" w:w="79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4"/>
              </w:rPr>
              <w:t>Mechanical ventilation trajectory</w:t>
            </w:r>
          </w:p>
        </w:tc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22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80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89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89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79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12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79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Any ventilation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152,944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21.9%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0.868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4.0×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0.067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0.232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-0.051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1.033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Any ventilation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21.5%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0.865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4.0×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0.066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0.229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-0.091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1.022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Any ventilation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21.0%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0.862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4.1×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0.065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0.227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-0.092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1.024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ventilation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152,944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78.1%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0.979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1.3×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0.067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0.232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+0.051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1.033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ventilation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78.5%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0.980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1.2×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0.066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0.229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+0.091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1.022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 ventilation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79.0%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0.980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1.2×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0.065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0.227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+0.092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1.024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1-7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152,944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14.9%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0.652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4.4×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0.078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0.257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-0.041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1.029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1-7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14.7%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0.653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4.5×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0.076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0.254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-0.055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1.028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1-7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14.4%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0.653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4.5×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0.075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0.250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-0.036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1.036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152,944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0.470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6.8×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0.047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-0.005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1.040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6.8%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0.461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6.8×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0.046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-0.040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1.027</w:t>
            </w:r>
          </w:p>
        </w:tc>
      </w:tr>
      <w:tr>
        <w:trPr>
          <w:cantSplit w:val="true"/>
        </w:trPr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0.467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7.1×</w:t>
            </w:r>
          </w:p>
        </w:tc>
        <w:tc>
          <w:tcPr>
            <w:tcW w:type="dxa" w:w="89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0.044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-0.074</w:t>
            </w:r>
          </w:p>
        </w:tc>
        <w:tc>
          <w:tcPr>
            <w:tcW w:type="dxa" w:w="97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1.036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All estimates derive from the locked rolling-origin temporal evaluations. Derived any-ICU and any-ventilation probabilities come from the corresponding multiclass trajectory models. These are temporal-evaluation predictions, not random-split or full-data deployment validation results.</w:t>
      </w:r>
    </w:p>
    <w:p>
      <w:r>
        <w:br w:type="page"/>
      </w:r>
    </w:p>
    <w:p>
      <w:pPr>
        <w:keepNext/>
        <w:spacing w:before="0" w:after="100"/>
      </w:pPr>
      <w:r>
        <w:rPr>
          <w:rFonts w:ascii="Arial" w:hAnsi="Arial"/>
          <w:b/>
          <w:color w:val="17365D"/>
          <w:sz w:val="21"/>
        </w:rPr>
        <w:t>eTable 5. Continuous-duration performance and threshold justification.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A. Rolling-origin continuous-duration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  <w:gridCol w:w="1236"/>
      </w:tblGrid>
      <w:tr>
        <w:trPr>
          <w:tblHeader w:val="true"/>
          <w:cantSplit w:val="true"/>
        </w:trPr>
        <w:tc>
          <w:tcPr>
            <w:tcW w:type="dxa" w:w="835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Year</w:t>
            </w:r>
          </w:p>
        </w:tc>
        <w:tc>
          <w:tcPr>
            <w:tcW w:type="dxa" w:w="237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Outcome</w:t>
            </w:r>
          </w:p>
        </w:tc>
        <w:tc>
          <w:tcPr>
            <w:tcW w:type="dxa" w:w="1181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</w:t>
            </w:r>
          </w:p>
        </w:tc>
        <w:tc>
          <w:tcPr>
            <w:tcW w:type="dxa" w:w="1037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MAE, d</w:t>
            </w:r>
          </w:p>
        </w:tc>
        <w:tc>
          <w:tcPr>
            <w:tcW w:type="dxa" w:w="151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Improvement vs benchmark</w:t>
            </w:r>
          </w:p>
        </w:tc>
        <w:tc>
          <w:tcPr>
            <w:tcW w:type="dxa" w:w="1195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Median bias, d</w:t>
            </w:r>
          </w:p>
        </w:tc>
        <w:tc>
          <w:tcPr>
            <w:tcW w:type="dxa" w:w="108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Pinball loss</w:t>
            </w:r>
          </w:p>
        </w:tc>
        <w:tc>
          <w:tcPr>
            <w:tcW w:type="dxa" w:w="907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Emp. Q10</w:t>
            </w:r>
          </w:p>
        </w:tc>
        <w:tc>
          <w:tcPr>
            <w:tcW w:type="dxa" w:w="907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Emp. Q50</w:t>
            </w:r>
          </w:p>
        </w:tc>
        <w:tc>
          <w:tcPr>
            <w:tcW w:type="dxa" w:w="907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Emp. Q90</w:t>
            </w:r>
          </w:p>
        </w:tc>
        <w:tc>
          <w:tcPr>
            <w:tcW w:type="dxa" w:w="1368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Q10-Q90 coverage</w:t>
            </w:r>
          </w:p>
        </w:tc>
        <w:tc>
          <w:tcPr>
            <w:tcW w:type="dxa" w:w="1469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Median range width, d</w:t>
            </w:r>
          </w:p>
        </w:tc>
      </w:tr>
      <w:tr>
        <w:trPr>
          <w:cantSplit w:val="true"/>
        </w:trPr>
        <w:tc>
          <w:tcPr>
            <w:tcW w:type="dxa" w:w="83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152,708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4.78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12.8%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-0.05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1.66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0.105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0.487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0.882</w:t>
            </w:r>
          </w:p>
        </w:tc>
        <w:tc>
          <w:tcPr>
            <w:tcW w:type="dxa" w:w="13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77.7%</w:t>
            </w:r>
          </w:p>
        </w:tc>
        <w:tc>
          <w:tcPr>
            <w:tcW w:type="dxa" w:w="146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9.15</w:t>
            </w:r>
          </w:p>
        </w:tc>
      </w:tr>
      <w:tr>
        <w:trPr>
          <w:cantSplit w:val="true"/>
        </w:trPr>
        <w:tc>
          <w:tcPr>
            <w:tcW w:type="dxa" w:w="83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152,527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4.61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16.0%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1.60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0.104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0.493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0.892</w:t>
            </w:r>
          </w:p>
        </w:tc>
        <w:tc>
          <w:tcPr>
            <w:tcW w:type="dxa" w:w="13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78.8%</w:t>
            </w:r>
          </w:p>
        </w:tc>
        <w:tc>
          <w:tcPr>
            <w:tcW w:type="dxa" w:w="146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9.50</w:t>
            </w:r>
          </w:p>
        </w:tc>
      </w:tr>
      <w:tr>
        <w:trPr>
          <w:cantSplit w:val="true"/>
        </w:trPr>
        <w:tc>
          <w:tcPr>
            <w:tcW w:type="dxa" w:w="83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151,686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4.54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17.3%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1.56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0.100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0.494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0.894</w:t>
            </w:r>
          </w:p>
        </w:tc>
        <w:tc>
          <w:tcPr>
            <w:tcW w:type="dxa" w:w="13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79.5%</w:t>
            </w:r>
          </w:p>
        </w:tc>
        <w:tc>
          <w:tcPr>
            <w:tcW w:type="dxa" w:w="146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9.66</w:t>
            </w:r>
          </w:p>
        </w:tc>
      </w:tr>
      <w:tr>
        <w:trPr>
          <w:cantSplit w:val="true"/>
        </w:trPr>
        <w:tc>
          <w:tcPr>
            <w:tcW w:type="dxa" w:w="83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LOS conditional on ICU use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76,867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3.68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6.5%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1.26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0.119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0.464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0.883</w:t>
            </w:r>
          </w:p>
        </w:tc>
        <w:tc>
          <w:tcPr>
            <w:tcW w:type="dxa" w:w="13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78.7%</w:t>
            </w:r>
          </w:p>
        </w:tc>
        <w:tc>
          <w:tcPr>
            <w:tcW w:type="dxa" w:w="146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7.97</w:t>
            </w:r>
          </w:p>
        </w:tc>
      </w:tr>
      <w:tr>
        <w:trPr>
          <w:cantSplit w:val="true"/>
        </w:trPr>
        <w:tc>
          <w:tcPr>
            <w:tcW w:type="dxa" w:w="83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LOS conditional on ICU use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78,844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3.55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9.8%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-0.08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1.22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0.116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0.480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0.891</w:t>
            </w:r>
          </w:p>
        </w:tc>
        <w:tc>
          <w:tcPr>
            <w:tcW w:type="dxa" w:w="13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79.7%</w:t>
            </w:r>
          </w:p>
        </w:tc>
        <w:tc>
          <w:tcPr>
            <w:tcW w:type="dxa" w:w="146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7.88</w:t>
            </w:r>
          </w:p>
        </w:tc>
      </w:tr>
      <w:tr>
        <w:trPr>
          <w:cantSplit w:val="true"/>
        </w:trPr>
        <w:tc>
          <w:tcPr>
            <w:tcW w:type="dxa" w:w="83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LOS conditional on ICU use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79,606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3.41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13.3%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1.17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0.119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0.490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0.898</w:t>
            </w:r>
          </w:p>
        </w:tc>
        <w:tc>
          <w:tcPr>
            <w:tcW w:type="dxa" w:w="13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80.0%</w:t>
            </w:r>
          </w:p>
        </w:tc>
        <w:tc>
          <w:tcPr>
            <w:tcW w:type="dxa" w:w="146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7.77</w:t>
            </w:r>
          </w:p>
        </w:tc>
      </w:tr>
      <w:tr>
        <w:trPr>
          <w:cantSplit w:val="true"/>
        </w:trPr>
        <w:tc>
          <w:tcPr>
            <w:tcW w:type="dxa" w:w="83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Ventilator duration conditional on ventilation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33,423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4.91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7.3%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1.66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0.165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0.498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0.893</w:t>
            </w:r>
          </w:p>
        </w:tc>
        <w:tc>
          <w:tcPr>
            <w:tcW w:type="dxa" w:w="13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74.5%</w:t>
            </w:r>
          </w:p>
        </w:tc>
        <w:tc>
          <w:tcPr>
            <w:tcW w:type="dxa" w:w="146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14.48</w:t>
            </w:r>
          </w:p>
        </w:tc>
      </w:tr>
      <w:tr>
        <w:trPr>
          <w:cantSplit w:val="true"/>
        </w:trPr>
        <w:tc>
          <w:tcPr>
            <w:tcW w:type="dxa" w:w="83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2023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Ventilator duration conditional on ventilation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32,774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4.92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7.1%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1.67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0.162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0.499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0.891</w:t>
            </w:r>
          </w:p>
        </w:tc>
        <w:tc>
          <w:tcPr>
            <w:tcW w:type="dxa" w:w="13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79.2%</w:t>
            </w:r>
          </w:p>
        </w:tc>
        <w:tc>
          <w:tcPr>
            <w:tcW w:type="dxa" w:w="146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14.54</w:t>
            </w:r>
          </w:p>
        </w:tc>
      </w:tr>
      <w:tr>
        <w:trPr>
          <w:cantSplit w:val="true"/>
        </w:trPr>
        <w:tc>
          <w:tcPr>
            <w:tcW w:type="dxa" w:w="83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2024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Ventilator duration conditional on ventilation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31,883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4.79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9.4%</w:t>
            </w:r>
          </w:p>
        </w:tc>
        <w:tc>
          <w:tcPr>
            <w:tcW w:type="dxa" w:w="119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1.63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0.162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0.507</w:t>
            </w:r>
          </w:p>
        </w:tc>
        <w:tc>
          <w:tcPr>
            <w:tcW w:type="dxa" w:w="90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0.893</w:t>
            </w:r>
          </w:p>
        </w:tc>
        <w:tc>
          <w:tcPr>
            <w:tcW w:type="dxa" w:w="136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76.8%</w:t>
            </w:r>
          </w:p>
        </w:tc>
        <w:tc>
          <w:tcPr>
            <w:tcW w:type="dxa" w:w="1469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14.47</w:t>
            </w:r>
          </w:p>
        </w:tc>
      </w:tr>
    </w:tbl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B. Development-only threshold context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blHeader w:val="true"/>
          <w:cantSplit w:val="true"/>
        </w:trPr>
        <w:tc>
          <w:tcPr>
            <w:tcW w:type="dxa" w:w="295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Outcome</w:t>
            </w:r>
          </w:p>
        </w:tc>
        <w:tc>
          <w:tcPr>
            <w:tcW w:type="dxa" w:w="158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Chosen threshold, d</w:t>
            </w:r>
          </w:p>
        </w:tc>
        <w:tc>
          <w:tcPr>
            <w:tcW w:type="dxa" w:w="187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Development N</w:t>
            </w:r>
          </w:p>
        </w:tc>
        <w:tc>
          <w:tcPr>
            <w:tcW w:type="dxa" w:w="144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Events</w:t>
            </w:r>
          </w:p>
        </w:tc>
        <w:tc>
          <w:tcPr>
            <w:tcW w:type="dxa" w:w="144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Prevalence</w:t>
            </w:r>
          </w:p>
        </w:tc>
        <w:tc>
          <w:tcPr>
            <w:tcW w:type="dxa" w:w="237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Development percentile at threshold</w:t>
            </w:r>
          </w:p>
        </w:tc>
        <w:tc>
          <w:tcPr>
            <w:tcW w:type="dxa" w:w="446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Rationale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Hospital LOS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28</w:t>
            </w:r>
          </w:p>
        </w:tc>
        <w:tc>
          <w:tcPr>
            <w:tcW w:type="dxa" w:w="187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601,358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28,994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4.8%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95.2th</w:t>
            </w:r>
          </w:p>
        </w:tc>
        <w:tc>
          <w:tcPr>
            <w:tcW w:type="dxa" w:w="44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4-week extended trajectory; approximately upper 5% development tail.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ICU LOS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187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604,006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69,111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11.4%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88.6th</w:t>
            </w:r>
          </w:p>
        </w:tc>
        <w:tc>
          <w:tcPr>
            <w:tcW w:type="dxa" w:w="44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Extended ICU trajectory using &gt;7 days.</w:t>
            </w:r>
          </w:p>
        </w:tc>
      </w:tr>
      <w:tr>
        <w:trPr>
          <w:cantSplit w:val="true"/>
        </w:trPr>
        <w:tc>
          <w:tcPr>
            <w:tcW w:type="dxa" w:w="29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Ventilator duration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8</w:t>
            </w:r>
          </w:p>
        </w:tc>
        <w:tc>
          <w:tcPr>
            <w:tcW w:type="dxa" w:w="187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604,006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41,711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6.9%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93.1th</w:t>
            </w:r>
          </w:p>
        </w:tc>
        <w:tc>
          <w:tcPr>
            <w:tcW w:type="dxa" w:w="446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Extended mechanical ventilation using &gt;7 days; not labeled a universal PMV definition.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Q10–Q90 is reported as an estimated 10th–90th percentile range. Hospital LOS ≥28 days corresponds to approximately the upper 5% of development HLOS; ICU and ventilation ≥8 days use descriptive extended-resource thresholds.</w:t>
      </w:r>
    </w:p>
    <w:p>
      <w:r>
        <w:br w:type="page"/>
      </w:r>
    </w:p>
    <w:p>
      <w:pPr>
        <w:keepNext/>
        <w:spacing w:before="0" w:after="100"/>
      </w:pPr>
      <w:r>
        <w:rPr>
          <w:rFonts w:ascii="Arial" w:hAnsi="Arial"/>
          <w:b/>
          <w:color w:val="17365D"/>
          <w:sz w:val="21"/>
        </w:rPr>
        <w:t>eTable 6. Locked deployment specification and reproducibility details.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A. Locked full-development deployment specification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1483"/>
        <w:gridCol w:w="1483"/>
        <w:gridCol w:w="1483"/>
        <w:gridCol w:w="1483"/>
        <w:gridCol w:w="1483"/>
        <w:gridCol w:w="1483"/>
        <w:gridCol w:w="1483"/>
        <w:gridCol w:w="1483"/>
        <w:gridCol w:w="1483"/>
      </w:tblGrid>
      <w:tr>
        <w:trPr>
          <w:tblHeader w:val="true"/>
          <w:cantSplit w:val="true"/>
        </w:trPr>
        <w:tc>
          <w:tcPr>
            <w:tcW w:type="dxa" w:w="252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Endpoint</w:t>
            </w:r>
          </w:p>
        </w:tc>
        <w:tc>
          <w:tcPr>
            <w:tcW w:type="dxa" w:w="2808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Predictor policy</w:t>
            </w:r>
          </w:p>
        </w:tc>
        <w:tc>
          <w:tcPr>
            <w:tcW w:type="dxa" w:w="2088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Objective</w:t>
            </w:r>
          </w:p>
        </w:tc>
        <w:tc>
          <w:tcPr>
            <w:tcW w:type="dxa" w:w="79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Depth</w:t>
            </w:r>
          </w:p>
        </w:tc>
        <w:tc>
          <w:tcPr>
            <w:tcW w:type="dxa" w:w="1123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Min child wt</w:t>
            </w:r>
          </w:p>
        </w:tc>
        <w:tc>
          <w:tcPr>
            <w:tcW w:type="dxa" w:w="1181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Row subsample</w:t>
            </w:r>
          </w:p>
        </w:tc>
        <w:tc>
          <w:tcPr>
            <w:tcW w:type="dxa" w:w="1325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Column subsample</w:t>
            </w:r>
          </w:p>
        </w:tc>
        <w:tc>
          <w:tcPr>
            <w:tcW w:type="dxa" w:w="93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L2 lambda</w:t>
            </w:r>
          </w:p>
        </w:tc>
        <w:tc>
          <w:tcPr>
            <w:tcW w:type="dxa" w:w="144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Boosting rounds</w:t>
            </w:r>
          </w:p>
        </w:tc>
        <w:tc>
          <w:tcPr>
            <w:tcW w:type="dxa" w:w="144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Training N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Disposition</w:t>
            </w:r>
          </w:p>
        </w:tc>
        <w:tc>
          <w:tcPr>
            <w:tcW w:type="dxa" w:w="28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Pragmatic clinical + race + ethnicity + payer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Multiclass probability</w:t>
            </w:r>
          </w:p>
        </w:tc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</w:t>
            </w:r>
          </w:p>
        </w:tc>
        <w:tc>
          <w:tcPr>
            <w:tcW w:type="dxa" w:w="132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1,672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755,880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trajectory</w:t>
            </w:r>
          </w:p>
        </w:tc>
        <w:tc>
          <w:tcPr>
            <w:tcW w:type="dxa" w:w="28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Pragmatic clinical + race + ethnicity + payer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Multiclass probability</w:t>
            </w:r>
          </w:p>
        </w:tc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</w:t>
            </w:r>
          </w:p>
        </w:tc>
        <w:tc>
          <w:tcPr>
            <w:tcW w:type="dxa" w:w="132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1,930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753,044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trajectory</w:t>
            </w:r>
          </w:p>
        </w:tc>
        <w:tc>
          <w:tcPr>
            <w:tcW w:type="dxa" w:w="28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Pragmatic clinical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Multiclass probability</w:t>
            </w:r>
          </w:p>
        </w:tc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</w:t>
            </w:r>
          </w:p>
        </w:tc>
        <w:tc>
          <w:tcPr>
            <w:tcW w:type="dxa" w:w="132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1,760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755,880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Mechanical ventilation trajectory</w:t>
            </w:r>
          </w:p>
        </w:tc>
        <w:tc>
          <w:tcPr>
            <w:tcW w:type="dxa" w:w="28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Pragmatic clinical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Multiclass probability</w:t>
            </w:r>
          </w:p>
        </w:tc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</w:t>
            </w:r>
          </w:p>
        </w:tc>
        <w:tc>
          <w:tcPr>
            <w:tcW w:type="dxa" w:w="132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1,327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755,880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28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Pragmatic clinical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 logistic</w:t>
            </w:r>
          </w:p>
        </w:tc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</w:t>
            </w:r>
          </w:p>
        </w:tc>
        <w:tc>
          <w:tcPr>
            <w:tcW w:type="dxa" w:w="132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646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755,880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28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Pragmatic clinical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Binary logistic</w:t>
            </w:r>
          </w:p>
        </w:tc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</w:t>
            </w:r>
          </w:p>
        </w:tc>
        <w:tc>
          <w:tcPr>
            <w:tcW w:type="dxa" w:w="132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871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755,880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</w:t>
            </w:r>
          </w:p>
        </w:tc>
        <w:tc>
          <w:tcPr>
            <w:tcW w:type="dxa" w:w="28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Pragmatic clinical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Quantile regression</w:t>
            </w:r>
          </w:p>
        </w:tc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</w:t>
            </w:r>
          </w:p>
        </w:tc>
        <w:tc>
          <w:tcPr>
            <w:tcW w:type="dxa" w:w="132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4,341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753,044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LOS conditional on ICU use</w:t>
            </w:r>
          </w:p>
        </w:tc>
        <w:tc>
          <w:tcPr>
            <w:tcW w:type="dxa" w:w="28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Pragmatic clinical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Quantile regression</w:t>
            </w:r>
          </w:p>
        </w:tc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</w:t>
            </w:r>
          </w:p>
        </w:tc>
        <w:tc>
          <w:tcPr>
            <w:tcW w:type="dxa" w:w="132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1,187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382,514</w:t>
            </w:r>
          </w:p>
        </w:tc>
      </w:tr>
      <w:tr>
        <w:trPr>
          <w:cantSplit w:val="true"/>
        </w:trPr>
        <w:tc>
          <w:tcPr>
            <w:tcW w:type="dxa" w:w="252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Ventilator duration conditional on ventilation</w:t>
            </w:r>
          </w:p>
        </w:tc>
        <w:tc>
          <w:tcPr>
            <w:tcW w:type="dxa" w:w="28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Pragmatic clinical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Quantile regression</w:t>
            </w:r>
          </w:p>
        </w:tc>
        <w:tc>
          <w:tcPr>
            <w:tcW w:type="dxa" w:w="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</w:t>
            </w:r>
          </w:p>
        </w:tc>
        <w:tc>
          <w:tcPr>
            <w:tcW w:type="dxa" w:w="1325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1,181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164,638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Learning rate (eta) was fixed at 0.05 for all models. Hospital LOS duration required extension of the boosting-round search maximum to 5,000 and selected 4,341 rounds. Full-development fits are deployment models and are not manuscript-facing validation estimates.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B. Prespecified structural search space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  <w:cantSplit w:val="true"/>
        </w:trPr>
        <w:tc>
          <w:tcPr>
            <w:tcW w:type="dxa" w:w="4608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Hyperparameter / design element</w:t>
            </w:r>
          </w:p>
        </w:tc>
        <w:tc>
          <w:tcPr>
            <w:tcW w:type="dxa" w:w="979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Prespecified values or design</w:t>
            </w:r>
          </w:p>
        </w:tc>
      </w:tr>
      <w:tr>
        <w:trPr>
          <w:cantSplit w:val="true"/>
        </w:trPr>
        <w:tc>
          <w:tcPr>
            <w:tcW w:type="dxa" w:w="46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Learning rate (eta)</w:t>
            </w:r>
          </w:p>
        </w:tc>
        <w:tc>
          <w:tcPr>
            <w:tcW w:type="dxa" w:w="9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0.05 (fixed)</w:t>
            </w:r>
          </w:p>
        </w:tc>
      </w:tr>
      <w:tr>
        <w:trPr>
          <w:cantSplit w:val="true"/>
        </w:trPr>
        <w:tc>
          <w:tcPr>
            <w:tcW w:type="dxa" w:w="46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Maximum tree depth</w:t>
            </w:r>
          </w:p>
        </w:tc>
        <w:tc>
          <w:tcPr>
            <w:tcW w:type="dxa" w:w="9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2, 3, 4, 5</w:t>
            </w:r>
          </w:p>
        </w:tc>
      </w:tr>
      <w:tr>
        <w:trPr>
          <w:cantSplit w:val="true"/>
        </w:trPr>
        <w:tc>
          <w:tcPr>
            <w:tcW w:type="dxa" w:w="46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Minimum child weight</w:t>
            </w:r>
          </w:p>
        </w:tc>
        <w:tc>
          <w:tcPr>
            <w:tcW w:type="dxa" w:w="9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5, 10, 20</w:t>
            </w:r>
          </w:p>
        </w:tc>
      </w:tr>
      <w:tr>
        <w:trPr>
          <w:cantSplit w:val="true"/>
        </w:trPr>
        <w:tc>
          <w:tcPr>
            <w:tcW w:type="dxa" w:w="46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Row subsampling</w:t>
            </w:r>
          </w:p>
        </w:tc>
        <w:tc>
          <w:tcPr>
            <w:tcW w:type="dxa" w:w="9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0.75, 0.90, 1.00</w:t>
            </w:r>
          </w:p>
        </w:tc>
      </w:tr>
      <w:tr>
        <w:trPr>
          <w:cantSplit w:val="true"/>
        </w:trPr>
        <w:tc>
          <w:tcPr>
            <w:tcW w:type="dxa" w:w="46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Column subsampling</w:t>
            </w:r>
          </w:p>
        </w:tc>
        <w:tc>
          <w:tcPr>
            <w:tcW w:type="dxa" w:w="9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0.75, 0.85, 0.90, 1.00</w:t>
            </w:r>
          </w:p>
        </w:tc>
      </w:tr>
      <w:tr>
        <w:trPr>
          <w:cantSplit w:val="true"/>
        </w:trPr>
        <w:tc>
          <w:tcPr>
            <w:tcW w:type="dxa" w:w="46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L2 regularization (lambda)</w:t>
            </w:r>
          </w:p>
        </w:tc>
        <w:tc>
          <w:tcPr>
            <w:tcW w:type="dxa" w:w="9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1, 5</w:t>
            </w:r>
          </w:p>
        </w:tc>
      </w:tr>
      <w:tr>
        <w:trPr>
          <w:cantSplit w:val="true"/>
        </w:trPr>
        <w:tc>
          <w:tcPr>
            <w:tcW w:type="dxa" w:w="46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Structural search design</w:t>
            </w:r>
          </w:p>
        </w:tc>
        <w:tc>
          <w:tcPr>
            <w:tcW w:type="dxa" w:w="979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24 prespecified combinations drawn from the values above; not a full factorial grid</w:t>
            </w:r>
          </w:p>
        </w:tc>
      </w:tr>
    </w:tbl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C. Selection, encoding, calibration, and reproducibility rules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416"/>
        <w:gridCol w:w="7416"/>
      </w:tblGrid>
      <w:tr>
        <w:trPr>
          <w:tblHeader w:val="true"/>
          <w:cantSplit w:val="true"/>
        </w:trPr>
        <w:tc>
          <w:tcPr>
            <w:tcW w:type="dxa" w:w="309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Component</w:t>
            </w:r>
          </w:p>
        </w:tc>
        <w:tc>
          <w:tcPr>
            <w:tcW w:type="dxa" w:w="1130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Specification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Structural hyperparameter selection</w:t>
            </w:r>
          </w:p>
        </w:tc>
        <w:tc>
          <w:tcPr>
            <w:tcW w:type="dxa" w:w="11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Across the 2022, 2023, and 2024 forward-temporal tuning folds, select the configuration with the lowest mean relative excess tuning loss; ties were resolved by lower mean rank, lower worst rank, shallower tree depth, then larger L2 regularization.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Boosting-round selection</w:t>
            </w:r>
          </w:p>
        </w:tc>
        <w:tc>
          <w:tcPr>
            <w:tcW w:type="dxa" w:w="11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After structural hyperparameters were locked, year/outcome-stratified 5-fold internal cross-validation on the full 2020–2024 deployment-development cohort selected boosting rounds only. These folds were not used as manuscript-facing validation.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Missing data and categorical encoding</w:t>
            </w:r>
          </w:p>
        </w:tc>
        <w:tc>
          <w:tcPr>
            <w:tcW w:type="dxa" w:w="11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Numeric predictors remained numeric and XGBoost handled missing numeric values natively. Categorical levels were fit in training data and one-hot encoded; missing/blank values used an explicit unknown level and unseen application-time levels used an explicit other/unseen level.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Flexible calibration</w:t>
            </w:r>
          </w:p>
        </w:tc>
        <w:tc>
          <w:tcPr>
            <w:tcW w:type="dxa" w:w="11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For each binary or one-vs-rest probability target, a binomial GLM with a natural cubic spline of logit predicted probability (df=4) was evaluated over the 0.5th–99.5th percentile of predicted risk with pointwise 95% confidence intervals.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Deployment artifacts</w:t>
            </w:r>
          </w:p>
        </w:tc>
        <w:tc>
          <w:tcPr>
            <w:tcW w:type="dxa" w:w="11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Exact deployed model and encoder files, together with the file-integrity checksum manifest, are provided in the public code repository rather than reproduced as manuscript-table hash strings.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Software environment</w:t>
            </w:r>
          </w:p>
        </w:tc>
        <w:tc>
          <w:tcPr>
            <w:tcW w:type="dxa" w:w="11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 4.6.0; RStudio 2026.1.0.392; XGBoost 3.2.0. CUDA acceleration was used for XGBoost fitting.</w:t>
            </w:r>
          </w:p>
        </w:tc>
      </w:tr>
    </w:tbl>
    <w:p>
      <w:pPr>
        <w:keepNext/>
        <w:spacing w:before="0" w:after="100"/>
      </w:pPr>
      <w:r>
        <w:rPr>
          <w:rFonts w:ascii="Arial" w:hAnsi="Arial"/>
          <w:b/>
          <w:color w:val="17365D"/>
          <w:sz w:val="21"/>
        </w:rPr>
        <w:t>eTable 7. Predictor and model-form sensitivity analyses.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A. Predictor-family ablation: median change in AUROC versus full reference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blHeader w:val="true"/>
          <w:cantSplit w:val="true"/>
        </w:trPr>
        <w:tc>
          <w:tcPr>
            <w:tcW w:type="dxa" w:w="403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Ablation</w:t>
            </w:r>
          </w:p>
        </w:tc>
        <w:tc>
          <w:tcPr>
            <w:tcW w:type="dxa" w:w="165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Disposition</w:t>
            </w:r>
          </w:p>
        </w:tc>
        <w:tc>
          <w:tcPr>
            <w:tcW w:type="dxa" w:w="165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HLOS</w:t>
            </w:r>
          </w:p>
        </w:tc>
        <w:tc>
          <w:tcPr>
            <w:tcW w:type="dxa" w:w="158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ICU</w:t>
            </w:r>
          </w:p>
        </w:tc>
        <w:tc>
          <w:tcPr>
            <w:tcW w:type="dxa" w:w="180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Ventilation</w:t>
            </w:r>
          </w:p>
        </w:tc>
        <w:tc>
          <w:tcPr>
            <w:tcW w:type="dxa" w:w="151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ICP</w:t>
            </w:r>
          </w:p>
        </w:tc>
        <w:tc>
          <w:tcPr>
            <w:tcW w:type="dxa" w:w="1728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Craniotomy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Remove respiratory assistance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-0.0001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-0.0001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-0.0001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-0.0001</w:t>
            </w:r>
          </w:p>
        </w:tc>
        <w:tc>
          <w:tcPr>
            <w:tcW w:type="dxa" w:w="172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+0.0001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Remove helmet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-0.0004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-0.0000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-0.0001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+0.0001</w:t>
            </w:r>
          </w:p>
        </w:tc>
        <w:tc>
          <w:tcPr>
            <w:tcW w:type="dxa" w:w="172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+0.0001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Remove GCS airway qualifiers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-0.0004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-0.0002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-0.0004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-0.0002</w:t>
            </w:r>
          </w:p>
        </w:tc>
        <w:tc>
          <w:tcPr>
            <w:tcW w:type="dxa" w:w="172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-0.0001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Remove mechanism + helmet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-0.0020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-0.0024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-0.0011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-0.0010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-0.0011</w:t>
            </w:r>
          </w:p>
        </w:tc>
        <w:tc>
          <w:tcPr>
            <w:tcW w:type="dxa" w:w="172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-0.0035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Remove extracranial injury phenotypes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-0.0150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-0.0236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-0.0101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-0.0057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-0.0005</w:t>
            </w:r>
          </w:p>
        </w:tc>
        <w:tc>
          <w:tcPr>
            <w:tcW w:type="dxa" w:w="172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-0.0011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Remove selected PMHx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-0.0064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-0.0047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-0.0033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-0.0016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-0.0004</w:t>
            </w:r>
          </w:p>
        </w:tc>
        <w:tc>
          <w:tcPr>
            <w:tcW w:type="dxa" w:w="172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-0.0013</w:t>
            </w:r>
          </w:p>
        </w:tc>
      </w:tr>
      <w:tr>
        <w:trPr>
          <w:cantSplit w:val="true"/>
        </w:trPr>
        <w:tc>
          <w:tcPr>
            <w:tcW w:type="dxa" w:w="403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Core neurologic predictors only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-0.0273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-0.0391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-0.0191</w:t>
            </w:r>
          </w:p>
        </w:tc>
        <w:tc>
          <w:tcPr>
            <w:tcW w:type="dxa" w:w="180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-0.0127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-0.0034</w:t>
            </w:r>
          </w:p>
        </w:tc>
        <w:tc>
          <w:tcPr>
            <w:tcW w:type="dxa" w:w="172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-0.0087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Multiclass columns use macro-AUROC; binary columns use AUROC. Negative values indicate worse discrimination after removal.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B1. Exact pragmatic backbone versus current reference — classification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72"/>
        <w:gridCol w:w="2472"/>
        <w:gridCol w:w="2472"/>
        <w:gridCol w:w="2472"/>
        <w:gridCol w:w="2472"/>
        <w:gridCol w:w="2472"/>
      </w:tblGrid>
      <w:tr>
        <w:trPr>
          <w:tblHeader w:val="true"/>
          <w:cantSplit w:val="true"/>
        </w:trPr>
        <w:tc>
          <w:tcPr>
            <w:tcW w:type="dxa" w:w="3888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Endpoint</w:t>
            </w:r>
          </w:p>
        </w:tc>
        <w:tc>
          <w:tcPr>
            <w:tcW w:type="dxa" w:w="194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Median ΔAUROC</w:t>
            </w:r>
          </w:p>
        </w:tc>
        <w:tc>
          <w:tcPr>
            <w:tcW w:type="dxa" w:w="194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Worst ΔAUROC</w:t>
            </w:r>
          </w:p>
        </w:tc>
        <w:tc>
          <w:tcPr>
            <w:tcW w:type="dxa" w:w="194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Median ΔAUPRC</w:t>
            </w:r>
          </w:p>
        </w:tc>
        <w:tc>
          <w:tcPr>
            <w:tcW w:type="dxa" w:w="194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Median ΔBrier</w:t>
            </w:r>
          </w:p>
        </w:tc>
        <w:tc>
          <w:tcPr>
            <w:tcW w:type="dxa" w:w="2088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Median Δlog loss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Disposition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-0.0002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-0.0005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-0.0004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+0.00006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+0.00022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Hospital LOS trajectory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-0.0004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-0.0007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-0.0003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+0.00003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+0.00019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ICU trajectory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-0.0002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-0.0005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-0.0004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+0.00011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+0.00030</w:t>
            </w:r>
          </w:p>
        </w:tc>
      </w:tr>
      <w:tr>
        <w:trPr>
          <w:cantSplit w:val="true"/>
        </w:trPr>
        <w:tc>
          <w:tcPr>
            <w:tcW w:type="dxa" w:w="38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Mechanical ventilation trajectory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-0.0002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-0.0003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-0.0005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+0.00014</w:t>
            </w:r>
          </w:p>
        </w:tc>
        <w:tc>
          <w:tcPr>
            <w:tcW w:type="dxa" w:w="208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+0.00041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For multiclass disposition, HLOS, ICU, and ventilation trajectories, AUROC and AUPRC refer to the macro-averaged class metrics used in the sensitivity analysis. Values are pragmatic-backbone minus current-reference performance.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B2. Exact pragmatic backbone versus current reference — duration models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rPr>
          <w:tblHeader w:val="true"/>
          <w:cantSplit w:val="true"/>
        </w:trPr>
        <w:tc>
          <w:tcPr>
            <w:tcW w:type="dxa" w:w="691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Outcome</w:t>
            </w:r>
          </w:p>
        </w:tc>
        <w:tc>
          <w:tcPr>
            <w:tcW w:type="dxa" w:w="331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Median ΔMAE, d</w:t>
            </w:r>
          </w:p>
        </w:tc>
        <w:tc>
          <w:tcPr>
            <w:tcW w:type="dxa" w:w="331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Worst ΔMAE, d</w:t>
            </w:r>
          </w:p>
        </w:tc>
      </w:tr>
      <w:tr>
        <w:trPr>
          <w:cantSplit w:val="true"/>
        </w:trPr>
        <w:tc>
          <w:tcPr>
            <w:tcW w:type="dxa" w:w="69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Hospital LOS</w:t>
            </w:r>
          </w:p>
        </w:tc>
        <w:tc>
          <w:tcPr>
            <w:tcW w:type="dxa" w:w="33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+0.0012</w:t>
            </w:r>
          </w:p>
        </w:tc>
        <w:tc>
          <w:tcPr>
            <w:tcW w:type="dxa" w:w="33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+0.0052</w:t>
            </w:r>
          </w:p>
        </w:tc>
      </w:tr>
      <w:tr>
        <w:trPr>
          <w:cantSplit w:val="true"/>
        </w:trPr>
        <w:tc>
          <w:tcPr>
            <w:tcW w:type="dxa" w:w="69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ICU LOS conditional on ICU use</w:t>
            </w:r>
          </w:p>
        </w:tc>
        <w:tc>
          <w:tcPr>
            <w:tcW w:type="dxa" w:w="33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+0.0029</w:t>
            </w:r>
          </w:p>
        </w:tc>
        <w:tc>
          <w:tcPr>
            <w:tcW w:type="dxa" w:w="33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+0.0044</w:t>
            </w:r>
          </w:p>
        </w:tc>
      </w:tr>
      <w:tr>
        <w:trPr>
          <w:cantSplit w:val="true"/>
        </w:trPr>
        <w:tc>
          <w:tcPr>
            <w:tcW w:type="dxa" w:w="69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5"/>
              </w:rPr>
              <w:t>Ventilator duration conditional on ventilation</w:t>
            </w:r>
          </w:p>
        </w:tc>
        <w:tc>
          <w:tcPr>
            <w:tcW w:type="dxa" w:w="33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+0.0010</w:t>
            </w:r>
          </w:p>
        </w:tc>
        <w:tc>
          <w:tcPr>
            <w:tcW w:type="dxa" w:w="33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5"/>
              </w:rPr>
              <w:t>+0.0033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Positive ΔMAE indicates slightly greater error after pragmatic-backbone simplification; all observed changes were only thousandths of a day.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C. XGBoost versus ridge comparator in the identical 2024 evaluation cohort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1483"/>
        <w:gridCol w:w="1483"/>
        <w:gridCol w:w="1483"/>
        <w:gridCol w:w="1483"/>
        <w:gridCol w:w="1483"/>
        <w:gridCol w:w="1483"/>
        <w:gridCol w:w="1483"/>
        <w:gridCol w:w="1483"/>
        <w:gridCol w:w="1483"/>
      </w:tblGrid>
      <w:tr>
        <w:trPr>
          <w:tblHeader w:val="true"/>
          <w:cantSplit w:val="true"/>
        </w:trPr>
        <w:tc>
          <w:tcPr>
            <w:tcW w:type="dxa" w:w="237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Output</w:t>
            </w:r>
          </w:p>
        </w:tc>
        <w:tc>
          <w:tcPr>
            <w:tcW w:type="dxa" w:w="115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</w:t>
            </w:r>
          </w:p>
        </w:tc>
        <w:tc>
          <w:tcPr>
            <w:tcW w:type="dxa" w:w="108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Events</w:t>
            </w:r>
          </w:p>
        </w:tc>
        <w:tc>
          <w:tcPr>
            <w:tcW w:type="dxa" w:w="115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XGB AUROC</w:t>
            </w:r>
          </w:p>
        </w:tc>
        <w:tc>
          <w:tcPr>
            <w:tcW w:type="dxa" w:w="115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Ridge AUROC</w:t>
            </w:r>
          </w:p>
        </w:tc>
        <w:tc>
          <w:tcPr>
            <w:tcW w:type="dxa" w:w="165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ΔAUROC (XGB−Ridge)</w:t>
            </w:r>
          </w:p>
        </w:tc>
        <w:tc>
          <w:tcPr>
            <w:tcW w:type="dxa" w:w="1181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XGB AUPRC</w:t>
            </w:r>
          </w:p>
        </w:tc>
        <w:tc>
          <w:tcPr>
            <w:tcW w:type="dxa" w:w="1181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Ridge AUPRC</w:t>
            </w:r>
          </w:p>
        </w:tc>
        <w:tc>
          <w:tcPr>
            <w:tcW w:type="dxa" w:w="1123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XGB Brier</w:t>
            </w:r>
          </w:p>
        </w:tc>
        <w:tc>
          <w:tcPr>
            <w:tcW w:type="dxa" w:w="1123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Ridge Brier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Post-acute facility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39,239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0.785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0.765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+0.020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0.526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0.493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0.155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0.161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Death/hospice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18,590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0.939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0.924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+0.015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0.777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0.725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0.052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0.058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Any ICU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79,606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0.853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0.823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+0.030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0.863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0.830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0.155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0.171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ICU ≥8 days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17,516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0.885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0.856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+0.029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0.546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0.480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0.071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0.077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Any ventilation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31,883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0.940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0.926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+0.014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0.862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0.824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0.065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0.075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Ventilation ≥8 days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9,958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0.916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0.896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+0.020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0.467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0.417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0.044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0.047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Hospital LOS ≥28 days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151,686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7,071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0.875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0.843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+0.032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0.278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0.234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0.038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0.039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Invasive ICP monitoring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5,608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0.925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0.906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+0.019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0.340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0.307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0.028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0.029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Craniotomy/craniectomy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0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7,211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0.894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0.872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+0.022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0.319</w:t>
            </w:r>
          </w:p>
        </w:tc>
        <w:tc>
          <w:tcPr>
            <w:tcW w:type="dxa" w:w="1181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0.267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0.037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0.039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For every headline target, Ridge and XGBoost evaluation N and event counts matched exactly. Ridge models used the same endpoint definitions and predictor policy, train-only numeric median imputation, one-hot categorical encoding, alpha = 0, and lambda.min selected by 5-fold internal cross-validation within 2020–2023. Positive ΔAUROC indicates higher XGBoost discrimination. The comparator is a conventional-model benchmark, not a separate model-selection test.</w:t>
      </w:r>
    </w:p>
    <w:p>
      <w:pPr>
        <w:keepNext/>
        <w:spacing w:before="0" w:after="100"/>
      </w:pPr>
      <w:r>
        <w:rPr>
          <w:rFonts w:ascii="Arial" w:hAnsi="Arial"/>
          <w:b/>
          <w:color w:val="17365D"/>
          <w:sz w:val="21"/>
        </w:rPr>
        <w:t>eTable 8. 2024 subgroup, social-context, clinical-timing, and robustness analyses.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A. Absolute performance across prespecified clinical subgroups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1483"/>
        <w:gridCol w:w="1483"/>
        <w:gridCol w:w="1483"/>
        <w:gridCol w:w="1483"/>
        <w:gridCol w:w="1483"/>
        <w:gridCol w:w="1483"/>
        <w:gridCol w:w="1483"/>
        <w:gridCol w:w="1483"/>
        <w:gridCol w:w="1483"/>
      </w:tblGrid>
      <w:tr>
        <w:trPr>
          <w:tblHeader w:val="true"/>
          <w:cantSplit w:val="true"/>
        </w:trPr>
        <w:tc>
          <w:tcPr>
            <w:tcW w:type="dxa" w:w="237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Level</w:t>
            </w:r>
          </w:p>
        </w:tc>
        <w:tc>
          <w:tcPr>
            <w:tcW w:type="dxa" w:w="237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Output</w:t>
            </w:r>
          </w:p>
        </w:tc>
        <w:tc>
          <w:tcPr>
            <w:tcW w:type="dxa" w:w="122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</w:t>
            </w:r>
          </w:p>
        </w:tc>
        <w:tc>
          <w:tcPr>
            <w:tcW w:type="dxa" w:w="115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Events</w:t>
            </w:r>
          </w:p>
        </w:tc>
        <w:tc>
          <w:tcPr>
            <w:tcW w:type="dxa" w:w="1008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Prev.</w:t>
            </w:r>
          </w:p>
        </w:tc>
        <w:tc>
          <w:tcPr>
            <w:tcW w:type="dxa" w:w="93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AUROC</w:t>
            </w:r>
          </w:p>
        </w:tc>
        <w:tc>
          <w:tcPr>
            <w:tcW w:type="dxa" w:w="93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AUPRC</w:t>
            </w:r>
          </w:p>
        </w:tc>
        <w:tc>
          <w:tcPr>
            <w:tcW w:type="dxa" w:w="93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Brier</w:t>
            </w:r>
          </w:p>
        </w:tc>
        <w:tc>
          <w:tcPr>
            <w:tcW w:type="dxa" w:w="1037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Cal. int.</w:t>
            </w:r>
          </w:p>
        </w:tc>
        <w:tc>
          <w:tcPr>
            <w:tcW w:type="dxa" w:w="1037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Cal. slope</w:t>
            </w:r>
          </w:p>
        </w:tc>
      </w:tr>
      <w:tr>
        <w:trPr>
          <w:cantSplit w:val="true"/>
        </w:trPr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4"/>
              </w:rPr>
              <w:t>GCS severity</w:t>
            </w:r>
          </w:p>
        </w:tc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22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15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08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 unknown/unclassifiable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5,235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1,388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26.5%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0.734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0.454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0.170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1.007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Mild GCS 13-15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116,329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28,422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24.4%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0.783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0.507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1.009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Moderate GCS 9-12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7,908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2,933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37.1%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0.711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0.564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0.204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0.913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Severe GCS 3-8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22,402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6,496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29.0%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0.590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+0.035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0.944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 unknown/unclassifiable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5,235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618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11.8%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0.874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0.610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0.069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1.085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Mild GCS 13-15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116,329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4,966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4.3%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0.301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-0.098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1.020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Moderate GCS 9-12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7,908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1,459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18.4%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0.613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0.104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-0.100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Severe GCS 3-8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22,402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11,547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51.5%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0.119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 unknown/unclassifiable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5,235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417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8.0%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0.806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0.312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0.064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0.961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Mild GCS 13-15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116,329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7,013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6.0%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0.847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0.322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1.027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Moderate GCS 9-12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7,908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2,133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27.0%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0.790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0.580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1.016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Severe GCS 3-8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22,402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7,953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35.5%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0.684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0.165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1.014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 unknown/unclassifiable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5,235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207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4.0%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0.845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0.282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0.949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Mild GCS 13-15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116,329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2,560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2.2%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0.208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0.019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-0.139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1.014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Moderate GCS 9-12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7,908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1,173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14.8%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0.803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0.397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0.106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-0.158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1.043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Severe GCS 3-8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22,402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6,018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26.9%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0.794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0.561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1.041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 unknown/unclassifiable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5,200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149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0.026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1.054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Mild GCS 13-15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116,236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2,629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2.3%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0.837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0.144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0.021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1.010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Moderate GCS 9-12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7,905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883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11.2%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0.765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0.295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0.089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Severe GCS 3-8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22,345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3,410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15.3%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0.790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0.356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0.112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0.963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 unknown/unclassifiable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5,235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93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1.8%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0.834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0.128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0.017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-0.285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0.848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Mild GCS 13-15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116,329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1,109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0.101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0.009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-0.148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1.055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Moderate GCS 9-12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7,908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605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7.7%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0.277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0.063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-0.214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Severe GCS 3-8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22,402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3,801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17.0%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0.795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0.405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0.119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-0.127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0.984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GCS unknown/unclassifiable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5,235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240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0.191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-0.058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Mild GCS 13-15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116,329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3,113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2.7%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0.206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0.023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-0.054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1.081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Moderate GCS 9-12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7,908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815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10.3%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0.841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0.382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0.076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1.016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Severe GCS 3-8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22,402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3,043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13.6%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0.824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0.407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0.097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0.976</w:t>
            </w:r>
          </w:p>
        </w:tc>
      </w:tr>
      <w:tr>
        <w:trPr>
          <w:cantSplit w:val="true"/>
        </w:trPr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4"/>
              </w:rPr>
              <w:t>Age</w:t>
            </w:r>
          </w:p>
        </w:tc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22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15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08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18-39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38,919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6,480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16.6%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0.854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0.537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0.102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0.970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40-64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43,706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9,252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21.2%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0.804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0.513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0.132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0.996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65-79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42,314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13,297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31.4%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0.719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0.521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0.188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1.007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80-89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26,935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10,210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37.9%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0.666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0.519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0.216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1.001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18-39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38,919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4,269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11.0%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0.029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-0.086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1.031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40-64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43,706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4,606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10.5%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0.956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0.808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-0.102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1.003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65-79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42,314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5,169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12.2%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0.696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0.062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1.003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80-89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26,935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4,546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16.9%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0.682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0.088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1.017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18-39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38,919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5,342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13.7%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0.643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0.072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1.024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40-64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43,706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6,197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14.2%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0.590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0.081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1.043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65-79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42,314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4,318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10.2%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0.845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0.430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0.072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1.011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80-89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26,935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1,659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6.2%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0.798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0.229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0.052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1.017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18-39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38,919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3,467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0.532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0.054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-0.050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1.060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40-64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43,706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3,720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8.5%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0.498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0.055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1.042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65-79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42,314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2,168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5.1%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0.361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-0.080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0.994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80-89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26,935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603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2.2%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0.020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-0.185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1.014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18-39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38,857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2,462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6.3%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0.350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1.005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40-64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43,647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2,750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6.3%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0.286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0.050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-0.055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1.001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65-79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42,277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1,425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3.4%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0.824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0.165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1.020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80-89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26,905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434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0.782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0.069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0.015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1.037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18-39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38,919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2,380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6.1%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0.415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-0.137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1.025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40-64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43,706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1,940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4.4%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0.335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-0.162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0.994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65-79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42,314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996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2.4%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0.199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0.021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-0.116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0.989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80-89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26,935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292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1.1%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0.839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0.084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0.010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-0.195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18-39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38,919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2,195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0.406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+0.037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1.027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40-64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43,706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2,256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5.2%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0.344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1.037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65-79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42,314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1,938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0.859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0.238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1.023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80-89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26,935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822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3.1%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0.837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0.028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-0.137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1.075</w:t>
            </w:r>
          </w:p>
        </w:tc>
      </w:tr>
      <w:tr>
        <w:trPr>
          <w:cantSplit w:val="true"/>
        </w:trPr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4"/>
              </w:rPr>
              <w:t>Sex</w:t>
            </w:r>
          </w:p>
        </w:tc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22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15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08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Female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55,965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15,699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28.1%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0.768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0.532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0.166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0.991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95,506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23,414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24.5%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0.794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0.522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0.148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0.993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Female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55,965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5,738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10.3%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0.731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1.019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95,506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12,784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13.4%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0.796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0.054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-0.086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1.007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Female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55,965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4,471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8.0%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0.472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0.054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1.031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95,506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12,966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13.6%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0.569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0.081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1.026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Female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55,965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2,383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4.3%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0.403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1.024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95,506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7,531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0.486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0.052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-0.086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1.045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Female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55,905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1,641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0.878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0.236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0.025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95,378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5,391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5.7%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0.291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-0.057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Female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55,965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1,287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2.3%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0.301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0.018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-0.124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1.007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95,506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4,301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4.5%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0.352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-0.150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1.007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Female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55,965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2,026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0.285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0.029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1.076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Male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95,506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5,154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5.4%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0.333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1.031</w:t>
            </w:r>
          </w:p>
        </w:tc>
      </w:tr>
      <w:tr>
        <w:trPr>
          <w:cantSplit w:val="true"/>
        </w:trPr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4"/>
              </w:rPr>
              <w:t>Clinical input missingness</w:t>
            </w:r>
          </w:p>
        </w:tc>
        <w:tc>
          <w:tcPr>
            <w:tcW w:type="dxa" w:w="237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22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15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08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4"/>
              </w:rPr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0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117,361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30,499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26.0%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0.783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0.527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0.156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0.989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23,660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6,412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27.1%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0.778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0.533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0.161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2,357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608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25.8%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0.803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0.560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0.149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+0.070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1.052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≥3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8,496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1,720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20.2%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0.462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0.129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1.056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0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117,361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11,400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9.7%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0.697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-0.083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23,660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3,585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15.2%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0.775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0.064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-0.122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1.001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2,357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710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30.1%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0.081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-0.107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1.022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≥3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8,496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2,895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34.1%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0.968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0.958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0.054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1.093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0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117,361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13,324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11.4%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0.542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0.070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23,660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3,189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13.5%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0.585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0.079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1.017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2,357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415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17.6%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0.876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0.604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0.099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1.097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≥3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ICU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8,496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588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0.844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0.330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0.054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0.984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0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117,361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7,414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6.3%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0.461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-0.083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1.037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23,660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1,950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8.2%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0.514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0.053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-0.057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1.056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2,357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284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12.0%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0.873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0.488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0.080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1.022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≥3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Ventilation ≥8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8,496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310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0.265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0.961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0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117,318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5,344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0.873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0.271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1.001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23,592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1,339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5.7%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0.317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1.003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2,331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170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7.3%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0.346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0.056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-0.092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1.068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≥3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8,445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218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0.845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0.162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0.023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1.018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0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117,361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4,226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0.338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0.028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-0.152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1.010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23,660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1,092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0.377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-0.125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1.001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2,357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136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5.8%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0.345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0.979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≥3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Invasive ICP monitoring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8,496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154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1.8%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0.148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0.017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-0.160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0.933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0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117,361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5,451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0.320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1.049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1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23,660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1,314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0.354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1.052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2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2,357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140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5.9%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0.274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0.049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-0.140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0.949</w:t>
            </w:r>
          </w:p>
        </w:tc>
      </w:tr>
      <w:tr>
        <w:trPr>
          <w:cantSplit w:val="true"/>
        </w:trPr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≥3 missing/unknown</w:t>
            </w:r>
          </w:p>
        </w:tc>
        <w:tc>
          <w:tcPr>
            <w:tcW w:type="dxa" w:w="237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Craniotomy/craniectomy</w:t>
            </w:r>
          </w:p>
        </w:tc>
        <w:tc>
          <w:tcPr>
            <w:tcW w:type="dxa" w:w="12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8,496</w:t>
            </w:r>
          </w:p>
        </w:tc>
        <w:tc>
          <w:tcPr>
            <w:tcW w:type="dxa" w:w="115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306</w:t>
            </w:r>
          </w:p>
        </w:tc>
        <w:tc>
          <w:tcPr>
            <w:tcW w:type="dxa" w:w="1008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3.6%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0.186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0.032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0.954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Absolute metrics are shown rather than subgroup-minus-overall deltas. Lower discrimination within a clinically restricted subgroup may reflect narrower case mix and should not, by itself, be interpreted as probability miscalibration or inequity.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B. Race, ethnicity, and payer contextual-augmentation performance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3"/>
        <w:gridCol w:w="1483"/>
        <w:gridCol w:w="1483"/>
        <w:gridCol w:w="1483"/>
        <w:gridCol w:w="1483"/>
        <w:gridCol w:w="1483"/>
        <w:gridCol w:w="1483"/>
        <w:gridCol w:w="1483"/>
        <w:gridCol w:w="1483"/>
        <w:gridCol w:w="1483"/>
      </w:tblGrid>
      <w:tr>
        <w:trPr>
          <w:tblHeader w:val="true"/>
          <w:cantSplit w:val="true"/>
        </w:trPr>
        <w:tc>
          <w:tcPr>
            <w:tcW w:type="dxa" w:w="194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Level</w:t>
            </w:r>
          </w:p>
        </w:tc>
        <w:tc>
          <w:tcPr>
            <w:tcW w:type="dxa" w:w="230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Output</w:t>
            </w:r>
          </w:p>
        </w:tc>
        <w:tc>
          <w:tcPr>
            <w:tcW w:type="dxa" w:w="1037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N</w:t>
            </w:r>
          </w:p>
        </w:tc>
        <w:tc>
          <w:tcPr>
            <w:tcW w:type="dxa" w:w="93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Prev.</w:t>
            </w:r>
          </w:p>
        </w:tc>
        <w:tc>
          <w:tcPr>
            <w:tcW w:type="dxa" w:w="1037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Aug AUROC</w:t>
            </w:r>
          </w:p>
        </w:tc>
        <w:tc>
          <w:tcPr>
            <w:tcW w:type="dxa" w:w="1037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Aug AUPRC</w:t>
            </w:r>
          </w:p>
        </w:tc>
        <w:tc>
          <w:tcPr>
            <w:tcW w:type="dxa" w:w="1123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Aug cal. int.</w:t>
            </w:r>
          </w:p>
        </w:tc>
        <w:tc>
          <w:tcPr>
            <w:tcW w:type="dxa" w:w="1123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Aug cal. slope</w:t>
            </w:r>
          </w:p>
        </w:tc>
        <w:tc>
          <w:tcPr>
            <w:tcW w:type="dxa" w:w="151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Clinical-only cal. int.</w:t>
            </w:r>
          </w:p>
        </w:tc>
        <w:tc>
          <w:tcPr>
            <w:tcW w:type="dxa" w:w="165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Improvement in |cal. int.|</w:t>
            </w:r>
          </w:p>
        </w:tc>
      </w:tr>
      <w:tr>
        <w:trPr>
          <w:cantSplit w:val="true"/>
        </w:trPr>
        <w:tc>
          <w:tcPr>
            <w:tcW w:type="dxa" w:w="194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3"/>
              </w:rPr>
              <w:t>Race</w:t>
            </w:r>
          </w:p>
        </w:tc>
        <w:tc>
          <w:tcPr>
            <w:tcW w:type="dxa" w:w="230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12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12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51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65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American Indian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1,063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67.7%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0.872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1.043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-0.024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Asian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5,918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62.0%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0.848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-0.114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0.936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+0.118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+0.004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Black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18,514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62.6%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0.989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-0.164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+0.133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Multiple races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889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63.7%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0.848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+0.110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0.865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+0.207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+0.097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 race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14,664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71.1%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0.946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+0.301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+0.290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White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106,693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60.7%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0.854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1.012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-0.012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3,682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54.5%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0.977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+0.021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American Indian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1,063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23.0%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0.790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0.507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0.935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-0.038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Asian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5,918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25.9%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0.512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+0.166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0.916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-0.009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-0.158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Black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18,514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25.0%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0.558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0.975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+0.227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+0.176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Multiple races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889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25.4%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0.499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-0.051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+0.024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 race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14,664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18.3%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0.475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0.946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-0.222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+0.211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White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106,693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27.2%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0.775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0.527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1.012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+0.020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+0.008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3,682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21.9%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0.525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+0.109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0.957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-0.085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-0.024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American Indian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1,063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9.3%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0.951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+0.085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1.091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-0.135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+0.050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Asian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5,918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12.2%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0.764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-0.168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1.025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-0.270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+0.102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Black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18,514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12.3%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0.958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0.839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1.023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-0.240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+0.170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Multiple races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889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10.9%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0.695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-0.375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0.892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-0.392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+0.017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 race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14,664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10.6%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0.962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0.823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1.021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-0.181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+0.118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White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106,693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12.1%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1.010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-0.050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-0.026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3,682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23.6%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0.965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-0.281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0.994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+0.096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-0.186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American Indian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1,062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73.5%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0.828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+0.253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0.956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+0.273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+0.021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Asian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5,915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68.4%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0.789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-0.114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0.979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-0.140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+0.027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Black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18,472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64.8%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0.830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-0.110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0.978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-0.400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+0.290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Multiple races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889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68.7%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0.786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+0.116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0.844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+0.103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-0.013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 race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14,650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70.1%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0.834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-0.081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+0.057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White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106,572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71.3%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0.801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1.021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+0.048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3,677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68.5%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0.839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0.994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+0.024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American Indian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1,062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21.8%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0.781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0.451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-0.147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1.015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-0.158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+0.011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Asian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5,915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26.3%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0.740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0.491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+0.096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0.953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+0.074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-0.022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Black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18,472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27.9%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0.764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0.510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+0.105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0.932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+0.291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+0.186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Multiple races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889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25.5%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0.736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0.484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-0.137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0.835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-0.091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-0.046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 race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14,650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23.9%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0.772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0.477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0.961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+0.042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-0.008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White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106,572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24.8%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0.760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0.489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1.016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-0.012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+0.000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3,677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24.6%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0.783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0.513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0.974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+0.010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American Indian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1,062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4.6%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0.857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0.297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-0.335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0.924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-0.360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+0.025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Asian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5,915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5.4%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0.841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0.281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+0.067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0.947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+0.272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+0.205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Black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18,472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7.3%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0.315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+0.304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+0.303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Multiple races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889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5.7%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0.295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+0.091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-0.030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-0.061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 race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14,650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6.0%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0.360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-0.082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1.070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+0.122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+0.041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White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106,572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3.9%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0.871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0.246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-0.055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1.003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-0.162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+0.107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3,677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6.9%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0.312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0.985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-0.051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+0.035</w:t>
            </w:r>
          </w:p>
        </w:tc>
      </w:tr>
      <w:tr>
        <w:trPr>
          <w:cantSplit w:val="true"/>
        </w:trPr>
        <w:tc>
          <w:tcPr>
            <w:tcW w:type="dxa" w:w="194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3"/>
              </w:rPr>
              <w:t>Ethnicity</w:t>
            </w:r>
          </w:p>
        </w:tc>
        <w:tc>
          <w:tcPr>
            <w:tcW w:type="dxa" w:w="230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12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12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51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65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Hispanic/Latino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23,402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71.4%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0.960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+0.261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+0.260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Not Hispanic/Latino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122,480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60.5%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0.856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1.002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-0.027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+0.025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5,992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54.7%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+0.078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+0.019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-0.059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Hispanic/Latino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23,402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18.9%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0.487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0.987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-0.169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+0.115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Not Hispanic/Latino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122,480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27.2%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0.775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0.531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0.994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+0.029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5,992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24.2%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0.803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0.530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0.975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-0.049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+0.042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Hispanic/Latino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23,402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9.7%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0.962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0.806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-0.167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1.011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-0.241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+0.074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Not Hispanic/Latino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122,480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12.3%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0.763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1.013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-0.075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+0.005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5,992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21.2%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0.957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-0.148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0.993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+0.074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-0.074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Hispanic/Latino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23,378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70.5%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0.838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1.010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-0.079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+0.038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Not Hispanic/Latino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122,320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70.3%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0.802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-0.014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+0.001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5,988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68.1%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0.832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1.017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-0.056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Hispanic/Latino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23,378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23.7%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0.781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0.491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0.999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+0.046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-0.005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Not Hispanic/Latino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122,320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25.4%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0.490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0.995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+0.027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+0.004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5,988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25.9%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0.779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0.515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+0.064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-0.046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Hispanic/Latino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23,378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5.8%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0.339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1.030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+0.102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+0.060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Not Hispanic/Latino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122,320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4.4%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0.870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0.263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1.001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-0.060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+0.016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5,988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6.0%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0.288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0.967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-0.097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+0.084</w:t>
            </w:r>
          </w:p>
        </w:tc>
      </w:tr>
      <w:tr>
        <w:trPr>
          <w:cantSplit w:val="true"/>
        </w:trPr>
        <w:tc>
          <w:tcPr>
            <w:tcW w:type="dxa" w:w="194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/>
                <w:color w:val="17365D"/>
                <w:sz w:val="13"/>
              </w:rPr>
              <w:t>Payer</w:t>
            </w:r>
          </w:p>
        </w:tc>
        <w:tc>
          <w:tcPr>
            <w:tcW w:type="dxa" w:w="2304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93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037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12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123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512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  <w:tc>
          <w:tcPr>
            <w:tcW w:type="dxa" w:w="1656"/>
            <w:shd w:fill="D9E2F3"/>
            <w:tcMar>
              <w:top w:w="55" w:type="dxa"/>
              <w:start w:w="60" w:type="dxa"/>
              <w:bottom w:w="55" w:type="dxa"/>
              <w:end w:w="6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color w:val="17365D"/>
                <w:sz w:val="13"/>
              </w:rPr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Medicaid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20,199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66.9%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0.878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0.981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-0.111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+0.094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Medicare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57,206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52.1%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0.784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0.782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1.011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+0.032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3,262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68.3%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+0.079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1.020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+0.161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+0.081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 government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4,656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65.1%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-0.082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0.966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-0.005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-0.076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Private/commercial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49,777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68.1%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+0.010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-0.007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Self-pay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13,817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70.2%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0.973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0.982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+0.660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+0.612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Home/home health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2,581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61.3%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1.052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+0.063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+0.037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Medicaid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20,199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22.8%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0.803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0.532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0.982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+0.166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+0.122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Medicare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57,206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34.3%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0.695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0.517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0.997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+0.064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+0.048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3,262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19.6%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0.516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1.002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-0.155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+0.110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 government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4,656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24.0%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0.788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0.503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+0.100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0.952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+0.059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-0.041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Private/commercial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49,777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22.8%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0.548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0.997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+0.059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+0.047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Self-pay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13,817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9.4%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0.838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0.347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+0.152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1.046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-0.820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+0.669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Post-acute facility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2,581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22.5%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0.541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1.088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+0.052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Medicaid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20,199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10.3%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0.957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0.799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-0.092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0.986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-0.207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+0.115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Medicare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57,206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13.6%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0.674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1.013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-0.010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3,262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12.1%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0.959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-0.080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0.979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+0.017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-0.063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 government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4,656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10.9%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0.747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0.976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-0.158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+0.089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Private/commercial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49,777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9.1%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0.957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0.777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-0.091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1.027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-0.228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+0.137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Self-pay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13,817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20.4%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0.983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-0.181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1.014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+0.361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+0.180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Death/hospice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2,581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16.2%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0.960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0.879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1.058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+0.055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+0.051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Medicaid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20,175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64.8%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0.845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0.903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0.984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-0.233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+0.207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Medicare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57,149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71.3%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0.734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1.000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-0.006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-0.000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3,241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69.8%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0.846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0.924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1.052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-0.037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-0.029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 government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4,652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66.7%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0.820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-0.240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+0.161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Private/commercial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49,725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69.6%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0.842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0.919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1.016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-0.013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-0.004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Self-pay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13,792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76.7%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0.858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0.949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1.020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+0.286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+0.224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≤7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2,576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72.7%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0.849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0.936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+0.051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1.111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+0.093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+0.042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Medicaid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20,175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26.8%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0.769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0.506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+0.061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0.970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+0.138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+0.077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Medicare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57,149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26.1%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0.708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0.451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0.982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+0.015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+0.008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3,241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24.3%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0.792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0.515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1.029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+0.036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-0.005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 government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4,652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27.3%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0.759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0.506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+0.097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0.951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+0.183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+0.087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Private/commercial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49,725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25.1%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0.791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0.525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1.002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+0.044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+0.021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Self-pay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13,792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18.2%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0.815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0.457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+0.077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-0.208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+0.130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8-27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2,576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23.9%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0.819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0.564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+0.061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1.193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+0.027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-0.035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Medicaid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20,175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8.4%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0.351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-0.093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0.990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+0.221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+0.128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Medicare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57,149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2.6%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0.820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0.143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1.032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+0.060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3,241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5.9%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0.879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0.311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+0.077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1.038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-0.001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-0.076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Other government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4,652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6.0%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0.869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0.304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-0.067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1.073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+0.185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+0.118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Private/commercial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49,725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5.3%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0.881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0.292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-0.023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1.008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-0.108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+0.085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Self-pay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13,792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5.1%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0.886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0.279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-0.042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1.021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-0.208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+0.166</w:t>
            </w:r>
          </w:p>
        </w:tc>
      </w:tr>
      <w:tr>
        <w:trPr>
          <w:cantSplit w:val="true"/>
        </w:trPr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Unknown</w:t>
            </w:r>
          </w:p>
        </w:tc>
        <w:tc>
          <w:tcPr>
            <w:tcW w:type="dxa" w:w="230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3"/>
              </w:rPr>
              <w:t>Hospital LOS ≥28 days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2,576</w:t>
            </w:r>
          </w:p>
        </w:tc>
        <w:tc>
          <w:tcPr>
            <w:tcW w:type="dxa" w:w="93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3.4%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0.896</w:t>
            </w:r>
          </w:p>
        </w:tc>
        <w:tc>
          <w:tcPr>
            <w:tcW w:type="dxa" w:w="1037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0.276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-0.461</w:t>
            </w:r>
          </w:p>
        </w:tc>
        <w:tc>
          <w:tcPr>
            <w:tcW w:type="dxa" w:w="1123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1.190</w:t>
            </w:r>
          </w:p>
        </w:tc>
        <w:tc>
          <w:tcPr>
            <w:tcW w:type="dxa" w:w="151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-0.489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3"/>
              </w:rPr>
              <w:t>+0.028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Augmented models include race, ethnicity, and payer only for disposition and categorical HLOS. Race and ethnicity are interpreted as social constructs and payer as a health-system/socioeconomic context variable. Improvement in |calibration intercept| is positive when augmentation moves calibration-in-the-large closer to zero. These are predictive calibration effects, not causal or biological effects. Estimates in small strata should be interpreted cautiously because event counts may be limited.</w:t>
      </w:r>
    </w:p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C. Ventilation timing sensitivity: extended ventilation (≥8 d) by baseline airway state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19"/>
        <w:gridCol w:w="2119"/>
        <w:gridCol w:w="2119"/>
        <w:gridCol w:w="2119"/>
        <w:gridCol w:w="2119"/>
        <w:gridCol w:w="2119"/>
        <w:gridCol w:w="2119"/>
      </w:tblGrid>
      <w:tr>
        <w:trPr>
          <w:tblHeader w:val="true"/>
          <w:cantSplit w:val="true"/>
        </w:trPr>
        <w:tc>
          <w:tcPr>
            <w:tcW w:type="dxa" w:w="345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Baseline airway state</w:t>
            </w:r>
          </w:p>
        </w:tc>
        <w:tc>
          <w:tcPr>
            <w:tcW w:type="dxa" w:w="158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</w:t>
            </w:r>
          </w:p>
        </w:tc>
        <w:tc>
          <w:tcPr>
            <w:tcW w:type="dxa" w:w="158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Prevalence</w:t>
            </w:r>
          </w:p>
        </w:tc>
        <w:tc>
          <w:tcPr>
            <w:tcW w:type="dxa" w:w="144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AUROC</w:t>
            </w:r>
          </w:p>
        </w:tc>
        <w:tc>
          <w:tcPr>
            <w:tcW w:type="dxa" w:w="144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AUPRC</w:t>
            </w:r>
          </w:p>
        </w:tc>
        <w:tc>
          <w:tcPr>
            <w:tcW w:type="dxa" w:w="165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Cal. intercept</w:t>
            </w:r>
          </w:p>
        </w:tc>
        <w:tc>
          <w:tcPr>
            <w:tcW w:type="dxa" w:w="165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Cal. slope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Baseline airway uncertain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5,928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5.3%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0.885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0.389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-0.014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0.959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Baseline airway-negative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130,573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4.3%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0.910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0.391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-0.115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1.035</w:t>
            </w:r>
          </w:p>
        </w:tc>
      </w:tr>
      <w:tr>
        <w:trPr>
          <w:cantSplit w:val="true"/>
        </w:trPr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Baseline airway-positive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15,373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26.3%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0.799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0.559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-0.005</w:t>
            </w:r>
          </w:p>
        </w:tc>
        <w:tc>
          <w:tcPr>
            <w:tcW w:type="dxa" w:w="16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1.011</w:t>
            </w:r>
          </w:p>
        </w:tc>
      </w:tr>
    </w:tbl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D. Early-death robustness in 2024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54"/>
        <w:gridCol w:w="1854"/>
        <w:gridCol w:w="1854"/>
        <w:gridCol w:w="1854"/>
        <w:gridCol w:w="1854"/>
        <w:gridCol w:w="1854"/>
        <w:gridCol w:w="1854"/>
        <w:gridCol w:w="1854"/>
      </w:tblGrid>
      <w:tr>
        <w:trPr>
          <w:tblHeader w:val="true"/>
          <w:cantSplit w:val="true"/>
        </w:trPr>
        <w:tc>
          <w:tcPr>
            <w:tcW w:type="dxa" w:w="309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Sensitivity</w:t>
            </w:r>
          </w:p>
        </w:tc>
        <w:tc>
          <w:tcPr>
            <w:tcW w:type="dxa" w:w="381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Outcome</w:t>
            </w:r>
          </w:p>
        </w:tc>
        <w:tc>
          <w:tcPr>
            <w:tcW w:type="dxa" w:w="144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N</w:t>
            </w:r>
          </w:p>
        </w:tc>
        <w:tc>
          <w:tcPr>
            <w:tcW w:type="dxa" w:w="144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Prevalence</w:t>
            </w:r>
          </w:p>
        </w:tc>
        <w:tc>
          <w:tcPr>
            <w:tcW w:type="dxa" w:w="129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AUROC</w:t>
            </w:r>
          </w:p>
        </w:tc>
        <w:tc>
          <w:tcPr>
            <w:tcW w:type="dxa" w:w="129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AUPRC</w:t>
            </w:r>
          </w:p>
        </w:tc>
        <w:tc>
          <w:tcPr>
            <w:tcW w:type="dxa" w:w="158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Cal. intercept</w:t>
            </w:r>
          </w:p>
        </w:tc>
        <w:tc>
          <w:tcPr>
            <w:tcW w:type="dxa" w:w="158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Cal. slope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Exclude death/hospice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ICU ≥8 days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133,284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10.3%</w:t>
            </w:r>
          </w:p>
        </w:tc>
        <w:tc>
          <w:tcPr>
            <w:tcW w:type="dxa" w:w="12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0.903</w:t>
            </w:r>
          </w:p>
        </w:tc>
        <w:tc>
          <w:tcPr>
            <w:tcW w:type="dxa" w:w="12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0.595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+0.024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1.145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Exclude death/hospice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Ventilation ≥8 days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133,284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5.2%</w:t>
            </w:r>
          </w:p>
        </w:tc>
        <w:tc>
          <w:tcPr>
            <w:tcW w:type="dxa" w:w="12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0.938</w:t>
            </w:r>
          </w:p>
        </w:tc>
        <w:tc>
          <w:tcPr>
            <w:tcW w:type="dxa" w:w="12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0.510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-0.089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1.163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Exclude death/hospice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Hospital LOS ≥28 days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133,163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4.9%</w:t>
            </w:r>
          </w:p>
        </w:tc>
        <w:tc>
          <w:tcPr>
            <w:tcW w:type="dxa" w:w="12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0.896</w:t>
            </w:r>
          </w:p>
        </w:tc>
        <w:tc>
          <w:tcPr>
            <w:tcW w:type="dxa" w:w="12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0.347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+0.162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1.112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Death-or-prolonged composite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Death/hospice or HLOS ≥28 days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151,753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16.6%</w:t>
            </w:r>
          </w:p>
        </w:tc>
        <w:tc>
          <w:tcPr>
            <w:tcW w:type="dxa" w:w="12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0.925</w:t>
            </w:r>
          </w:p>
        </w:tc>
        <w:tc>
          <w:tcPr>
            <w:tcW w:type="dxa" w:w="12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0.786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-0.083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1.006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Death-or-prolonged composite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Death/hospice or ICU LOS ≥8 days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21.3%</w:t>
            </w:r>
          </w:p>
        </w:tc>
        <w:tc>
          <w:tcPr>
            <w:tcW w:type="dxa" w:w="12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0.925</w:t>
            </w:r>
          </w:p>
        </w:tc>
        <w:tc>
          <w:tcPr>
            <w:tcW w:type="dxa" w:w="12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0.830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-0.061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0.999</w:t>
            </w:r>
          </w:p>
        </w:tc>
      </w:tr>
      <w:tr>
        <w:trPr>
          <w:cantSplit w:val="true"/>
        </w:trPr>
        <w:tc>
          <w:tcPr>
            <w:tcW w:type="dxa" w:w="30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Death-or-prolonged composite</w:t>
            </w:r>
          </w:p>
        </w:tc>
        <w:tc>
          <w:tcPr>
            <w:tcW w:type="dxa" w:w="381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Death/hospice or ventilation ≥8 days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151,874</w:t>
            </w:r>
          </w:p>
        </w:tc>
        <w:tc>
          <w:tcPr>
            <w:tcW w:type="dxa" w:w="144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16.8%</w:t>
            </w:r>
          </w:p>
        </w:tc>
        <w:tc>
          <w:tcPr>
            <w:tcW w:type="dxa" w:w="12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0.938</w:t>
            </w:r>
          </w:p>
        </w:tc>
        <w:tc>
          <w:tcPr>
            <w:tcW w:type="dxa" w:w="129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0.821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-0.117</w:t>
            </w:r>
          </w:p>
        </w:tc>
        <w:tc>
          <w:tcPr>
            <w:tcW w:type="dxa" w:w="158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0.997</w:t>
            </w:r>
          </w:p>
        </w:tc>
      </w:tr>
    </w:tbl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E1. COVID-era sensitivity — classification outputs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rPr>
          <w:tblHeader w:val="true"/>
          <w:cantSplit w:val="true"/>
        </w:trPr>
        <w:tc>
          <w:tcPr>
            <w:tcW w:type="dxa" w:w="662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Output</w:t>
            </w:r>
          </w:p>
        </w:tc>
        <w:tc>
          <w:tcPr>
            <w:tcW w:type="dxa" w:w="345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ΔAUROC</w:t>
            </w:r>
          </w:p>
        </w:tc>
        <w:tc>
          <w:tcPr>
            <w:tcW w:type="dxa" w:w="345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ΔBrier</w:t>
            </w:r>
          </w:p>
        </w:tc>
      </w:tr>
      <w:tr>
        <w:trPr>
          <w:cantSplit w:val="true"/>
        </w:trPr>
        <w:tc>
          <w:tcPr>
            <w:tcW w:type="dxa" w:w="66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Any ICU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-0.0006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+0.00030</w:t>
            </w:r>
          </w:p>
        </w:tc>
      </w:tr>
      <w:tr>
        <w:trPr>
          <w:cantSplit w:val="true"/>
        </w:trPr>
        <w:tc>
          <w:tcPr>
            <w:tcW w:type="dxa" w:w="66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Any ventilation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-0.0007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+0.00035</w:t>
            </w:r>
          </w:p>
        </w:tc>
      </w:tr>
      <w:tr>
        <w:trPr>
          <w:cantSplit w:val="true"/>
        </w:trPr>
        <w:tc>
          <w:tcPr>
            <w:tcW w:type="dxa" w:w="66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Craniotomy/craniectomy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-0.0004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+0.00004</w:t>
            </w:r>
          </w:p>
        </w:tc>
      </w:tr>
      <w:tr>
        <w:trPr>
          <w:cantSplit w:val="true"/>
        </w:trPr>
        <w:tc>
          <w:tcPr>
            <w:tcW w:type="dxa" w:w="66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Death/hospice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-0.0006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+0.00019</w:t>
            </w:r>
          </w:p>
        </w:tc>
      </w:tr>
      <w:tr>
        <w:trPr>
          <w:cantSplit w:val="true"/>
        </w:trPr>
        <w:tc>
          <w:tcPr>
            <w:tcW w:type="dxa" w:w="66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HLOS ≥28 d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-0.0020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+0.00014</w:t>
            </w:r>
          </w:p>
        </w:tc>
      </w:tr>
      <w:tr>
        <w:trPr>
          <w:cantSplit w:val="true"/>
        </w:trPr>
        <w:tc>
          <w:tcPr>
            <w:tcW w:type="dxa" w:w="66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ICU ≥8 d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-0.0011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+0.00025</w:t>
            </w:r>
          </w:p>
        </w:tc>
      </w:tr>
      <w:tr>
        <w:trPr>
          <w:cantSplit w:val="true"/>
        </w:trPr>
        <w:tc>
          <w:tcPr>
            <w:tcW w:type="dxa" w:w="66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ICP monitoring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+0.0002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-0.00000</w:t>
            </w:r>
          </w:p>
        </w:tc>
      </w:tr>
      <w:tr>
        <w:trPr>
          <w:cantSplit w:val="true"/>
        </w:trPr>
        <w:tc>
          <w:tcPr>
            <w:tcW w:type="dxa" w:w="66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Post-acute disposition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-0.0013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+0.00038</w:t>
            </w:r>
          </w:p>
        </w:tc>
      </w:tr>
      <w:tr>
        <w:trPr>
          <w:cantSplit w:val="true"/>
        </w:trPr>
        <w:tc>
          <w:tcPr>
            <w:tcW w:type="dxa" w:w="66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Ventilation ≥8 d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-0.0010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+0.00018</w:t>
            </w:r>
          </w:p>
        </w:tc>
      </w:tr>
    </w:tbl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E2. COVID-era sensitivity — continuous-duration outputs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44"/>
        <w:gridCol w:w="4944"/>
        <w:gridCol w:w="4944"/>
      </w:tblGrid>
      <w:tr>
        <w:trPr>
          <w:tblHeader w:val="true"/>
          <w:cantSplit w:val="true"/>
        </w:trPr>
        <w:tc>
          <w:tcPr>
            <w:tcW w:type="dxa" w:w="662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Outcome</w:t>
            </w:r>
          </w:p>
        </w:tc>
        <w:tc>
          <w:tcPr>
            <w:tcW w:type="dxa" w:w="345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ΔMAE</w:t>
            </w:r>
          </w:p>
        </w:tc>
        <w:tc>
          <w:tcPr>
            <w:tcW w:type="dxa" w:w="3456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ΔQ10–Q90 coverage</w:t>
            </w:r>
          </w:p>
        </w:tc>
      </w:tr>
      <w:tr>
        <w:trPr>
          <w:cantSplit w:val="true"/>
        </w:trPr>
        <w:tc>
          <w:tcPr>
            <w:tcW w:type="dxa" w:w="66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Hospital LOS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+0.017 d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-2.8 pp</w:t>
            </w:r>
          </w:p>
        </w:tc>
      </w:tr>
      <w:tr>
        <w:trPr>
          <w:cantSplit w:val="true"/>
        </w:trPr>
        <w:tc>
          <w:tcPr>
            <w:tcW w:type="dxa" w:w="66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ICU LOS conditional on ICU use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+0.013 d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-0.4 pp</w:t>
            </w:r>
          </w:p>
        </w:tc>
      </w:tr>
      <w:tr>
        <w:trPr>
          <w:cantSplit w:val="true"/>
        </w:trPr>
        <w:tc>
          <w:tcPr>
            <w:tcW w:type="dxa" w:w="662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Ventilator duration conditional on ventilation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+0.016 d</w:t>
            </w:r>
          </w:p>
        </w:tc>
        <w:tc>
          <w:tcPr>
            <w:tcW w:type="dxa" w:w="3456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-0.2 pp</w:t>
            </w:r>
          </w:p>
        </w:tc>
      </w:tr>
    </w:tbl>
    <w:p>
      <w:pPr>
        <w:keepNext/>
        <w:spacing w:before="80" w:after="60"/>
      </w:pPr>
      <w:r>
        <w:rPr>
          <w:rFonts w:ascii="Arial" w:hAnsi="Arial"/>
          <w:b/>
          <w:color w:val="1F1F1F"/>
          <w:sz w:val="18"/>
        </w:rPr>
        <w:t>Panel F. Selection audit for downstream-excluded direct presentations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66"/>
        <w:gridCol w:w="2966"/>
        <w:gridCol w:w="2966"/>
        <w:gridCol w:w="2966"/>
        <w:gridCol w:w="2966"/>
      </w:tblGrid>
      <w:tr>
        <w:trPr>
          <w:tblHeader w:val="true"/>
          <w:cantSplit w:val="true"/>
        </w:trPr>
        <w:tc>
          <w:tcPr>
            <w:tcW w:type="dxa" w:w="6480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Comparison</w:t>
            </w:r>
          </w:p>
        </w:tc>
        <w:tc>
          <w:tcPr>
            <w:tcW w:type="dxa" w:w="1872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Predictors assessed</w:t>
            </w:r>
          </w:p>
        </w:tc>
        <w:tc>
          <w:tcPr>
            <w:tcW w:type="dxa" w:w="194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|SMD| ≥0.10</w:t>
            </w:r>
          </w:p>
        </w:tc>
        <w:tc>
          <w:tcPr>
            <w:tcW w:type="dxa" w:w="194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|SMD| ≥0.20</w:t>
            </w:r>
          </w:p>
        </w:tc>
        <w:tc>
          <w:tcPr>
            <w:tcW w:type="dxa" w:w="1944"/>
            <w:shd w:fill="17365D"/>
            <w:vAlign w:val="center"/>
            <w:tcMar>
              <w:top w:w="65" w:type="dxa"/>
              <w:start w:w="50" w:type="dxa"/>
              <w:bottom w:w="65" w:type="dxa"/>
              <w:end w:w="50" w:type="dxa"/>
            </w:tcMar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Maximum |SMD|</w:t>
            </w:r>
          </w:p>
        </w:tc>
      </w:tr>
      <w:tr>
        <w:trPr>
          <w:cantSplit w:val="true"/>
        </w:trPr>
        <w:tc>
          <w:tcPr>
            <w:tcW w:type="dxa" w:w="64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Retained vs Future transfer-out</w:t>
            </w:r>
          </w:p>
        </w:tc>
        <w:tc>
          <w:tcPr>
            <w:tcW w:type="dxa" w:w="187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48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14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0.989</w:t>
            </w:r>
          </w:p>
        </w:tc>
      </w:tr>
      <w:tr>
        <w:trPr>
          <w:cantSplit w:val="true"/>
        </w:trPr>
        <w:tc>
          <w:tcPr>
            <w:tcW w:type="dxa" w:w="64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Retained vs Future AMA</w:t>
            </w:r>
          </w:p>
        </w:tc>
        <w:tc>
          <w:tcPr>
            <w:tcW w:type="dxa" w:w="187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48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27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12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0.534</w:t>
            </w:r>
          </w:p>
        </w:tc>
      </w:tr>
      <w:tr>
        <w:trPr>
          <w:cantSplit w:val="true"/>
        </w:trPr>
        <w:tc>
          <w:tcPr>
            <w:tcW w:type="dxa" w:w="64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Retained vs Future ED-other/institutional/custody</w:t>
            </w:r>
          </w:p>
        </w:tc>
        <w:tc>
          <w:tcPr>
            <w:tcW w:type="dxa" w:w="187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48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34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17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0.862</w:t>
            </w:r>
          </w:p>
        </w:tc>
      </w:tr>
      <w:tr>
        <w:trPr>
          <w:cantSplit w:val="true"/>
        </w:trPr>
        <w:tc>
          <w:tcPr>
            <w:tcW w:type="dxa" w:w="6480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Arial" w:hAnsi="Arial"/>
                <w:b w:val="0"/>
                <w:sz w:val="14"/>
              </w:rPr>
              <w:t>Retained vs All downstream-excluded</w:t>
            </w:r>
          </w:p>
        </w:tc>
        <w:tc>
          <w:tcPr>
            <w:tcW w:type="dxa" w:w="1872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48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17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1</w:t>
            </w:r>
          </w:p>
        </w:tc>
        <w:tc>
          <w:tcPr>
            <w:tcW w:type="dxa" w:w="1944"/>
            <w:vAlign w:val="center"/>
            <w:tcMar>
              <w:top w:w="50" w:type="dxa"/>
              <w:start w:w="55" w:type="dxa"/>
              <w:bottom w:w="50" w:type="dxa"/>
              <w:end w:w="55" w:type="dxa"/>
            </w:tcMar>
            <w:shd w:fill="F8F9FA"/>
          </w:tcPr>
          <w:p>
            <w:pPr>
              <w:spacing w:after="0" w:before="0" w:line="240" w:lineRule="auto"/>
              <w:jc w:val="right"/>
            </w:pPr>
            <w:r/>
            <w:r>
              <w:rPr>
                <w:rFonts w:ascii="Arial" w:hAnsi="Arial"/>
                <w:b w:val="0"/>
                <w:sz w:val="14"/>
              </w:rPr>
              <w:t>0.633</w:t>
            </w:r>
          </w:p>
        </w:tc>
      </w:tr>
    </w:tbl>
    <w:p>
      <w:pPr>
        <w:spacing w:before="60" w:after="80" w:line="240" w:lineRule="auto"/>
      </w:pPr>
      <w:r>
        <w:rPr>
          <w:rFonts w:ascii="Arial" w:hAnsi="Arial"/>
          <w:color w:val="505050"/>
          <w:sz w:val="14"/>
        </w:rPr>
        <w:t>The selection audit quantifies observed baseline differences but cannot recover unobserved post-transfer outcomes. Facility-level heterogeneity was not evaluated because facility keys were unavailable for this project.</w:t>
      </w:r>
    </w:p>
    <w:sectPr w:rsidR="00FC693F" w:rsidRPr="0006063C" w:rsidSect="00034616">
      <w:footerReference w:type="default" r:id="rId9"/>
      <w:pgSz w:w="15840" w:h="12240" w:orient="landscape"/>
      <w:pgMar w:top="504" w:right="504" w:bottom="504" w:left="5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87878"/>
        <w:sz w:val="14"/>
      </w:rPr>
      <w:t>TBI-TRACT tables and supplementary eTables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TBI-TRACT Tables and Supplementary eTables</dc:title>
  <dc:subject>Submission-ready table package</dc:subject>
  <dc:creator/>
  <cp:keywords>TBI-TRACT; tables; supplementary eTables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