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1F3864"/>
          <w:sz w:val="44"/>
          <w:szCs w:val="44"/>
        </w:rPr>
        <w:t xml:space="preserve">PRISM-Hub 프로젝트</w:t>
      </w:r>
    </w:p>
    <w:p>
      <w:pPr>
        <w:spacing w:after="360" w:before="0"/>
        <w:jc w:val="center"/>
      </w:pPr>
      <w:r>
        <w:rPr>
          <w:b/>
          <w:bCs/>
          <w:color w:val="1F3864"/>
          <w:sz w:val="40"/>
          <w:szCs w:val="40"/>
        </w:rPr>
        <w:t xml:space="preserve">기술 개요 및 연구 진행 상황 보고서</w:t>
      </w:r>
    </w:p>
    <w:p>
      <w:pPr>
        <w:spacing w:after="1200" w:before="0"/>
        <w:jc w:val="center"/>
      </w:pPr>
      <w:r>
        <w:rPr>
          <w:color w:val="404040"/>
          <w:sz w:val="28"/>
          <w:szCs w:val="28"/>
        </w:rPr>
        <w:t xml:space="preserve">800 V 전기자동차용 통합 직류 전력 허브 — 1차 중간 보고</w:t>
      </w:r>
    </w:p>
    <w:tbl>
      <w:tblPr>
        <w:tblW w:type="dxa" w:w="9026"/>
        <w:tblBorders>
          <w:top w:val="single" w:color="404040" w:sz="8"/>
          <w:left w:val="single" w:color="FFFFFF" w:sz="0"/>
          <w:bottom w:val="single" w:color="404040" w:sz="8"/>
          <w:right w:val="single" w:color="FFFFFF" w:sz="0"/>
          <w:insideH w:val="single" w:color="A6A6A6" w:sz="2"/>
          <w:insideV w:val="single" w:color="A6A6A6" w:sz="2"/>
        </w:tblBorders>
      </w:tblPr>
      <w:tblGrid>
        <w:gridCol w:w="2300"/>
        <w:gridCol w:w="6726"/>
      </w:tblGrid>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문서 구분</w:t>
            </w:r>
          </w:p>
        </w:tc>
        <w:tc>
          <w:tcPr>
            <w:tcW w:type="dxa" w:w="6726"/>
            <w:tcMar>
              <w:top w:type="dxa" w:w="70"/>
              <w:left w:type="dxa" w:w="110"/>
              <w:bottom w:type="dxa" w:w="70"/>
              <w:right w:type="dxa" w:w="110"/>
            </w:tcMar>
            <w:vAlign w:val="center"/>
          </w:tcPr>
          <w:p>
            <w:pPr>
              <w:spacing w:after="0" w:line="270"/>
            </w:pPr>
            <w:r>
              <w:rPr>
                <w:sz w:val="19"/>
                <w:szCs w:val="19"/>
              </w:rPr>
              <w:t xml:space="preserve">중간 연구 진행 보고서(최종본, v1.1)</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과제명</w:t>
            </w:r>
          </w:p>
        </w:tc>
        <w:tc>
          <w:tcPr>
            <w:tcW w:type="dxa" w:w="6726"/>
            <w:tcMar>
              <w:top w:type="dxa" w:w="70"/>
              <w:left w:type="dxa" w:w="110"/>
              <w:bottom w:type="dxa" w:w="70"/>
              <w:right w:type="dxa" w:w="110"/>
            </w:tcMar>
            <w:vAlign w:val="center"/>
          </w:tcPr>
          <w:p>
            <w:pPr>
              <w:spacing w:after="0" w:line="270"/>
            </w:pPr>
            <w:r>
              <w:rPr>
                <w:sz w:val="19"/>
                <w:szCs w:val="19"/>
              </w:rPr>
              <w:t xml:space="preserve">800 V 전기자동차용 통합 직류 전력 허브 PRISM-Hub 개발</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작성</w:t>
            </w:r>
          </w:p>
        </w:tc>
        <w:tc>
          <w:tcPr>
            <w:tcW w:type="dxa" w:w="6726"/>
            <w:tcMar>
              <w:top w:type="dxa" w:w="70"/>
              <w:left w:type="dxa" w:w="110"/>
              <w:bottom w:type="dxa" w:w="70"/>
              <w:right w:type="dxa" w:w="110"/>
            </w:tcMar>
            <w:vAlign w:val="center"/>
          </w:tcPr>
          <w:p>
            <w:pPr>
              <w:spacing w:after="0" w:line="270"/>
            </w:pPr>
            <w:r>
              <w:rPr>
                <w:sz w:val="19"/>
                <w:szCs w:val="19"/>
              </w:rPr>
              <w:t xml:space="preserve">PRISM-Hub 프로젝트팀</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보고 기간</w:t>
            </w:r>
          </w:p>
        </w:tc>
        <w:tc>
          <w:tcPr>
            <w:tcW w:type="dxa" w:w="6726"/>
            <w:tcMar>
              <w:top w:type="dxa" w:w="70"/>
              <w:left w:type="dxa" w:w="110"/>
              <w:bottom w:type="dxa" w:w="70"/>
              <w:right w:type="dxa" w:w="110"/>
            </w:tcMar>
            <w:vAlign w:val="center"/>
          </w:tcPr>
          <w:p>
            <w:pPr>
              <w:spacing w:after="0" w:line="270"/>
            </w:pPr>
            <w:r>
              <w:rPr>
                <w:sz w:val="19"/>
                <w:szCs w:val="19"/>
              </w:rPr>
              <w:t xml:space="preserve">2026년 9월 5일–9월 24일(18주 계획 중 1–3주차)</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작성일</w:t>
            </w:r>
          </w:p>
        </w:tc>
        <w:tc>
          <w:tcPr>
            <w:tcW w:type="dxa" w:w="6726"/>
            <w:tcMar>
              <w:top w:type="dxa" w:w="70"/>
              <w:left w:type="dxa" w:w="110"/>
              <w:bottom w:type="dxa" w:w="70"/>
              <w:right w:type="dxa" w:w="110"/>
            </w:tcMar>
            <w:vAlign w:val="center"/>
          </w:tcPr>
          <w:p>
            <w:pPr>
              <w:spacing w:after="0" w:line="270"/>
            </w:pPr>
            <w:r>
              <w:rPr>
                <w:sz w:val="19"/>
                <w:szCs w:val="19"/>
              </w:rPr>
              <w:t xml:space="preserve">2026년 9월 28일</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저장소</w:t>
            </w:r>
          </w:p>
        </w:tc>
        <w:tc>
          <w:tcPr>
            <w:tcW w:type="dxa" w:w="6726"/>
            <w:tcMar>
              <w:top w:type="dxa" w:w="70"/>
              <w:left w:type="dxa" w:w="110"/>
              <w:bottom w:type="dxa" w:w="70"/>
              <w:right w:type="dxa" w:w="110"/>
            </w:tcMar>
            <w:vAlign w:val="center"/>
          </w:tcPr>
          <w:p>
            <w:pPr>
              <w:spacing w:after="0" w:line="270"/>
            </w:pPr>
            <w:r>
              <w:rPr>
                <w:sz w:val="19"/>
                <w:szCs w:val="19"/>
              </w:rPr>
              <w:t xml:space="preserve">https://github.com/garlicjam-pyo/PRISM-Hub</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근거 기준</w:t>
            </w:r>
          </w:p>
        </w:tc>
        <w:tc>
          <w:tcPr>
            <w:tcW w:type="dxa" w:w="6726"/>
            <w:tcMar>
              <w:top w:type="dxa" w:w="70"/>
              <w:left w:type="dxa" w:w="110"/>
              <w:bottom w:type="dxa" w:w="70"/>
              <w:right w:type="dxa" w:w="110"/>
            </w:tcMar>
            <w:vAlign w:val="center"/>
          </w:tcPr>
          <w:p>
            <w:pPr>
              <w:spacing w:after="0" w:line="270"/>
            </w:pPr>
            <w:r>
              <w:rPr>
                <w:sz w:val="19"/>
                <w:szCs w:val="19"/>
              </w:rPr>
              <w:t xml:space="preserve">태그 v1.0-interim(커밋 add4822). 본 보고서의 추가 분석(3.4·6.4·6.6·6.8절, 그림 2·5·7·8)은 validation/2026-09-25-final-report/에 수록했다.</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검증 환경</w:t>
            </w:r>
          </w:p>
        </w:tc>
        <w:tc>
          <w:tcPr>
            <w:tcW w:type="dxa" w:w="6726"/>
            <w:tcMar>
              <w:top w:type="dxa" w:w="70"/>
              <w:left w:type="dxa" w:w="110"/>
              <w:bottom w:type="dxa" w:w="70"/>
              <w:right w:type="dxa" w:w="110"/>
            </w:tcMar>
            <w:vAlign w:val="center"/>
          </w:tcPr>
          <w:p>
            <w:pPr>
              <w:spacing w:after="0" w:line="270"/>
            </w:pPr>
            <w:r>
              <w:rPr>
                <w:sz w:val="19"/>
                <w:szCs w:val="19"/>
              </w:rPr>
              <w:t xml:space="preserve">MATLAB/Simulink R2024b Update 8, Python 3.12(NumPy·SciPy)</w:t>
            </w:r>
          </w:p>
        </w:tc>
      </w:tr>
      <w:tr>
        <w:trPr>
          <w:cantSplit/>
        </w:trPr>
        <w:tc>
          <w:tcPr>
            <w:tcW w:type="dxa" w:w="2300"/>
            <w:shd w:fill="F2F2F2" w:color="auto" w:val="clear"/>
            <w:tcMar>
              <w:top w:type="dxa" w:w="70"/>
              <w:left w:type="dxa" w:w="110"/>
              <w:bottom w:type="dxa" w:w="70"/>
              <w:right w:type="dxa" w:w="110"/>
            </w:tcMar>
            <w:vAlign w:val="center"/>
          </w:tcPr>
          <w:p>
            <w:pPr>
              <w:spacing w:after="0"/>
            </w:pPr>
            <w:r>
              <w:rPr>
                <w:b/>
                <w:bCs/>
                <w:sz w:val="19"/>
                <w:szCs w:val="19"/>
              </w:rPr>
              <w:t xml:space="preserve">생성형 AI 사용</w:t>
            </w:r>
          </w:p>
        </w:tc>
        <w:tc>
          <w:tcPr>
            <w:tcW w:type="dxa" w:w="6726"/>
            <w:tcMar>
              <w:top w:type="dxa" w:w="70"/>
              <w:left w:type="dxa" w:w="110"/>
              <w:bottom w:type="dxa" w:w="70"/>
              <w:right w:type="dxa" w:w="110"/>
            </w:tcMar>
            <w:vAlign w:val="center"/>
          </w:tcPr>
          <w:p>
            <w:pPr>
              <w:spacing w:after="0" w:line="270"/>
            </w:pPr>
            <w:r>
              <w:rPr>
                <w:sz w:val="19"/>
                <w:szCs w:val="19"/>
              </w:rPr>
              <w:t xml:space="preserve">생성형 AI 도구(Claude, Codex)를 아키텍처 대안 도출, 설계 계산, 해석·시뮬레이션 코드 작성, 결과 분석과 문서 작성에 활용했다. 보고서의 모든 수치는 저장소의 코드와 실행 결과(Python·MATLAB)로 재현·대조했으며, 설계 판단과 결론의 책임은 프로젝트팀에 있다.</w:t>
            </w:r>
          </w:p>
        </w:tc>
      </w:tr>
    </w:tbl>
    <w:p>
      <w:r>
        <w:br w:type="page"/>
      </w:r>
    </w:p>
    <w:p>
      <w:pPr>
        <w:spacing w:after="24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pPr>
            <w:pStyle w:val="TOC1"/>
            <w:tabs>
              <w:tab w:val="right" w:leader="dot" w:pos="9016"/>
            </w:tabs>
          </w:pPr>
          <w:r>
            <w:t xml:space="preserve">요약</w:t>
          </w:r>
          <w:r>
            <w:tab/>
          </w:r>
          <w:r>
            <w:t>4</w:t>
          </w:r>
        </w:p>
        <w:p>
          <w:pPr>
            <w:pStyle w:val="TOC1"/>
            <w:tabs>
              <w:tab w:val="right" w:leader="dot" w:pos="9016"/>
            </w:tabs>
          </w:pPr>
          <w:r>
            <w:t xml:space="preserve">1. 연구 배경과 아이디어 도출</w:t>
          </w:r>
          <w:r>
            <w:tab/>
          </w:r>
          <w:r>
            <w:t>5</w:t>
          </w:r>
        </w:p>
        <w:p>
          <w:pPr>
            <w:pStyle w:val="TOC2"/>
            <w:tabs>
              <w:tab w:val="right" w:leader="dot" w:pos="9016"/>
            </w:tabs>
          </w:pPr>
          <w:r>
            <w:t xml:space="preserve">1.1 800 V 차량과 다중 전압 환경</w:t>
          </w:r>
          <w:r>
            <w:tab/>
          </w:r>
          <w:r>
            <w:t>5</w:t>
          </w:r>
        </w:p>
        <w:p>
          <w:pPr>
            <w:pStyle w:val="TOC2"/>
            <w:tabs>
              <w:tab w:val="right" w:leader="dot" w:pos="9016"/>
            </w:tabs>
          </w:pPr>
          <w:r>
            <w:t xml:space="preserve">1.2 기존 해결방식과 설계상의 상충관계</w:t>
          </w:r>
          <w:r>
            <w:tab/>
          </w:r>
          <w:r>
            <w:t>5</w:t>
          </w:r>
        </w:p>
        <w:p>
          <w:pPr>
            <w:pStyle w:val="TOC2"/>
            <w:tabs>
              <w:tab w:val="right" w:leader="dot" w:pos="9016"/>
            </w:tabs>
          </w:pPr>
          <w:r>
            <w:t xml:space="preserve">1.3 PRISM-Hub 아이디어의 도출</w:t>
          </w:r>
          <w:r>
            <w:tab/>
          </w:r>
          <w:r>
            <w:t>5</w:t>
          </w:r>
        </w:p>
        <w:p>
          <w:pPr>
            <w:pStyle w:val="TOC2"/>
            <w:tabs>
              <w:tab w:val="right" w:leader="dot" w:pos="9016"/>
            </w:tabs>
          </w:pPr>
          <w:r>
            <w:t xml:space="preserve">1.4 연구 질문, 가설과 이번 단계의 범위</w:t>
          </w:r>
          <w:r>
            <w:tab/>
          </w:r>
          <w:r>
            <w:t>6</w:t>
          </w:r>
        </w:p>
        <w:p>
          <w:pPr>
            <w:pStyle w:val="TOC1"/>
            <w:tabs>
              <w:tab w:val="right" w:leader="dot" w:pos="9016"/>
            </w:tabs>
          </w:pPr>
          <w:r>
            <w:t xml:space="preserve">2. 선행연구 및 유사 기술 분석</w:t>
          </w:r>
          <w:r>
            <w:tab/>
          </w:r>
          <w:r>
            <w:t>7</w:t>
          </w:r>
        </w:p>
        <w:p>
          <w:pPr>
            <w:pStyle w:val="TOC2"/>
            <w:tabs>
              <w:tab w:val="right" w:leader="dot" w:pos="9016"/>
            </w:tabs>
          </w:pPr>
          <w:r>
            <w:t xml:space="preserve">2.1 고정비 공진형 스위치드 커패시터 변환</w:t>
          </w:r>
          <w:r>
            <w:tab/>
          </w:r>
          <w:r>
            <w:t>7</w:t>
          </w:r>
        </w:p>
        <w:p>
          <w:pPr>
            <w:pStyle w:val="TOC2"/>
            <w:tabs>
              <w:tab w:val="right" w:leader="dot" w:pos="9016"/>
            </w:tabs>
          </w:pPr>
          <w:r>
            <w:t xml:space="preserve">2.2 고정비 변환과 부분전력 조정의 결합</w:t>
          </w:r>
          <w:r>
            <w:tab/>
          </w:r>
          <w:r>
            <w:t>7</w:t>
          </w:r>
        </w:p>
        <w:p>
          <w:pPr>
            <w:pStyle w:val="TOC2"/>
            <w:tabs>
              <w:tab w:val="right" w:leader="dot" w:pos="9016"/>
            </w:tabs>
          </w:pPr>
          <w:r>
            <w:t xml:space="preserve">2.3 직렬 전압보상과 양극성 부분전력 변환</w:t>
          </w:r>
          <w:r>
            <w:tab/>
          </w:r>
          <w:r>
            <w:t>7</w:t>
          </w:r>
        </w:p>
        <w:p>
          <w:pPr>
            <w:pStyle w:val="TOC2"/>
            <w:tabs>
              <w:tab w:val="right" w:leader="dot" w:pos="9016"/>
            </w:tabs>
          </w:pPr>
          <w:r>
            <w:t xml:space="preserve">2.4 공진 제어와 공차 대응</w:t>
          </w:r>
          <w:r>
            <w:tab/>
          </w:r>
          <w:r>
            <w:t>7</w:t>
          </w:r>
        </w:p>
        <w:p>
          <w:pPr>
            <w:pStyle w:val="TOC2"/>
            <w:tabs>
              <w:tab w:val="right" w:leader="dot" w:pos="9016"/>
            </w:tabs>
          </w:pPr>
          <w:r>
            <w:t xml:space="preserve">2.5 통합 전력전자 제품과 관련 특허</w:t>
          </w:r>
          <w:r>
            <w:tab/>
          </w:r>
          <w:r>
            <w:t>7</w:t>
          </w:r>
        </w:p>
        <w:p>
          <w:pPr>
            <w:pStyle w:val="TOC2"/>
            <w:tabs>
              <w:tab w:val="right" w:leader="dot" w:pos="9016"/>
            </w:tabs>
          </w:pPr>
          <w:r>
            <w:t xml:space="preserve">2.6 차량 부하 관리와 상위 제약 계층</w:t>
          </w:r>
          <w:r>
            <w:tab/>
          </w:r>
          <w:r>
            <w:t>8</w:t>
          </w:r>
        </w:p>
        <w:p>
          <w:pPr>
            <w:pStyle w:val="TOC2"/>
            <w:tabs>
              <w:tab w:val="right" w:leader="dot" w:pos="9016"/>
            </w:tabs>
          </w:pPr>
          <w:r>
            <w:t xml:space="preserve">2.7 선행연구 대비 예상 신규성과 연구 범위</w:t>
          </w:r>
          <w:r>
            <w:tab/>
          </w:r>
          <w:r>
            <w:t>8</w:t>
          </w:r>
        </w:p>
        <w:p>
          <w:pPr>
            <w:pStyle w:val="TOC1"/>
            <w:tabs>
              <w:tab w:val="right" w:leader="dot" w:pos="9016"/>
            </w:tabs>
          </w:pPr>
          <w:r>
            <w:t xml:space="preserve">3. 제안 아키텍처의 필요성과 설계 요구사항</w:t>
          </w:r>
          <w:r>
            <w:tab/>
          </w:r>
          <w:r>
            <w:t>9</w:t>
          </w:r>
        </w:p>
        <w:p>
          <w:pPr>
            <w:pStyle w:val="TOC2"/>
            <w:tabs>
              <w:tab w:val="right" w:leader="dot" w:pos="9016"/>
            </w:tabs>
          </w:pPr>
          <w:r>
            <w:t xml:space="preserve">3.1 설계 요구사항과 판정 기준</w:t>
          </w:r>
          <w:r>
            <w:tab/>
          </w:r>
          <w:r>
            <w:t>9</w:t>
          </w:r>
        </w:p>
        <w:p>
          <w:pPr>
            <w:pStyle w:val="TOC2"/>
            <w:tabs>
              <w:tab w:val="right" w:leader="dot" w:pos="9016"/>
            </w:tabs>
          </w:pPr>
          <w:r>
            <w:t xml:space="preserve">3.2 보조버스 조정 요구의 근거</w:t>
          </w:r>
          <w:r>
            <w:tab/>
          </w:r>
          <w:r>
            <w:t>9</w:t>
          </w:r>
        </w:p>
        <w:p>
          <w:pPr>
            <w:pStyle w:val="TOC2"/>
            <w:tabs>
              <w:tab w:val="right" w:leader="dot" w:pos="9016"/>
            </w:tabs>
          </w:pPr>
          <w:r>
            <w:t xml:space="preserve">3.3 전압조정 범위</w:t>
          </w:r>
          <w:r>
            <w:tab/>
          </w:r>
          <w:r>
            <w:t>10</w:t>
          </w:r>
        </w:p>
        <w:p>
          <w:pPr>
            <w:pStyle w:val="TOC2"/>
            <w:tabs>
              <w:tab w:val="right" w:leader="dot" w:pos="9016"/>
            </w:tabs>
          </w:pPr>
          <w:r>
            <w:t xml:space="preserve">3.4 전력과 전류 정격의 분리</w:t>
          </w:r>
          <w:r>
            <w:tab/>
          </w:r>
          <w:r>
            <w:t>10</w:t>
          </w:r>
        </w:p>
        <w:p>
          <w:pPr>
            <w:pStyle w:val="TOC2"/>
            <w:tabs>
              <w:tab w:val="right" w:leader="dot" w:pos="9016"/>
            </w:tabs>
          </w:pPr>
          <w:r>
            <w:t xml:space="preserve">3.5 부하 정의와 전력예산</w:t>
          </w:r>
          <w:r>
            <w:tab/>
          </w:r>
          <w:r>
            <w:t>11</w:t>
          </w:r>
        </w:p>
        <w:p>
          <w:pPr>
            <w:pStyle w:val="TOC2"/>
            <w:tabs>
              <w:tab w:val="right" w:leader="dot" w:pos="9016"/>
            </w:tabs>
          </w:pPr>
          <w:r>
            <w:t xml:space="preserve">3.6 충전경로와 보조전원 경로의 분리</w:t>
          </w:r>
          <w:r>
            <w:tab/>
          </w:r>
          <w:r>
            <w:t>12</w:t>
          </w:r>
        </w:p>
        <w:p>
          <w:pPr>
            <w:pStyle w:val="TOC2"/>
            <w:tabs>
              <w:tab w:val="right" w:leader="dot" w:pos="9016"/>
            </w:tabs>
          </w:pPr>
          <w:r>
            <w:t xml:space="preserve">3.7 저전압 전원</w:t>
          </w:r>
          <w:r>
            <w:tab/>
          </w:r>
          <w:r>
            <w:t>12</w:t>
          </w:r>
        </w:p>
        <w:p>
          <w:pPr>
            <w:pStyle w:val="TOC1"/>
            <w:tabs>
              <w:tab w:val="right" w:leader="dot" w:pos="9016"/>
            </w:tabs>
          </w:pPr>
          <w:r>
            <w:t xml:space="preserve">4. PRISM-Hub 아키텍처와 동작 원리</w:t>
          </w:r>
          <w:r>
            <w:tab/>
          </w:r>
          <w:r>
            <w:t>13</w:t>
          </w:r>
        </w:p>
        <w:p>
          <w:pPr>
            <w:pStyle w:val="TOC2"/>
            <w:tabs>
              <w:tab w:val="right" w:leader="dot" w:pos="9016"/>
            </w:tabs>
          </w:pPr>
          <w:r>
            <w:t xml:space="preserve">4.1 Stage A: 2:1 고정비 대전력 경로</w:t>
          </w:r>
          <w:r>
            <w:tab/>
          </w:r>
          <w:r>
            <w:t>13</w:t>
          </w:r>
        </w:p>
        <w:p>
          <w:pPr>
            <w:pStyle w:val="TOC2"/>
            <w:tabs>
              <w:tab w:val="right" w:leader="dot" w:pos="9016"/>
            </w:tabs>
          </w:pPr>
          <w:r>
            <w:t xml:space="preserve">4.2 Stage B: 유한 링크 2단 부분전력 조정기</w:t>
          </w:r>
          <w:r>
            <w:tab/>
          </w:r>
          <w:r>
            <w:t>13</w:t>
          </w:r>
        </w:p>
        <w:p>
          <w:pPr>
            <w:pStyle w:val="TOC2"/>
            <w:tabs>
              <w:tab w:val="right" w:leader="dot" w:pos="9016"/>
            </w:tabs>
          </w:pPr>
          <w:r>
            <w:t xml:space="preserve">4.3 Stage C: 48 V 및 12 V 절연 전원</w:t>
          </w:r>
          <w:r>
            <w:tab/>
          </w:r>
          <w:r>
            <w:t>14</w:t>
          </w:r>
        </w:p>
        <w:p>
          <w:pPr>
            <w:pStyle w:val="TOC2"/>
            <w:tabs>
              <w:tab w:val="right" w:leader="dot" w:pos="9016"/>
            </w:tabs>
          </w:pPr>
          <w:r>
            <w:t xml:space="preserve">4.4 SALS: 포화 인지형 부하 승인 계층</w:t>
          </w:r>
          <w:r>
            <w:tab/>
          </w:r>
          <w:r>
            <w:t>14</w:t>
          </w:r>
        </w:p>
        <w:p>
          <w:pPr>
            <w:pStyle w:val="TOC2"/>
            <w:tabs>
              <w:tab w:val="right" w:leader="dot" w:pos="9016"/>
            </w:tabs>
          </w:pPr>
          <w:r>
            <w:t xml:space="preserve">4.5 주요 운전 모드</w:t>
          </w:r>
          <w:r>
            <w:tab/>
          </w:r>
          <w:r>
            <w:t>14</w:t>
          </w:r>
        </w:p>
        <w:p>
          <w:pPr>
            <w:pStyle w:val="TOC1"/>
            <w:tabs>
              <w:tab w:val="right" w:leader="dot" w:pos="9016"/>
            </w:tabs>
          </w:pPr>
          <w:r>
            <w:t xml:space="preserve">5. 검증 방법과 진행 상황</w:t>
          </w:r>
          <w:r>
            <w:tab/>
          </w:r>
          <w:r>
            <w:t>15</w:t>
          </w:r>
        </w:p>
        <w:p>
          <w:pPr>
            <w:pStyle w:val="TOC2"/>
            <w:tabs>
              <w:tab w:val="right" w:leader="dot" w:pos="9016"/>
            </w:tabs>
          </w:pPr>
          <w:r>
            <w:t xml:space="preserve">5.1 검증 원칙과 모델</w:t>
          </w:r>
          <w:r>
            <w:tab/>
          </w:r>
          <w:r>
            <w:t>15</w:t>
          </w:r>
        </w:p>
        <w:p>
          <w:pPr>
            <w:pStyle w:val="TOC2"/>
            <w:tabs>
              <w:tab w:val="right" w:leader="dot" w:pos="9016"/>
            </w:tabs>
          </w:pPr>
          <w:r>
            <w:t xml:space="preserve">5.2 초기 모델의 문제와 보완</w:t>
          </w:r>
          <w:r>
            <w:tab/>
          </w:r>
          <w:r>
            <w:t>15</w:t>
          </w:r>
        </w:p>
        <w:p>
          <w:pPr>
            <w:pStyle w:val="TOC2"/>
            <w:tabs>
              <w:tab w:val="right" w:leader="dot" w:pos="9016"/>
            </w:tabs>
          </w:pPr>
          <w:r>
            <w:t xml:space="preserve">5.3 판정 기준과 지연 모델</w:t>
          </w:r>
          <w:r>
            <w:tab/>
          </w:r>
          <w:r>
            <w:t>16</w:t>
          </w:r>
        </w:p>
        <w:p>
          <w:pPr>
            <w:pStyle w:val="TOC1"/>
            <w:tabs>
              <w:tab w:val="right" w:leader="dot" w:pos="9016"/>
            </w:tabs>
          </w:pPr>
          <w:r>
            <w:t xml:space="preserve">6. 검증 결과 및 공학적 분석</w:t>
          </w:r>
          <w:r>
            <w:tab/>
          </w:r>
          <w:r>
            <w:t>16</w:t>
          </w:r>
        </w:p>
        <w:p>
          <w:pPr>
            <w:pStyle w:val="TOC2"/>
            <w:tabs>
              <w:tab w:val="right" w:leader="dot" w:pos="9016"/>
            </w:tabs>
          </w:pPr>
          <w:r>
            <w:t xml:space="preserve">6.1 모델 내부 정합성</w:t>
          </w:r>
          <w:r>
            <w:tab/>
          </w:r>
          <w:r>
            <w:t>16</w:t>
          </w:r>
        </w:p>
        <w:p>
          <w:pPr>
            <w:pStyle w:val="TOC2"/>
            <w:tabs>
              <w:tab w:val="right" w:leader="dot" w:pos="9016"/>
            </w:tabs>
          </w:pPr>
          <w:r>
            <w:t xml:space="preserve">6.2 초기 2단 모델의 동적 시험</w:t>
          </w:r>
          <w:r>
            <w:tab/>
          </w:r>
          <w:r>
            <w:t>16</w:t>
          </w:r>
        </w:p>
        <w:p>
          <w:pPr>
            <w:pStyle w:val="TOC2"/>
            <w:tabs>
              <w:tab w:val="right" w:leader="dot" w:pos="9016"/>
            </w:tabs>
          </w:pPr>
          <w:r>
            <w:t xml:space="preserve">6.3 공통 고정이득 제어기</w:t>
          </w:r>
          <w:r>
            <w:tab/>
          </w:r>
          <w:r>
            <w:t>17</w:t>
          </w:r>
        </w:p>
        <w:p>
          <w:pPr>
            <w:pStyle w:val="TOC2"/>
            <w:tabs>
              <w:tab w:val="right" w:leader="dot" w:pos="9016"/>
            </w:tabs>
          </w:pPr>
          <w:r>
            <w:t xml:space="preserve">6.4 640 V 코너의 여유와 한계의 공통 원인</w:t>
          </w:r>
          <w:r>
            <w:tab/>
          </w:r>
          <w:r>
            <w:t>17</w:t>
          </w:r>
        </w:p>
        <w:p>
          <w:pPr>
            <w:pStyle w:val="TOC2"/>
            <w:tabs>
              <w:tab w:val="right" w:leader="dot" w:pos="9016"/>
            </w:tabs>
          </w:pPr>
          <w:r>
            <w:t xml:space="preserve">6.5 공차와 지연 민감도</w:t>
          </w:r>
          <w:r>
            <w:tab/>
          </w:r>
          <w:r>
            <w:t>18</w:t>
          </w:r>
        </w:p>
        <w:p>
          <w:pPr>
            <w:pStyle w:val="TOC2"/>
            <w:tabs>
              <w:tab w:val="right" w:leader="dot" w:pos="9016"/>
            </w:tabs>
          </w:pPr>
          <w:r>
            <w:t xml:space="preserve">6.6 배터리 전압에 따른 과도 허용 전력</w:t>
          </w:r>
          <w:r>
            <w:tab/>
          </w:r>
          <w:r>
            <w:t>19</w:t>
          </w:r>
        </w:p>
        <w:p>
          <w:pPr>
            <w:pStyle w:val="TOC2"/>
            <w:tabs>
              <w:tab w:val="right" w:leader="dot" w:pos="9016"/>
            </w:tabs>
          </w:pPr>
          <w:r>
            <w:t xml:space="preserve">6.7 시험군 요약</w:t>
          </w:r>
          <w:r>
            <w:tab/>
          </w:r>
          <w:r>
            <w:t>20</w:t>
          </w:r>
        </w:p>
        <w:p>
          <w:pPr>
            <w:pStyle w:val="TOC2"/>
            <w:tabs>
              <w:tab w:val="right" w:leader="dot" w:pos="9016"/>
            </w:tabs>
          </w:pPr>
          <w:r>
            <w:t xml:space="preserve">6.8 SALS 인과성과 승인 가능조건</w:t>
          </w:r>
          <w:r>
            <w:tab/>
          </w:r>
          <w:r>
            <w:t>21</w:t>
          </w:r>
        </w:p>
        <w:p>
          <w:pPr>
            <w:pStyle w:val="TOC1"/>
            <w:tabs>
              <w:tab w:val="right" w:leader="dot" w:pos="9016"/>
            </w:tabs>
          </w:pPr>
          <w:r>
            <w:t xml:space="preserve">7. 현재까지의 성과, 한계 및 기술 성숙도</w:t>
          </w:r>
          <w:r>
            <w:tab/>
          </w:r>
          <w:r>
            <w:t>22</w:t>
          </w:r>
        </w:p>
        <w:p>
          <w:pPr>
            <w:pStyle w:val="TOC2"/>
            <w:tabs>
              <w:tab w:val="right" w:leader="dot" w:pos="9016"/>
            </w:tabs>
          </w:pPr>
          <w:r>
            <w:t xml:space="preserve">7.1 현재까지 확보한 성과</w:t>
          </w:r>
          <w:r>
            <w:tab/>
          </w:r>
          <w:r>
            <w:t>22</w:t>
          </w:r>
        </w:p>
        <w:p>
          <w:pPr>
            <w:pStyle w:val="TOC2"/>
            <w:tabs>
              <w:tab w:val="right" w:leader="dot" w:pos="9016"/>
            </w:tabs>
          </w:pPr>
          <w:r>
            <w:t xml:space="preserve">7.2 남은 한계와 위험</w:t>
          </w:r>
          <w:r>
            <w:tab/>
          </w:r>
          <w:r>
            <w:t>22</w:t>
          </w:r>
        </w:p>
        <w:p>
          <w:pPr>
            <w:pStyle w:val="TOC2"/>
            <w:tabs>
              <w:tab w:val="right" w:leader="dot" w:pos="9016"/>
            </w:tabs>
          </w:pPr>
          <w:r>
            <w:t xml:space="preserve">7.3 현재 기술성숙도 판정</w:t>
          </w:r>
          <w:r>
            <w:tab/>
          </w:r>
          <w:r>
            <w:t>22</w:t>
          </w:r>
        </w:p>
        <w:p>
          <w:pPr>
            <w:pStyle w:val="TOC2"/>
            <w:tabs>
              <w:tab w:val="right" w:leader="dot" w:pos="9016"/>
            </w:tabs>
          </w:pPr>
          <w:r>
            <w:t xml:space="preserve">7.4 최초 계획 대비 진척</w:t>
          </w:r>
          <w:r>
            <w:tab/>
          </w:r>
          <w:r>
            <w:t>23</w:t>
          </w:r>
        </w:p>
        <w:p>
          <w:pPr>
            <w:pStyle w:val="TOC1"/>
            <w:tabs>
              <w:tab w:val="right" w:leader="dot" w:pos="9016"/>
            </w:tabs>
          </w:pPr>
          <w:r>
            <w:t xml:space="preserve">8. 향후 연구 계획</w:t>
          </w:r>
          <w:r>
            <w:tab/>
          </w:r>
          <w:r>
            <w:t>23</w:t>
          </w:r>
        </w:p>
        <w:p>
          <w:pPr>
            <w:pStyle w:val="TOC2"/>
            <w:tabs>
              <w:tab w:val="right" w:leader="dot" w:pos="9016"/>
            </w:tabs>
          </w:pPr>
          <w:r>
            <w:t xml:space="preserve">8.1 요구사항, 부하 등급과 수락 기준 확정</w:t>
          </w:r>
          <w:r>
            <w:tab/>
          </w:r>
          <w:r>
            <w:t>23</w:t>
          </w:r>
        </w:p>
        <w:p>
          <w:pPr>
            <w:pStyle w:val="TOC2"/>
            <w:tabs>
              <w:tab w:val="right" w:leader="dot" w:pos="9016"/>
            </w:tabs>
          </w:pPr>
          <w:r>
            <w:t xml:space="preserve">8.2 Stage B 스위칭 회로와 부품 설계</w:t>
          </w:r>
          <w:r>
            <w:tab/>
          </w:r>
          <w:r>
            <w:t>24</w:t>
          </w:r>
        </w:p>
        <w:p>
          <w:pPr>
            <w:pStyle w:val="TOC2"/>
            <w:tabs>
              <w:tab w:val="right" w:leader="dot" w:pos="9016"/>
            </w:tabs>
          </w:pPr>
          <w:r>
            <w:t xml:space="preserve">8.3 공통 제어기의 강건성 확보</w:t>
          </w:r>
          <w:r>
            <w:tab/>
          </w:r>
          <w:r>
            <w:t>24</w:t>
          </w:r>
        </w:p>
        <w:p>
          <w:pPr>
            <w:pStyle w:val="TOC2"/>
            <w:tabs>
              <w:tab w:val="right" w:leader="dot" w:pos="9016"/>
            </w:tabs>
          </w:pPr>
          <w:r>
            <w:t xml:space="preserve">8.4 충전과 보조전원의 통합 검증</w:t>
          </w:r>
          <w:r>
            <w:tab/>
          </w:r>
          <w:r>
            <w:t>24</w:t>
          </w:r>
        </w:p>
        <w:p>
          <w:pPr>
            <w:pStyle w:val="TOC2"/>
            <w:tabs>
              <w:tab w:val="right" w:leader="dot" w:pos="9016"/>
            </w:tabs>
          </w:pPr>
          <w:r>
            <w:t xml:space="preserve">8.5 Stage C 5 kW 재설계</w:t>
          </w:r>
          <w:r>
            <w:tab/>
          </w:r>
          <w:r>
            <w:t>24</w:t>
          </w:r>
        </w:p>
        <w:p>
          <w:pPr>
            <w:pStyle w:val="TOC2"/>
            <w:tabs>
              <w:tab w:val="right" w:leader="dot" w:pos="9016"/>
            </w:tabs>
          </w:pPr>
          <w:r>
            <w:t xml:space="preserve">8.6 SALS의 인과적 구현과 서비스 평가</w:t>
          </w:r>
          <w:r>
            <w:tab/>
          </w:r>
          <w:r>
            <w:t>25</w:t>
          </w:r>
        </w:p>
        <w:p>
          <w:pPr>
            <w:pStyle w:val="TOC2"/>
            <w:tabs>
              <w:tab w:val="right" w:leader="dot" w:pos="9016"/>
            </w:tabs>
          </w:pPr>
          <w:r>
            <w:t xml:space="preserve">8.7 기준 구조 비교, 신규성 검증과 하드웨어 실증</w:t>
          </w:r>
          <w:r>
            <w:tab/>
          </w:r>
          <w:r>
            <w:t>25</w:t>
          </w:r>
        </w:p>
        <w:p>
          <w:pPr>
            <w:pStyle w:val="TOC2"/>
            <w:tabs>
              <w:tab w:val="right" w:leader="dot" w:pos="9016"/>
            </w:tabs>
          </w:pPr>
          <w:r>
            <w:t xml:space="preserve">8.8 남은 기간의 우선순위와 일정</w:t>
          </w:r>
          <w:r>
            <w:tab/>
          </w:r>
          <w:r>
            <w:t>25</w:t>
          </w:r>
        </w:p>
        <w:p>
          <w:pPr>
            <w:pStyle w:val="TOC1"/>
            <w:tabs>
              <w:tab w:val="right" w:leader="dot" w:pos="9016"/>
            </w:tabs>
          </w:pPr>
          <w:r>
            <w:t xml:space="preserve">9. 결론</w:t>
          </w:r>
          <w:r>
            <w:tab/>
          </w:r>
          <w:r>
            <w:t>26</w:t>
          </w:r>
        </w:p>
        <w:p>
          <w:pPr>
            <w:pStyle w:val="TOC1"/>
            <w:tabs>
              <w:tab w:val="right" w:leader="dot" w:pos="9016"/>
            </w:tabs>
          </w:pPr>
          <w:r>
            <w:t xml:space="preserve">부록 A. 주요 약어 및 용어</w:t>
          </w:r>
          <w:r>
            <w:tab/>
          </w:r>
          <w:r>
            <w:t>27</w:t>
          </w:r>
        </w:p>
        <w:p>
          <w:pPr>
            <w:pStyle w:val="TOC1"/>
            <w:tabs>
              <w:tab w:val="right" w:leader="dot" w:pos="9016"/>
            </w:tabs>
          </w:pPr>
          <w:r>
            <w:t xml:space="preserve">부록 B. 참고문헌</w:t>
          </w:r>
          <w:r>
            <w:tab/>
          </w:r>
          <w:r>
            <w:t>27</w:t>
          </w:r>
        </w:p>
        <w:p>
          <w:pPr>
            <w:pStyle w:val="TOC1"/>
            <w:tabs>
              <w:tab w:val="right" w:leader="dot" w:pos="9016"/>
            </w:tabs>
          </w:pPr>
          <w:r>
            <w:t xml:space="preserve">부록 C. 검증 근거 파일</w:t>
          </w:r>
          <w:r>
            <w:tab/>
          </w:r>
          <w:r>
            <w:t>29</w:t>
          </w:r>
        </w:p>
        <w:p>
          <w:r>
            <w:fldChar w:fldCharType="end"/>
          </w:r>
        </w:p>
      </w:sdtContent>
    </w:sdt>
    <w:p>
      <w:r>
        <w:br w:type="page"/>
      </w:r>
    </w:p>
    <w:p>
      <w:pPr>
        <w:pStyle w:val="Heading1"/>
      </w:pPr>
      <w:r>
        <w:t xml:space="preserve">요약</w:t>
      </w:r>
    </w:p>
    <w:p>
      <w:pPr>
        <w:jc w:val="both"/>
      </w:pPr>
      <w:r>
        <w:t xml:space="preserve">PRISM-Hub는 800 V 배터리 차량에서 400 V급 충전설비, 400 V 보조부하, 48 V와 12 V 전원망을 하나의 직류 전력 구조로 연결하는 연구다. 150 kW급 주전력은 2:1 고정비 Stage A가 전달하고, Stage B는 배터리 전압 변화로 생기는 차동전압만 직렬로 보상한다. 본 연구는 세 질문에 답하는 것을 목표로 한다. (Q1) 충전전력을 조정단에서 분리한 채 8 kW급 조정단이 25 kW 보조버스를 640–920 V 전 범위에서 조정할 수 있는가. (Q2) 하나의 고정 제어기와 인과적 부하 승인 계층이 공차·지연·부하 중첩 조건에서 포트 정격과 서비스 요구를 함께 만족하는가. (Q3) 이 구조가 기존 구조보다 측정 가능한 이점을 주는가.</w:t>
      </w:r>
    </w:p>
    <w:p>
      <w:pPr>
        <w:jc w:val="both"/>
      </w:pPr>
      <w:r>
        <w:t xml:space="preserve">1차 보고 기간의 시뮬레이션 결과는 다음과 같다. Stage A 스위칭 ODE 모델에서 위상별 자기발진 영교차 추종은 정·역방향 부품 공차 표본 각 20건에서 모두 ZCS 기준을 만족했다(고정 타이밍은 20건 중 16건 실패). Stage B 유한 링크 평균모델에서 25 kW 정상상태 처리전력은 640 V에서 최대 6.44 kW(보조버스 전력의 25.7 %), 788 V에서 0.44 kW(1.8 %)였고, 충전전류는 구조상 Stage B를 지나지 않는다. 788 V·5 kW에서 한 번 설계한 고정 제어이득으로 정상시험 41건과 단일 변수 ±10 % 공차시험 28건을 통과했다.</w:t>
      </w:r>
    </w:p>
    <w:p>
      <w:pPr>
        <w:jc w:val="both"/>
      </w:pPr>
      <w:r>
        <w:t xml:space="preserve">다만 여유가 작다. 640 V 정격 스텝에서 경로전류가 98.0 A로 100 A 한계에 근접하고, 공차시험 최대값은 99.95 A이며, 전달지연을 6.3 µs로 늘리면 한계를 넘는다. 이 세 결과는 모두 640 V 코너의 전류 여유 부족에서 나온다. 추가 분석에서 과도 허용 전력은 배터리 전압에 따라 26.1 kW(640 V)에서 33.6 kW(920 V)로 달라졌지만, 현재 SALS는 전압과 무관한 정적 예산(400 V 기준 59.375 A)을 쓴다. SALS 관측 전 사건 반례(122.2 A)는 비지연 부하만으로 예산을 넘는 용량 문제(24.0 A)와 관측 지연에 따른 인과성 문제(38.8 A)가 겹친 결과로 분해되었다. 보조버스를 400±8 V로 조정해야 하는 근거와, 25 kW 정격과 SALS 시험 부하 가정 사이의 불일치는 확정되지 않은 요구사항으로 남아 있다.</w:t>
      </w:r>
    </w:p>
    <w:p>
      <w:pPr>
        <w:jc w:val="both"/>
      </w:pPr>
      <w:r>
        <w:t xml:space="preserve">다음 단계는 요구사항·부하 등급·수락 기준 확정, 전류·지연 여유를 목표로 한 제어기 재설계, Stage B Simscape 스위칭 모델, 충전·보조전원 통합, 조정 없는 고정비 버스를 포함한 기준 구조 비교, Stage C 5 kW 재설계, 동적 여유 기반 부하 승인 순으로 진행한다. 현재 근거는 평균모델과 스위칭 ODE 수준이며 하드웨어 성능을 의미하지 않는다.</w:t>
      </w:r>
    </w:p>
    <w:p>
      <w:r>
        <w:br w:type="page"/>
      </w:r>
    </w:p>
    <w:p>
      <w:pPr>
        <w:pStyle w:val="Heading1"/>
      </w:pPr>
      <w:r>
        <w:t xml:space="preserve">1. 연구 배경과 아이디어 도출</w:t>
      </w:r>
    </w:p>
    <w:p>
      <w:pPr>
        <w:pStyle w:val="Heading2"/>
      </w:pPr>
      <w:r>
        <w:t xml:space="preserve">1.1 800 V 차량과 다중 전압 환경</w:t>
      </w:r>
    </w:p>
    <w:p>
      <w:pPr>
        <w:jc w:val="both"/>
      </w:pPr>
      <w:r>
        <w:t xml:space="preserve">전기자동차의 배터리 전압을 400 V급에서 800 V급으로 높이면 같은 전력을 더 작은 전류로 전달할 수 있다. 전류가 감소하면 케이블과 커넥터의 도통손실을 낮추고 고출력 충전에 대응하기 쉬워진다. 이러한 이유로 800 V급 구동계는 고성능 전기자동차와 급속충전 시스템의 주요 발전 방향이 되었다[1].</w:t>
      </w:r>
    </w:p>
    <w:p>
      <w:pPr>
        <w:jc w:val="both"/>
      </w:pPr>
      <w:r>
        <w:t xml:space="preserve">그러나 배터리 전압을 높여도 차량과 충전 환경의 전압이 하나로 통일되지는 않는다. 외부에는 400 V급 직류 급속충전설비가 존재하고, 차량 내부에는 400 V 공조 압축기와 히터, 48 V 고출력 전장부하, 12 V 제어·조명·안전부하가 함께 사용된다. 따라서 800 V 배터리의 장점을 유지하면서도 다음 기능을 제공해야 한다.</w:t>
      </w:r>
    </w:p>
    <w:p>
      <w:pPr>
        <w:pStyle w:val="ListParagraph"/>
        <w:numPr>
          <w:ilvl w:val="0"/>
          <w:numId w:val="2"/>
        </w:numPr>
        <w:spacing w:after="60"/>
        <w:jc w:val="both"/>
      </w:pPr>
      <w:r>
        <w:t xml:space="preserve">400 V급 충전설비와 800 V 배터리 사이의 전압 호환</w:t>
      </w:r>
    </w:p>
    <w:p>
      <w:pPr>
        <w:pStyle w:val="ListParagraph"/>
        <w:numPr>
          <w:ilvl w:val="0"/>
          <w:numId w:val="2"/>
        </w:numPr>
        <w:spacing w:after="60"/>
        <w:jc w:val="both"/>
      </w:pPr>
      <w:r>
        <w:t xml:space="preserve">주행 중 400 V 보조부하에 대한 전원 공급</w:t>
      </w:r>
    </w:p>
    <w:p>
      <w:pPr>
        <w:pStyle w:val="ListParagraph"/>
        <w:numPr>
          <w:ilvl w:val="0"/>
          <w:numId w:val="2"/>
        </w:numPr>
        <w:spacing w:after="60"/>
        <w:jc w:val="both"/>
      </w:pPr>
      <w:r>
        <w:t xml:space="preserve">48 V와 12 V 전원망의 절연 및 전압변환</w:t>
      </w:r>
    </w:p>
    <w:p>
      <w:pPr>
        <w:pStyle w:val="ListParagraph"/>
        <w:numPr>
          <w:ilvl w:val="0"/>
          <w:numId w:val="2"/>
        </w:numPr>
        <w:spacing w:after="60"/>
        <w:jc w:val="both"/>
      </w:pPr>
      <w:r>
        <w:t xml:space="preserve">충전, 주행, 회생과 외부 전력공급 운전 사이의 안전한 전환</w:t>
      </w:r>
    </w:p>
    <w:p>
      <w:pPr>
        <w:pStyle w:val="ListParagraph"/>
        <w:numPr>
          <w:ilvl w:val="0"/>
          <w:numId w:val="2"/>
        </w:numPr>
        <w:spacing w:after="60"/>
        <w:jc w:val="both"/>
      </w:pPr>
      <w:r>
        <w:t xml:space="preserve">여러 부하가 동시에 동작할 때 변환기 정격을 넘지 않도록 하는 전력 관리</w:t>
      </w:r>
    </w:p>
    <w:p>
      <w:pPr>
        <w:jc w:val="both"/>
      </w:pPr>
      <w:r>
        <w:t xml:space="preserve">이 문제를 기능별 별도 변환기로 해결하면 역할 구분은 명확해진다. 반면 구성에 따라 장치 수, 냉각회로, 고전압 배선, 접촉기와 제어 복잡도가 증가할 수 있고, 충전용 대전력 변환기가 주행 중 낮은 부하로 사용되면 부품 이용률과 저부하 효율이 낮아질 수 있다.</w:t>
      </w:r>
    </w:p>
    <w:p>
      <w:pPr>
        <w:pStyle w:val="Heading2"/>
      </w:pPr>
      <w:r>
        <w:t xml:space="preserve">1.2 기존 해결방식과 설계상의 상충관계</w:t>
      </w:r>
    </w:p>
    <w:p>
      <w:pPr>
        <w:jc w:val="both"/>
      </w:pPr>
      <w:r>
        <w:t xml:space="preserve">400 V급 충전설비에서 800 V 배터리를 충전하는 대표적인 방법은 전전력 승압형 직류-직류 변환기, 배터리 모듈 재구성, 구동계 통합 충전 및 2:1 고정비 변환이다.</w:t>
      </w:r>
    </w:p>
    <w:p>
      <w:pPr>
        <w:jc w:val="both"/>
      </w:pPr>
      <w:r>
        <w:t xml:space="preserve">전전력 변환기는 입력전압 변화에 관계없이 출력전압과 전류를 정밀하게 제어할 수 있다. 절연형 듀얼 액티브 브리지(Dual-Active-Bridge, DAB)를 사용하면 명확한 절연 경계도 확보할 수 있다[2]. 다만 150 kW 충전전력을 모두 처리하려면 자기소자와 반도체, 냉각장치도 같은 전력등급으로 설계해야 한다.</w:t>
      </w:r>
    </w:p>
    <w:p>
      <w:pPr>
        <w:jc w:val="both"/>
      </w:pPr>
      <w:r>
        <w:t xml:space="preserve">배터리 재구성 방식은 충전 시 배터리 모듈의 직렬·병렬 연결을 바꾸어 별도의 대형 승압기를 줄일 수 있다. 그러나 고전압 접촉기, 절연, 셀 균형과 고장처리가 복잡해진다. 구동계 통합 충전은 인버터와 모터 권선을 충전회로 일부로 사용해 별도 부품을 줄일 수 있지만, 충전 중 구동계를 사용하므로 안전, 소음·진동과 구동계 가용성을 함께 검토해야 한다.</w:t>
      </w:r>
    </w:p>
    <w:p>
      <w:pPr>
        <w:jc w:val="both"/>
      </w:pPr>
      <w:r>
        <w:t xml:space="preserve">2:1 고정비 변환기는 좁은 변환비에서 높은 효율과 전력밀도를 기대할 수 있다. 그러나 배터리가 640–920 V로 변하면 이상적인 2:1 출력도 320–460 V로 변한다. 이 변동을 400 V 부하와 저전압 변환기가 그대로 받아들일 수 있다면 고정비 경로만으로 충분하고, 조정된 전압이 필요하다면 별도의 조정 기능이 필요하다. 어느 쪽이 맞는지는 부하의 입력 허용범위에 달려 있으며, 이 요구는 3.2절에서 다룬다.</w:t>
      </w:r>
    </w:p>
    <w:p>
      <w:pPr>
        <w:pStyle w:val="Heading2"/>
      </w:pPr>
      <w:r>
        <w:t xml:space="preserve">1.3 PRISM-Hub 아이디어의 도출</w:t>
      </w:r>
    </w:p>
    <w:p>
      <w:pPr>
        <w:jc w:val="both"/>
      </w:pPr>
      <w:r>
        <w:t xml:space="preserve">위 상충관계에서 다음 설계 질문이 도출되었다. “전체 전력을 정밀 변환하지 않고, 대부분의 전력은 단순한 고정비 경로로 전달하면서 목표전압과의 차이만 상대적으로 작은 변환기가 보상할 수 있는가?”</w:t>
      </w:r>
    </w:p>
    <w:p>
      <w:pPr>
        <w:jc w:val="both"/>
      </w:pPr>
      <w:r>
        <w:t xml:space="preserve">이 질문에 따라 대전력 전달과 전압조정을 분리한 구조가 형성되었다(그림 1). Stage A는 2:1 고정비 공진형 스위치드 커패시터(Resonant Switched-Capacitor, RSC) 변환기로 주전력을 전달한다. Stage B는 부분전력 조정 변환기(Partial-Power Regulating Converter, PPRC)로서 Stage A 출력 노드 V_A와 400 V 보조버스 사이에 필요한 양·음의 전압만 직렬로 보상한다. Stage C는 400 V 보조버스에서 절연된 48 V 전원망을 공급하고, 후단 강압 변환기가 12 V 전원망을 공급한다.</w:t>
      </w:r>
    </w:p>
    <w:p>
      <w:pPr>
        <w:keepNext/>
        <w:spacing w:after="60" w:before="120" w:line="240" w:lineRule="auto"/>
        <w:jc w:val="center"/>
      </w:pPr>
      <w:r>
        <w:drawing>
          <wp:inline distT="0" distB="0" distL="0" distR="0">
            <wp:extent cx="5581650" cy="3019425"/>
            <wp:effectExtent t="0" r="0" b="0" l="0"/>
            <wp:docPr id="1" name="fig1_architecture.png" descr="그림 1. PRISM-Hub 후보 구조의 전력 경로" title="그림 1. PRISM-Hub 후보 구조의 전력 경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019425"/>
                    </a:xfrm>
                    <a:prstGeom prst="rect">
                      <a:avLst/>
                    </a:prstGeom>
                  </pic:spPr>
                </pic:pic>
              </a:graphicData>
            </a:graphic>
          </wp:inline>
        </w:drawing>
      </w:r>
    </w:p>
    <w:p>
      <w:pPr>
        <w:pStyle w:val="Caption"/>
        <w:keepNext/>
        <w:jc w:val="center"/>
      </w:pPr>
      <w:r>
        <w:t xml:space="preserve">그림 1. PRISM-Hub 후보 구조의 전력 경로</w:t>
      </w:r>
    </w:p>
    <w:p>
      <w:pPr>
        <w:pStyle w:val="SourceNote"/>
      </w:pPr>
      <w:r>
        <w:t xml:space="preserve">자료: 저자 작성. 충전 대전류는 V_A 노드에서 Stage A로 흐르며 Stage B를 거치지 않는다. Stage B의 DAB는 400 V 보조버스에서 전력을 받아 직렬 포트로 보상전압을 만든다.</w:t>
      </w:r>
    </w:p>
    <w:p>
      <w:pPr>
        <w:jc w:val="both"/>
      </w:pPr>
      <w:r>
        <w:t xml:space="preserve">충전전류가 소용량 Stage B를 통과하면 대전력 경로와 조정 경로를 분리한 목적이 사라진다. 이에 따라 400 V급 충전기를 Stage A 출력 노드에 연결하고, 400 V 보조버스와 Stage C는 직렬 조정단 뒤에 배치했다. 충전 대전류는 Stage A를 통과하고, Stage B는 보조버스 전압조정에 집중한다.</w:t>
      </w:r>
    </w:p>
    <w:p>
      <w:pPr>
        <w:jc w:val="both"/>
      </w:pPr>
      <w:r>
        <w:t xml:space="preserve">작은 조정단은 부하가 중첩될 때 정격에 도달할 수 있다. 이를 다루기 위해 상위 부하 승인 계층인 SALS(Saturation-Aware Anticipatory Load Shaping)를 도입했다. SALS의 역할은 전압을 직접 제어하는 것이 아니라, 조정단의 정격과 부하 우선순위에 따라 지연 가능한 부하의 실행을 승인하거나 제한하는 것이다.</w:t>
      </w:r>
    </w:p>
    <w:p>
      <w:pPr>
        <w:pStyle w:val="Heading2"/>
      </w:pPr>
      <w:r>
        <w:t xml:space="preserve">1.4 연구 질문, 가설과 이번 단계의 범위</w:t>
      </w:r>
    </w:p>
    <w:p>
      <w:pPr>
        <w:jc w:val="both"/>
      </w:pPr>
      <w:r>
        <w:t xml:space="preserve">본 연구의 중심 가설은 “충전전력 전체를 정밀 변환하지 않더라도, 전력 경로의 배치와 정격을 공동 설계하면 작은 조정단으로 400 V 충전 호환과 다중 전압 보조전원을 함께 제공할 수 있다”는 것이다. 이 가설은 가능성만으로는 판정할 수 없으므로 다음 세 질문과 가설별 수락 기준(표 15)으로 구체화한다.</w:t>
      </w:r>
    </w:p>
    <w:p>
      <w:pPr>
        <w:pStyle w:val="ListParagraph"/>
        <w:numPr>
          <w:ilvl w:val="0"/>
          <w:numId w:val="2"/>
        </w:numPr>
        <w:spacing w:after="60"/>
        <w:jc w:val="both"/>
      </w:pPr>
      <w:r>
        <w:t xml:space="preserve">Q1. 150 kW급 충전전력을 조정단에서 분리한 상태에서, 8 kW급 유한 링크 조정단이 25 kW 보조버스의 차동전력만으로 640–920 V 전 범위를 조정할 수 있는가.</w:t>
      </w:r>
    </w:p>
    <w:p>
      <w:pPr>
        <w:pStyle w:val="ListParagraph"/>
        <w:numPr>
          <w:ilvl w:val="0"/>
          <w:numId w:val="2"/>
        </w:numPr>
        <w:spacing w:after="60"/>
        <w:jc w:val="both"/>
      </w:pPr>
      <w:r>
        <w:t xml:space="preserve">Q2. 하나의 고정 제어기와 인과적 부하 승인 계층이 공차·지연·부하 중첩 조건에서 포트 정격과 서비스 요구를 함께 만족할 수 있는가.</w:t>
      </w:r>
    </w:p>
    <w:p>
      <w:pPr>
        <w:pStyle w:val="ListParagraph"/>
        <w:numPr>
          <w:ilvl w:val="0"/>
          <w:numId w:val="2"/>
        </w:numPr>
        <w:spacing w:after="60"/>
        <w:jc w:val="both"/>
      </w:pPr>
      <w:r>
        <w:t xml:space="preserve">Q3. 이 구조가 전전력 승압기와 별도 보조전원모듈을 쓰는 구조, 그리고 조정 없는 고정비 버스에 부하를 직접 연결하는 구조보다 손실, 정격, 부품 수 또는 서비스 품질에서 측정 가능한 이점을 주는가.</w:t>
      </w:r>
    </w:p>
    <w:p>
      <w:pPr>
        <w:jc w:val="both"/>
      </w:pPr>
      <w:r>
        <w:t xml:space="preserve">이번 18주 단계의 범위는 MATLAB/Simulink와 Python 교차 구현을 이용한 시뮬레이션 기반 검증이다. 제어기 하드웨어 연동(HIL)과 시제품 실증은 이 단계의 결과로 가설이 유지될 때 후속 단계에서 수행한다.</w:t>
      </w:r>
    </w:p>
    <w:p>
      <w:pPr>
        <w:pStyle w:val="Heading1"/>
      </w:pPr>
      <w:r>
        <w:t xml:space="preserve">2. 선행연구 및 유사 기술 분석</w:t>
      </w:r>
    </w:p>
    <w:p>
      <w:pPr>
        <w:pStyle w:val="Heading2"/>
      </w:pPr>
      <w:r>
        <w:t xml:space="preserve">2.1 고정비 공진형 스위치드 커패시터 변환</w:t>
      </w:r>
    </w:p>
    <w:p>
      <w:pPr>
        <w:jc w:val="both"/>
      </w:pPr>
      <w:r>
        <w:t xml:space="preserve">공진형 스위치드 커패시터 또는 스위치드 탱크 변환기(Switched-Tank Converter, STC)는 커패시터 연결 상태와 공진전류를 이용해 정해진 비율로 전압을 바꾸며, 공진전류가 0에 가까울 때 스위치를 전환하는 영전류 스위칭(Zero-Current Switching, ZCS)으로 스위칭 손실을 줄인다. Ni 등은 300↔600 V, 100 kW급 양방향 실리콘 카바이드 STC 시제품에서 약 30 kW 98.7 %, 100 kW 97.4 %의 실측 효율을 보고했고[3], Liu 등은 500 kW급 다상 STC를 설계하고 실험했다[4], [5].</w:t>
      </w:r>
    </w:p>
    <w:p>
      <w:pPr>
        <w:jc w:val="both"/>
      </w:pPr>
      <w:r>
        <w:t xml:space="preserve">따라서 2:1 변환, 양방향 운전, 다상화와 100 kW 이상 정격 자체는 새로운 원리가 아니며, Stage A는 이 선행연구를 기술적 근거로 삼는다. 실제 효율은 도통손실, 커패시터 실효전류, 버스바, 냉각과 전자기 간섭 조건에 따라 달라지므로, 프로젝트의 99 %대 효율은 회로 손실 가정에 따른 모델 예측값으로만 사용한다.</w:t>
      </w:r>
    </w:p>
    <w:p>
      <w:pPr>
        <w:pStyle w:val="Heading2"/>
      </w:pPr>
      <w:r>
        <w:t xml:space="preserve">2.2 고정비 변환과 부분전력 조정의 결합</w:t>
      </w:r>
    </w:p>
    <w:p>
      <w:pPr>
        <w:jc w:val="both"/>
      </w:pPr>
      <w:r>
        <w:t xml:space="preserve">부분전력처리(Partial Power Processing, PPP)는 전체 부하전력 중 조정에 필요한 일부만 전력전자 변환기가 처리하고, 나머지는 직접 또는 고정비 경로로 전달하는 접근이다. He, Jiang, Nan의 APEC 2018 연구는 STC와 부분전력 조정단을 결합한 전압조정 구조와 48 V에서 12 V로 변환하는 500 W 시제품을 제시했다[6]. Ni 등의 APEC 2019 연구는 전기자동차 응용을 목표로 200–400 V 입력을 1,200 V로 변환하는 4 kW 시제품을 제시했으며, 6배 STC와 질화갈륨 소자 기반 부분전력 강압 조정단을 결합했다[7].</w:t>
      </w:r>
    </w:p>
    <w:p>
      <w:pPr>
        <w:jc w:val="both"/>
      </w:pPr>
      <w:r>
        <w:t xml:space="preserve">이 연구들로 “고정비 주경로와 작은 조정단의 역할 분담” 원리는 이미 제시되었다. PRISM-Hub는 이 원리를 800 V 차량의 충전, 400 V 보조버스와 48 V·12 V 전원망에 배치하고, 포트 정격과 모드 전환을 하나의 시스템으로 검증하는 데 범위를 둔다.</w:t>
      </w:r>
    </w:p>
    <w:p>
      <w:pPr>
        <w:pStyle w:val="Heading2"/>
      </w:pPr>
      <w:r>
        <w:t xml:space="preserve">2.3 직렬 전압보상과 양극성 부분전력 변환</w:t>
      </w:r>
    </w:p>
    <w:p>
      <w:pPr>
        <w:jc w:val="both"/>
      </w:pPr>
      <w:r>
        <w:t xml:space="preserve">Wang과 Chen은 직렬 전압보상기를 이용한 차동전력처리 구조의 정격과 추가 전력변환 스트레스를 분석했고[8], Hassanpour 등은 양극성 직렬 포트를 갖는 부분전력 변환기의 0 V 부근 운전, 소자 스트레스, 보호와 소프트스타트를 다루었다[9]. 직렬 전압 가감과 양극성 동작은 알려진 기술이므로, Stage B의 과제는 400 V–100 V 절연 DAB, ±90 V 직렬 포트, 0 V 통과, 프리차지와 보호를 차량 운전모드의 실제 정격 안에서 구현하고 검증하는 것이다.</w:t>
      </w:r>
    </w:p>
    <w:p>
      <w:pPr>
        <w:pStyle w:val="Heading2"/>
      </w:pPr>
      <w:r>
        <w:t xml:space="preserve">2.4 공진 제어와 공차 대응</w:t>
      </w:r>
    </w:p>
    <w:p>
      <w:pPr>
        <w:jc w:val="both"/>
      </w:pPr>
      <w:r>
        <w:t xml:space="preserve">Li 등의 WiPDA Asia 2018 연구는 공진 탱크의 부품 공차로 고정 타이밍만으로는 소프트 스위칭을 유지하기 어렵다는 문제를 다루고 적응형 온타임 제어를 실험했다[10]. Ni 등[7]도 스위칭주파수를 공진주파수보다 약간 낮추고 데드타임을 조정해 턴오프 ZCS를 얻었다. PRISM-Hub의 고정 타이밍 기준(0.98 f_r)은 이와 같은 방식이며, 부품 공차 표본에서 이 방식이 충분하지 않아 위상별 영교차 추종으로 바꾸었다(4.1절). 공차 대응 타이밍 제어 자체는 선행연구가 있으므로, 기여는 다상 동기, 전류공유, 센서 오차와 방향 전환 조건에서의 구체적인 개선으로 한정한다.</w:t>
      </w:r>
    </w:p>
    <w:p>
      <w:pPr>
        <w:pStyle w:val="Heading2"/>
      </w:pPr>
      <w:r>
        <w:t xml:space="preserve">2.5 통합 전력전자 제품과 관련 특허</w:t>
      </w:r>
    </w:p>
    <w:p>
      <w:pPr>
        <w:jc w:val="both"/>
      </w:pPr>
      <w:r>
        <w:t xml:space="preserve">차량용 복합 직류-직류 변환기와 주행주기 손실 비교는 이미 연구되었다[11]. Vicor NBM9280은 400–920 V와 200–460 V 사이의 비절연 2:1 고정비 모듈로, 모듈 하나로 800 V 배터리에서 37 kW급 400 V 부속부하 레일을 공급하며 최고 효율 99.0 %를 제시한다. 같은 회사는 양방향 모듈로 기존 400 V 부품과 충전 인프라를 800 V 차량에 맞추는 방식도 발표했다[12]. 즉 고정비 모듈을 통한 400 V 충전 호환과 400 V 부하 공급은 산업계에 이미 있으며, 이때 400 V 부하는 배터리 전압에 따라 변하는 비조정 전압을 받는다. Stage A의 모듈당 37.5 kW 목표도 같은 등급이므로, PRISM-Hub의 차별점은 조정된 보조버스를 직렬 조정단 뒤에 분리하는 데 있고 그 가치는 보조버스 조정이 실제로 필요한지(3.2절)에 달려 있다.</w:t>
      </w:r>
    </w:p>
    <w:p>
      <w:pPr>
        <w:jc w:val="both"/>
      </w:pPr>
      <w:r>
        <w:t xml:space="preserve">Preh Combo Box는 800 V 부스터, 전력분배장치와 3.5 kW 직류-직류 변환기를 하나의 제품으로 통합했다[13]. NIO USA(원출원인)의 US10363828B1·US10632863B2는 800 V 충전 중 공진형 스위치드 커패시터 경로로 400 V 구동계 버스를 공급하는 구성을[14], Karma Automotive의 US11235676B2 등은 800/400 V 양방향 변환과 보조전원모듈의 결합을 공개한다[15]. 전력 방향이나 사용사례가 달라도 기술영역이 겹치므로 장치 통합이나 400/800 V 공존만으로 독창성을 주장할 수 없으며, 청구항과 회로의 항목별 대조가 필요하다. 제조사 수치는 공개자료이며 독립 검증 결과가 아니다.</w:t>
      </w:r>
    </w:p>
    <w:p>
      <w:pPr>
        <w:pStyle w:val="Heading2"/>
      </w:pPr>
      <w:r>
        <w:t xml:space="preserve">2.6 차량 부하 관리와 상위 제약 계층</w:t>
      </w:r>
    </w:p>
    <w:p>
      <w:pPr>
        <w:jc w:val="both"/>
      </w:pPr>
      <w:r>
        <w:t xml:space="preserve">Jaguar Land Rover의 US20190023203A1은 변환기 포화, 가용전류와 우선순위에 따른 부하 승인·제한을[16], Robert Bosch GmbH의 EP1053129A1은 피크 전력요구의 사전 평가와 부하 실행 지연을[17] 다룬다. Reference Governor와 Command Governor는 안정화된 내부 제어기 위에서 상태·입력 제약을 만족시키는 일반적인 명령 조정 방법이다[18]. 따라서 SALS의 넓은 원리는 고유하지 않으며, 기여 후보는 조정단의 배터리 전압 의존 과도 허용 전력, 통신 지연과 부하 기동의 인과성, 서비스 손실을 함께 고려한 승인 조건의 정량화로 한정한다.</w:t>
      </w:r>
    </w:p>
    <w:p>
      <w:pPr>
        <w:pStyle w:val="Heading2"/>
      </w:pPr>
      <w:r>
        <w:t xml:space="preserve">2.7 선행연구 대비 예상 신규성과 연구 범위</w:t>
      </w:r>
    </w:p>
    <w:p>
      <w:pPr>
        <w:jc w:val="both"/>
      </w:pPr>
      <w:r>
        <w:t xml:space="preserve">비교 범위는 공개 논문(IEEE Xplore 등), 특허(Google Patents), 제조사 공개자료이며, 2026년 9월 기준 대표 자료 18건을 검토했다. 전수 특허 패밀리·인용망·청구항 분석은 포함하지 않았으므로, 아래 판단은 기술적 비교이며 법률적 신규성이나 침해 판단이 아니다.</w:t>
      </w:r>
    </w:p>
    <w:p>
      <w:pPr>
        <w:pStyle w:val="Caption"/>
        <w:keepNext/>
        <w:keepLines/>
        <w:jc w:val="center"/>
      </w:pPr>
      <w:r>
        <w:t xml:space="preserve">표 1. 선행기술과 PRISM-Hub의 비교</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711"/>
        <w:gridCol w:w="2023"/>
        <w:gridCol w:w="2645"/>
        <w:gridCol w:w="2647"/>
      </w:tblGrid>
      <w:tr>
        <w:trPr>
          <w:cantSplit/>
          <w:tblHeader/>
        </w:trPr>
        <w:tc>
          <w:tcPr>
            <w:tcW w:type="dxa" w:w="171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구분</w:t>
            </w:r>
          </w:p>
        </w:tc>
        <w:tc>
          <w:tcPr>
            <w:tcW w:type="dxa" w:w="202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대표 자료</w:t>
            </w:r>
          </w:p>
        </w:tc>
        <w:tc>
          <w:tcPr>
            <w:tcW w:type="dxa" w:w="2645"/>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겹치는 요소</w:t>
            </w:r>
          </w:p>
        </w:tc>
        <w:tc>
          <w:tcPr>
            <w:tcW w:type="dxa" w:w="2647"/>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PRISM-Hub에서 다른 점</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대전력 고정비 공진 변환</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Ni 2020[3], Liu 2023·2024[4], [5]</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2:1 고정비, 다상, 양방향, 100 kW 이상</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차량 다중 포트 허브 안의 배치(원리는 동일)</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고정비 + 부분전력 조정</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He 2018[6], Ni 2019[7]</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고정비 주경로와 작은 조정단의 역할 분담</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절연 DAB–100 V 링크–양극성 직렬 포트, 충전 경로와 조정 경로의 분리</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직렬 양극성 보상</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Wang·Chen 2022[8], Hassanpour 2023[9]</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직렬 전압 가감, 0 V 부근 운전</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차량 모드별 정격(링크 80 A·8 kW, 경로 100 A)의 공동 설계</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고정비 모듈 제품</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Vicor NBM9280[12]</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400–920 V ↔ 200–460 V 2:1, 400 V 충전 인프라 적응, 400 V 부하 공급</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보조버스를 조정(400±8 V)하는 점. 조정의 필요성은 미확정(3.2절)</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통합 전력전자 제품</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Preh Combo Box[13]</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부스터·분배·DC-DC 통합</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전전력 부스터 대신 고정비 경로 + 부분전력 조정</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RSC 기반 400/800 V 특허</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NIO[14], Karma[15]</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RSC를 이용한 400/800 V 공존, 800/400 V 변환 + APM 결합</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전력 방향·사용사례, 부유 링크 직렬 주입 구조(청구항 대조 필요)</w:t>
            </w:r>
          </w:p>
        </w:tc>
      </w:tr>
      <w:tr>
        <w:trPr>
          <w:cantSplit/>
        </w:trPr>
        <w:tc>
          <w:tcPr>
            <w:tcW w:type="dxa" w:w="1711"/>
            <w:tcMar>
              <w:top w:type="dxa" w:w="50"/>
              <w:left w:type="dxa" w:w="90"/>
              <w:bottom w:type="dxa" w:w="50"/>
              <w:right w:type="dxa" w:w="90"/>
            </w:tcMar>
            <w:vAlign w:val="center"/>
          </w:tcPr>
          <w:p>
            <w:pPr>
              <w:spacing w:after="0" w:before="0" w:line="260"/>
              <w:jc w:val="left"/>
            </w:pPr>
            <w:r>
              <w:rPr>
                <w:sz w:val="16"/>
                <w:szCs w:val="16"/>
              </w:rPr>
              <w:t xml:space="preserve">차량 부하 관리</w:t>
            </w:r>
          </w:p>
        </w:tc>
        <w:tc>
          <w:tcPr>
            <w:tcW w:type="dxa" w:w="2023"/>
            <w:tcMar>
              <w:top w:type="dxa" w:w="50"/>
              <w:left w:type="dxa" w:w="90"/>
              <w:bottom w:type="dxa" w:w="50"/>
              <w:right w:type="dxa" w:w="90"/>
            </w:tcMar>
            <w:vAlign w:val="center"/>
          </w:tcPr>
          <w:p>
            <w:pPr>
              <w:spacing w:after="0" w:before="0" w:line="260"/>
              <w:jc w:val="left"/>
            </w:pPr>
            <w:r>
              <w:rPr>
                <w:sz w:val="16"/>
                <w:szCs w:val="16"/>
              </w:rPr>
              <w:t xml:space="preserve">JLR[16], Bosch[17], Governor[18]</w:t>
            </w:r>
          </w:p>
        </w:tc>
        <w:tc>
          <w:tcPr>
            <w:tcW w:type="dxa" w:w="2645"/>
            <w:tcMar>
              <w:top w:type="dxa" w:w="50"/>
              <w:left w:type="dxa" w:w="90"/>
              <w:bottom w:type="dxa" w:w="50"/>
              <w:right w:type="dxa" w:w="90"/>
            </w:tcMar>
            <w:vAlign w:val="center"/>
          </w:tcPr>
          <w:p>
            <w:pPr>
              <w:spacing w:after="0" w:before="0" w:line="260"/>
              <w:jc w:val="left"/>
            </w:pPr>
            <w:r>
              <w:rPr>
                <w:sz w:val="16"/>
                <w:szCs w:val="16"/>
              </w:rPr>
              <w:t xml:space="preserve">우선순위 승인·지연, 상태·입력 제약</w:t>
            </w:r>
          </w:p>
        </w:tc>
        <w:tc>
          <w:tcPr>
            <w:tcW w:type="dxa" w:w="2647"/>
            <w:tcMar>
              <w:top w:type="dxa" w:w="50"/>
              <w:left w:type="dxa" w:w="90"/>
              <w:bottom w:type="dxa" w:w="50"/>
              <w:right w:type="dxa" w:w="90"/>
            </w:tcMar>
            <w:vAlign w:val="center"/>
          </w:tcPr>
          <w:p>
            <w:pPr>
              <w:spacing w:after="0" w:before="0" w:line="260"/>
              <w:jc w:val="left"/>
            </w:pPr>
            <w:r>
              <w:rPr>
                <w:sz w:val="16"/>
                <w:szCs w:val="16"/>
              </w:rPr>
              <w:t xml:space="preserve">조정단의 전압 의존 과도 허용 전력과 관측 인과성을 명시한 승인 조건(현재 정적 예산 단계)</w:t>
            </w:r>
          </w:p>
        </w:tc>
      </w:tr>
    </w:tbl>
    <w:p>
      <w:pPr>
        <w:pStyle w:val="SourceNote"/>
      </w:pPr>
      <w:r>
        <w:t xml:space="preserve">자료: 부록 B의 참고문헌 [3]–[18]을 바탕으로 저자 작성.</w:t>
      </w:r>
    </w:p>
    <w:p>
      <w:pPr>
        <w:jc w:val="both"/>
      </w:pPr>
      <w:r>
        <w:t xml:space="preserve">표 1에 따르면 개별 원리는 모두 선행 사례가 있다. 공개자료에서 확인한 범위에서 PRISM-Hub가 다른 점은 다음 세 가지 조합이며, 이를 예상 신규성 후보로 둔다.</w:t>
      </w:r>
    </w:p>
    <w:p>
      <w:pPr>
        <w:pStyle w:val="ListParagraph"/>
        <w:numPr>
          <w:ilvl w:val="0"/>
          <w:numId w:val="2"/>
        </w:numPr>
        <w:spacing w:after="60"/>
        <w:jc w:val="both"/>
      </w:pPr>
      <w:r>
        <w:t xml:space="preserve">N1. 400 V급 충전기를 비조정 2:1 출력 노드 V_A에 연결하고, 조정된 400 V 보조버스를 양극성 직렬 포트 뒤에 분리해 충전 대전류와 보조버스 조정전류가 다른 경로를 쓰게 한 배치. 산업계 구조와의 차이는 보조버스 조정뿐이므로, 그 필요성(3.2절)과 충전 중 동시 운전이 확인되어야 한다. 현재 미검증이다.</w:t>
      </w:r>
    </w:p>
    <w:p>
      <w:pPr>
        <w:pStyle w:val="ListParagraph"/>
        <w:numPr>
          <w:ilvl w:val="0"/>
          <w:numId w:val="2"/>
        </w:numPr>
        <w:spacing w:after="60"/>
        <w:jc w:val="both"/>
      </w:pPr>
      <w:r>
        <w:t xml:space="preserve">N2. 유한 100 V 링크를 포함한 조정단에서 부하전류, 경로전류, 링크전류, 링크전력, 변조율과 직렬전압 한계를 공동 설계하고, 정적·과도 운전 가능영역을 배터리 전압별로 수치화하는 정격 설계 방법. 평균모델 수준에서 부분적으로 확인했다(3.4절, 6.4–6.6절).</w:t>
      </w:r>
    </w:p>
    <w:p>
      <w:pPr>
        <w:pStyle w:val="ListParagraph"/>
        <w:numPr>
          <w:ilvl w:val="0"/>
          <w:numId w:val="2"/>
        </w:numPr>
        <w:spacing w:after="60"/>
        <w:jc w:val="both"/>
      </w:pPr>
      <w:r>
        <w:t xml:space="preserve">N3. 조정단의 배터리 전압 의존 과도 허용 전력을 부하 등급·통신 지연·기동 인과성에 연결하는 승인 조건. 현재 구현은 정적 예산 단계이며, 과도 허용 전력 지도(6.6절)를 승인에 반영하는 것은 후속 과제다.</w:t>
      </w:r>
    </w:p>
    <w:p>
      <w:pPr>
        <w:jc w:val="both"/>
      </w:pPr>
      <w:r>
        <w:t xml:space="preserve">실패 조건을 고정 회귀시험으로 보존하는 검증체계는 결과의 신뢰성을 높이는 방법으로 사용하며 연구 신규성으로 주장하지 않는다. N1–N3의 채택 여부는 8.1절에서 확정할 수락 기준(표 15)에 따라 판정하며, 효율·부피·질량·비용의 우월성과 특허상 신규성은 동일 조건의 비교와 별도의 청구항 분석 이후에 판단한다.</w:t>
      </w:r>
    </w:p>
    <w:p>
      <w:pPr>
        <w:pStyle w:val="Heading1"/>
      </w:pPr>
      <w:r>
        <w:t xml:space="preserve">3. 제안 아키텍처의 필요성과 설계 요구사항</w:t>
      </w:r>
    </w:p>
    <w:p>
      <w:pPr>
        <w:pStyle w:val="Heading2"/>
      </w:pPr>
      <w:r>
        <w:t xml:space="preserve">3.1 설계 요구사항과 판정 기준</w:t>
      </w:r>
    </w:p>
    <w:p>
      <w:pPr>
        <w:jc w:val="both"/>
      </w:pPr>
      <w:r>
        <w:t xml:space="preserve">표 2는 현재 설계와 시험에 사용한 요구사항이다. 상태 열은 요구사항이 외부 조건에서 확정되었는지, 설계 가정인지를 구분한다.</w:t>
      </w:r>
    </w:p>
    <w:p>
      <w:pPr>
        <w:pStyle w:val="Caption"/>
        <w:keepNext/>
        <w:keepLines/>
        <w:jc w:val="center"/>
      </w:pPr>
      <w:r>
        <w:t xml:space="preserve">표 2. 설계 요구사항과 판정 기준</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2058"/>
        <w:gridCol w:w="3167"/>
        <w:gridCol w:w="1900"/>
        <w:gridCol w:w="1901"/>
      </w:tblGrid>
      <w:tr>
        <w:trPr>
          <w:cantSplit/>
          <w:tblHeader/>
        </w:trPr>
        <w:tc>
          <w:tcPr>
            <w:tcW w:type="dxa" w:w="2058"/>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항목</w:t>
            </w:r>
          </w:p>
        </w:tc>
        <w:tc>
          <w:tcPr>
            <w:tcW w:type="dxa" w:w="3167"/>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값</w:t>
            </w:r>
          </w:p>
        </w:tc>
        <w:tc>
          <w:tcPr>
            <w:tcW w:type="dxa" w:w="190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상태</w:t>
            </w:r>
          </w:p>
        </w:tc>
        <w:tc>
          <w:tcPr>
            <w:tcW w:type="dxa" w:w="190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관련 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배터리 운전범위</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640–920 V(시험 범위)</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잠정: 보장 하한 미확정</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3.3절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400 V 보조버스 연속전력</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25 kW(400 V 기준 62.5 A)</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잠정: 부하 정의와 불일치</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3.5절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400 V급 급속충전</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피크 150 kW, 전류 375 A 제한</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잠정</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3.6절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48 V / 12 V 전원</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3 kW / 1.5 kW 동시 연속(Stage C 약 5 kW)</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잠정</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3.7절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보조버스 전압 품질</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스텝 후 400±8 V, 최종 400±4 V, 1 ms 내 ±4 V 재진입, 마지막 1 ms 리플 ≤ 0.1 V</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설계 가정: 근거 미확정</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3.2절, 5.3절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Stage B 포트 한계</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경로·필터 100 A, 링크 80 A·8 kW, 직렬 ±90 V, 링크 90–110 V, 변조율 ±0.95</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후보 사양</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4.2절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대표 과도 시험</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1→25 kW 정전력 스텝(400 V 기준 60 A 상당)</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시험 정의</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5.3절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제어 지연(공칭)</w:t>
            </w:r>
          </w:p>
        </w:tc>
        <w:tc>
          <w:tcPr>
            <w:tcW w:type="dxa" w:w="3167"/>
            <w:tcMar>
              <w:top w:type="dxa" w:w="50"/>
              <w:left w:type="dxa" w:w="90"/>
              <w:bottom w:type="dxa" w:w="50"/>
              <w:right w:type="dxa" w:w="90"/>
            </w:tcMar>
            <w:vAlign w:val="center"/>
          </w:tcPr>
          <w:p>
            <w:pPr>
              <w:spacing w:after="0" w:before="0" w:line="260"/>
              <w:jc w:val="left"/>
            </w:pPr>
            <w:r>
              <w:rPr>
                <w:sz w:val="17"/>
                <w:szCs w:val="17"/>
              </w:rPr>
              <w:t xml:space="preserve">갱신 5 µs(영차유지) + 전달지연 5 µs, DAB 응답 10 µs</w:t>
            </w:r>
          </w:p>
        </w:tc>
        <w:tc>
          <w:tcPr>
            <w:tcW w:type="dxa" w:w="1900"/>
            <w:tcMar>
              <w:top w:type="dxa" w:w="50"/>
              <w:left w:type="dxa" w:w="90"/>
              <w:bottom w:type="dxa" w:w="50"/>
              <w:right w:type="dxa" w:w="90"/>
            </w:tcMar>
            <w:vAlign w:val="center"/>
          </w:tcPr>
          <w:p>
            <w:pPr>
              <w:spacing w:after="0" w:before="0" w:line="260"/>
              <w:jc w:val="left"/>
            </w:pPr>
            <w:r>
              <w:rPr>
                <w:sz w:val="17"/>
                <w:szCs w:val="17"/>
              </w:rPr>
              <w:t xml:space="preserve">모델 가정</w:t>
            </w:r>
          </w:p>
        </w:tc>
        <w:tc>
          <w:tcPr>
            <w:tcW w:type="dxa" w:w="1901"/>
            <w:tcMar>
              <w:top w:type="dxa" w:w="50"/>
              <w:left w:type="dxa" w:w="90"/>
              <w:bottom w:type="dxa" w:w="50"/>
              <w:right w:type="dxa" w:w="90"/>
            </w:tcMar>
            <w:vAlign w:val="center"/>
          </w:tcPr>
          <w:p>
            <w:pPr>
              <w:spacing w:after="0" w:before="0" w:line="260"/>
              <w:jc w:val="left"/>
            </w:pPr>
            <w:r>
              <w:rPr>
                <w:sz w:val="17"/>
                <w:szCs w:val="17"/>
              </w:rPr>
              <w:t xml:space="preserve">5.3절</w:t>
            </w:r>
          </w:p>
        </w:tc>
      </w:tr>
    </w:tbl>
    <w:p>
      <w:pPr>
        <w:pStyle w:val="SourceNote"/>
      </w:pPr>
      <w:r>
        <w:t xml:space="preserve">자료: 저장소 docs/02 설계검증서 3.1절 부하 산정, docs/11 공통 제어기 검증의 시험 정의(v1.0-interim)를 바탕으로 저자 작성.</w:t>
      </w:r>
    </w:p>
    <w:p>
      <w:pPr>
        <w:pStyle w:val="Heading2"/>
      </w:pPr>
      <w:r>
        <w:t xml:space="preserve">3.2 보조버스 조정 요구의 근거</w:t>
      </w:r>
    </w:p>
    <w:p>
      <w:pPr>
        <w:jc w:val="both"/>
      </w:pPr>
      <w:r>
        <w:t xml:space="preserve">Stage B가 존재하는 이유는 400 V 보조버스를 배터리 전압과 무관하게 일정하게 유지하는 데 있다. 그러나 이 요구는 아직 외부 부하의 사양에서 도출되지 않았다. 산업계 구조(2.5절)는 400 V 부하를 비조정 2:1 출력에 직접 연결하므로, 조정 요구의 근거는 다음 중 하나로 확인되어야 한다.</w:t>
      </w:r>
    </w:p>
    <w:p>
      <w:pPr>
        <w:pStyle w:val="ListParagraph"/>
        <w:numPr>
          <w:ilvl w:val="0"/>
          <w:numId w:val="2"/>
        </w:numPr>
        <w:spacing w:after="60"/>
        <w:jc w:val="both"/>
      </w:pPr>
      <w:r>
        <w:t xml:space="preserve">400 V 부하의 허용 입력범위: 기존 400 V급 부품의 최대 입력전압이 V_A 상단(약 460 V)보다 낮거나, 하단(약 320 V)에서 출력이 부족한 경우다. 부품 사양으로 확인해야 하며 현재 미확인이다.</w:t>
      </w:r>
    </w:p>
    <w:p>
      <w:pPr>
        <w:pStyle w:val="ListParagraph"/>
        <w:numPr>
          <w:ilvl w:val="0"/>
          <w:numId w:val="2"/>
        </w:numPr>
        <w:spacing w:after="60"/>
        <w:jc w:val="both"/>
      </w:pPr>
      <w:r>
        <w:t xml:space="preserve">Stage C의 입력 조건: 고정이득 CLLC는 입력전압 편차가 거의 그대로 48 V 출력 편차가 된다. 그러나 이는 PRISM-Hub가 선택한 설계에서 생긴 요구이므로 단독 근거가 되면 순환 논리가 된다. 광입력 저전압 변환기를 쓰는 대안과 비교해야 한다.</w:t>
      </w:r>
    </w:p>
    <w:p>
      <w:pPr>
        <w:pStyle w:val="ListParagraph"/>
        <w:numPr>
          <w:ilvl w:val="0"/>
          <w:numId w:val="2"/>
        </w:numPr>
        <w:spacing w:after="60"/>
        <w:jc w:val="both"/>
      </w:pPr>
      <w:r>
        <w:t xml:space="preserve">조정 전압을 직접 요구하는 외부 부하 또는 규격: 현재 확인된 항목은 없다.</w:t>
      </w:r>
    </w:p>
    <w:p>
      <w:pPr>
        <w:jc w:val="both"/>
      </w:pPr>
      <w:r>
        <w:t xml:space="preserve">따라서 400±8 V 조건은 현재 설계 가정이며 확정 요구사항이 아니다. 부하 허용범위가 넓다면 Stage A 출력에 부하를 직접 연결하고 광입력 저전압 변환기를 쓰는 구조(8.7절의 기준 구조 ④)가 더 단순한 대안이 된다. 이 비교가 Q3의 핵심이며, 조정 요구의 근거 확인을 8.1절의 최우선 과제로 둔다.</w:t>
      </w:r>
    </w:p>
    <w:p>
      <w:pPr>
        <w:pStyle w:val="Heading2"/>
      </w:pPr>
      <w:r>
        <w:t xml:space="preserve">3.3 전압조정 범위</w:t>
      </w:r>
    </w:p>
    <w:p>
      <w:pPr>
        <w:jc w:val="both"/>
      </w:pPr>
      <w:r>
        <w:t xml:space="preserve">배터리 전압을 640–920 V로 두면 이상적인 2:1 출력 V_A는 320–460 V가 된다. 경로 저항과 DAB 입력전력을 포함한 평균모델에서 25 kW 정상상태의 요구 직렬전압은 640 V에서 +81.05 V, 920 V에서 −59.28 V로 비대칭이며 800 V 부근에서 0 V를 지난다(그림 2(a)). 따라서 ±90 V 직렬 포트는 현재 시험한 640–920 V 공칭 조건을 담당하기 위한 후보 사양이다.</w:t>
      </w:r>
    </w:p>
    <w:p>
      <w:pPr>
        <w:jc w:val="both"/>
      </w:pPr>
      <w:r>
        <w:t xml:space="preserve">다만 H-브리지의 평균 출력전압은 링크전압과 변조율의 곱으로 제한된다. 변조율 상한이 0.95이므로 링크전압 90 V에서는 이상적으로 85.5 V만 만들 수 있고, 약 79 A에서 브리지 저항강하까지 반영하면 정상상태 직렬전압 상한은 약 85.3 V다. ±90 V를 모두 사용하려면 손실을 무시해도 링크전압이 94.7 V 이상이어야 한다. 따라서 허용 링크전압 하한 90 V에서 640 V 정상점의 여유는 약 4.3 V이며, ±90 V는 모든 링크전압에서 보장되는 출력이 아니라 별도의 포트 한계다.</w:t>
      </w:r>
    </w:p>
    <w:p>
      <w:pPr>
        <w:jc w:val="both"/>
      </w:pPr>
      <w:r>
        <w:t xml:space="preserve">600 V에서는 이상 무부하 조건에서도 +100 V가 필요하므로 ±90 V 직렬 포트로 400 V를 만들 수 없다. 이상 무부하의 수학적 도달 한계는 620 V이며, 평균모델의 정적 연속 한계는 620 V에서 0 kW, 625 V 이상에서 정격 25 kW다. 640 V는 검증 시험범위의 하한이며, 부하·저항강하·링크전압 하한·공차를 모두 포함한 보장 최소 운전전압은 8.1절에서 확정한다.</w:t>
      </w:r>
    </w:p>
    <w:p>
      <w:pPr>
        <w:keepNext/>
        <w:spacing w:after="60" w:before="120" w:line="240" w:lineRule="auto"/>
        <w:jc w:val="center"/>
      </w:pPr>
      <w:r>
        <w:drawing>
          <wp:inline distT="0" distB="0" distL="0" distR="0">
            <wp:extent cx="5581650" cy="2095500"/>
            <wp:effectExtent t="0" r="0" b="0" l="0"/>
            <wp:docPr id="1" name="fig3_steady.png" descr="그림 2. 25 kW 정상상태의 요구 직렬전압(a)과 Stage B 처리전력(b)" title="그림 2. 25 kW 정상상태의 요구 직렬전압(a)과 Stage B 처리전력(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095500"/>
                    </a:xfrm>
                    <a:prstGeom prst="rect">
                      <a:avLst/>
                    </a:prstGeom>
                  </pic:spPr>
                </pic:pic>
              </a:graphicData>
            </a:graphic>
          </wp:inline>
        </w:drawing>
      </w:r>
    </w:p>
    <w:p>
      <w:pPr>
        <w:pStyle w:val="Caption"/>
        <w:keepNext/>
        <w:jc w:val="center"/>
      </w:pPr>
      <w:r>
        <w:t xml:space="preserve">그림 2. 25 kW 정상상태의 요구 직렬전압(a)과 Stage B 처리전력(b)</w:t>
      </w:r>
    </w:p>
    <w:p>
      <w:pPr>
        <w:pStyle w:val="SourceNote"/>
      </w:pPr>
      <w:r>
        <w:t xml:space="preserve">자료: validation/2026-09-25-final-report/report_analysis.json(steady_25kW)을 이용해 저자 작성. 유한 링크 6상태 평균모델(python/pprc_two_stage.py, v1.0-interim)의 평형점 계산, 10 V 간격.</w:t>
      </w:r>
    </w:p>
    <w:p>
      <w:pPr>
        <w:pStyle w:val="Heading2"/>
      </w:pPr>
      <w:r>
        <w:t xml:space="preserve">3.4 전력과 전류 정격의 분리</w:t>
      </w:r>
    </w:p>
    <w:p>
      <w:pPr>
        <w:jc w:val="both"/>
      </w:pPr>
      <w:r>
        <w:t xml:space="preserve">400 V 보조버스의 연속 목표전력은 25 kW이며 부하전류는 62.5 A다. 그러나 Stage A에서 직렬 포트를 통과하는 경로전류는 DAB가 400 V 버스에서 소비하는 입력전력까지 포함하므로 더 커진다. 표 3은 주요 배터리 전압의 정상상태 전력수지다.</w:t>
      </w:r>
    </w:p>
    <w:p>
      <w:pPr>
        <w:pStyle w:val="Caption"/>
        <w:keepNext/>
        <w:keepLines/>
        <w:jc w:val="center"/>
      </w:pPr>
      <w:r>
        <w:t xml:space="preserve">표 3. 25 kW 정상상태에서 Stage B의 전력수지</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128"/>
        <w:gridCol w:w="1269"/>
        <w:gridCol w:w="1269"/>
        <w:gridCol w:w="1269"/>
        <w:gridCol w:w="1410"/>
        <w:gridCol w:w="1410"/>
        <w:gridCol w:w="1271"/>
      </w:tblGrid>
      <w:tr>
        <w:trPr>
          <w:cantSplit/>
          <w:tblHeader/>
        </w:trPr>
        <w:tc>
          <w:tcPr>
            <w:tcW w:type="dxa" w:w="1128"/>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배터리 전압</w:t>
            </w:r>
          </w:p>
        </w:tc>
        <w:tc>
          <w:tcPr>
            <w:tcW w:type="dxa" w:w="126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경로전류</w:t>
            </w:r>
          </w:p>
        </w:tc>
        <w:tc>
          <w:tcPr>
            <w:tcW w:type="dxa" w:w="126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직렬전압</w:t>
            </w:r>
          </w:p>
        </w:tc>
        <w:tc>
          <w:tcPr>
            <w:tcW w:type="dxa" w:w="126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링크전류</w:t>
            </w:r>
          </w:p>
        </w:tc>
        <w:tc>
          <w:tcPr>
            <w:tcW w:type="dxa" w:w="141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링크전력</w:t>
            </w:r>
          </w:p>
        </w:tc>
        <w:tc>
          <w:tcPr>
            <w:tcW w:type="dxa" w:w="141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버스 측 DAB 전력</w:t>
            </w:r>
          </w:p>
        </w:tc>
        <w:tc>
          <w:tcPr>
            <w:tcW w:type="dxa" w:w="127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처리 비율</w:t>
            </w:r>
          </w:p>
        </w:tc>
      </w:tr>
      <w:tr>
        <w:trPr>
          <w:cantSplit/>
        </w:trPr>
        <w:tc>
          <w:tcPr>
            <w:tcW w:type="dxa" w:w="1128"/>
            <w:tcMar>
              <w:top w:type="dxa" w:w="50"/>
              <w:left w:type="dxa" w:w="90"/>
              <w:bottom w:type="dxa" w:w="50"/>
              <w:right w:type="dxa" w:w="90"/>
            </w:tcMar>
            <w:vAlign w:val="center"/>
          </w:tcPr>
          <w:p>
            <w:pPr>
              <w:spacing w:after="0" w:before="0" w:line="260"/>
              <w:jc w:val="center"/>
            </w:pPr>
            <w:r>
              <w:rPr>
                <w:sz w:val="17"/>
                <w:szCs w:val="17"/>
              </w:rPr>
              <w:t xml:space="preserve">640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79.3 A</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+81.05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64.4 A</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6.44 kW</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6.70 kW</w:t>
            </w:r>
          </w:p>
        </w:tc>
        <w:tc>
          <w:tcPr>
            <w:tcW w:type="dxa" w:w="1271"/>
            <w:tcMar>
              <w:top w:type="dxa" w:w="50"/>
              <w:left w:type="dxa" w:w="90"/>
              <w:bottom w:type="dxa" w:w="50"/>
              <w:right w:type="dxa" w:w="90"/>
            </w:tcMar>
            <w:vAlign w:val="center"/>
          </w:tcPr>
          <w:p>
            <w:pPr>
              <w:spacing w:after="0" w:before="0" w:line="260"/>
              <w:jc w:val="center"/>
            </w:pPr>
            <w:r>
              <w:rPr>
                <w:sz w:val="17"/>
                <w:szCs w:val="17"/>
              </w:rPr>
              <w:t xml:space="preserve">25.7 %</w:t>
            </w:r>
          </w:p>
        </w:tc>
      </w:tr>
      <w:tr>
        <w:trPr>
          <w:cantSplit/>
        </w:trPr>
        <w:tc>
          <w:tcPr>
            <w:tcW w:type="dxa" w:w="1128"/>
            <w:tcMar>
              <w:top w:type="dxa" w:w="50"/>
              <w:left w:type="dxa" w:w="90"/>
              <w:bottom w:type="dxa" w:w="50"/>
              <w:right w:type="dxa" w:w="90"/>
            </w:tcMar>
            <w:vAlign w:val="center"/>
          </w:tcPr>
          <w:p>
            <w:pPr>
              <w:spacing w:after="0" w:before="0" w:line="260"/>
              <w:jc w:val="center"/>
            </w:pPr>
            <w:r>
              <w:rPr>
                <w:sz w:val="17"/>
                <w:szCs w:val="17"/>
              </w:rPr>
              <w:t xml:space="preserve">648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78.2 A</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+77.03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60.4 A</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6.04 kW</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6.29 kW</w:t>
            </w:r>
          </w:p>
        </w:tc>
        <w:tc>
          <w:tcPr>
            <w:tcW w:type="dxa" w:w="1271"/>
            <w:tcMar>
              <w:top w:type="dxa" w:w="50"/>
              <w:left w:type="dxa" w:w="90"/>
              <w:bottom w:type="dxa" w:w="50"/>
              <w:right w:type="dxa" w:w="90"/>
            </w:tcMar>
            <w:vAlign w:val="center"/>
          </w:tcPr>
          <w:p>
            <w:pPr>
              <w:spacing w:after="0" w:before="0" w:line="260"/>
              <w:jc w:val="center"/>
            </w:pPr>
            <w:r>
              <w:rPr>
                <w:sz w:val="17"/>
                <w:szCs w:val="17"/>
              </w:rPr>
              <w:t xml:space="preserve">24.2 %</w:t>
            </w:r>
          </w:p>
        </w:tc>
      </w:tr>
      <w:tr>
        <w:trPr>
          <w:cantSplit/>
        </w:trPr>
        <w:tc>
          <w:tcPr>
            <w:tcW w:type="dxa" w:w="1128"/>
            <w:tcMar>
              <w:top w:type="dxa" w:w="50"/>
              <w:left w:type="dxa" w:w="90"/>
              <w:bottom w:type="dxa" w:w="50"/>
              <w:right w:type="dxa" w:w="90"/>
            </w:tcMar>
            <w:vAlign w:val="center"/>
          </w:tcPr>
          <w:p>
            <w:pPr>
              <w:spacing w:after="0" w:before="0" w:line="260"/>
              <w:jc w:val="center"/>
            </w:pPr>
            <w:r>
              <w:rPr>
                <w:sz w:val="17"/>
                <w:szCs w:val="17"/>
              </w:rPr>
              <w:t xml:space="preserve">788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63.7 A</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+6.84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4.4 A</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0.44 kW</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0.46 kW</w:t>
            </w:r>
          </w:p>
        </w:tc>
        <w:tc>
          <w:tcPr>
            <w:tcW w:type="dxa" w:w="1271"/>
            <w:tcMar>
              <w:top w:type="dxa" w:w="50"/>
              <w:left w:type="dxa" w:w="90"/>
              <w:bottom w:type="dxa" w:w="50"/>
              <w:right w:type="dxa" w:w="90"/>
            </w:tcMar>
            <w:vAlign w:val="center"/>
          </w:tcPr>
          <w:p>
            <w:pPr>
              <w:spacing w:after="0" w:before="0" w:line="260"/>
              <w:jc w:val="center"/>
            </w:pPr>
            <w:r>
              <w:rPr>
                <w:sz w:val="17"/>
                <w:szCs w:val="17"/>
              </w:rPr>
              <w:t xml:space="preserve">1.8 %</w:t>
            </w:r>
          </w:p>
        </w:tc>
      </w:tr>
      <w:tr>
        <w:trPr>
          <w:cantSplit/>
        </w:trPr>
        <w:tc>
          <w:tcPr>
            <w:tcW w:type="dxa" w:w="1128"/>
            <w:tcMar>
              <w:top w:type="dxa" w:w="50"/>
              <w:left w:type="dxa" w:w="90"/>
              <w:bottom w:type="dxa" w:w="50"/>
              <w:right w:type="dxa" w:w="90"/>
            </w:tcMar>
            <w:vAlign w:val="center"/>
          </w:tcPr>
          <w:p>
            <w:pPr>
              <w:spacing w:after="0" w:before="0" w:line="260"/>
              <w:jc w:val="center"/>
            </w:pPr>
            <w:r>
              <w:rPr>
                <w:sz w:val="17"/>
                <w:szCs w:val="17"/>
              </w:rPr>
              <w:t xml:space="preserve">907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55.5 A</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−52.77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−29.2 A</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−2.92 kW</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−2.80 kW</w:t>
            </w:r>
          </w:p>
        </w:tc>
        <w:tc>
          <w:tcPr>
            <w:tcW w:type="dxa" w:w="1271"/>
            <w:tcMar>
              <w:top w:type="dxa" w:w="50"/>
              <w:left w:type="dxa" w:w="90"/>
              <w:bottom w:type="dxa" w:w="50"/>
              <w:right w:type="dxa" w:w="90"/>
            </w:tcMar>
            <w:vAlign w:val="center"/>
          </w:tcPr>
          <w:p>
            <w:pPr>
              <w:spacing w:after="0" w:before="0" w:line="260"/>
              <w:jc w:val="center"/>
            </w:pPr>
            <w:r>
              <w:rPr>
                <w:sz w:val="17"/>
                <w:szCs w:val="17"/>
              </w:rPr>
              <w:t xml:space="preserve">11.7 %</w:t>
            </w:r>
          </w:p>
        </w:tc>
      </w:tr>
      <w:tr>
        <w:trPr>
          <w:cantSplit/>
        </w:trPr>
        <w:tc>
          <w:tcPr>
            <w:tcW w:type="dxa" w:w="1128"/>
            <w:tcMar>
              <w:top w:type="dxa" w:w="50"/>
              <w:left w:type="dxa" w:w="90"/>
              <w:bottom w:type="dxa" w:w="50"/>
              <w:right w:type="dxa" w:w="90"/>
            </w:tcMar>
            <w:vAlign w:val="center"/>
          </w:tcPr>
          <w:p>
            <w:pPr>
              <w:spacing w:after="0" w:before="0" w:line="260"/>
              <w:jc w:val="center"/>
            </w:pPr>
            <w:r>
              <w:rPr>
                <w:sz w:val="17"/>
                <w:szCs w:val="17"/>
              </w:rPr>
              <w:t xml:space="preserve">920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54.7 A</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−59.28 V</w:t>
            </w:r>
          </w:p>
        </w:tc>
        <w:tc>
          <w:tcPr>
            <w:tcW w:type="dxa" w:w="1269"/>
            <w:tcMar>
              <w:top w:type="dxa" w:w="50"/>
              <w:left w:type="dxa" w:w="90"/>
              <w:bottom w:type="dxa" w:w="50"/>
              <w:right w:type="dxa" w:w="90"/>
            </w:tcMar>
            <w:vAlign w:val="center"/>
          </w:tcPr>
          <w:p>
            <w:pPr>
              <w:spacing w:after="0" w:before="0" w:line="260"/>
              <w:jc w:val="center"/>
            </w:pPr>
            <w:r>
              <w:rPr>
                <w:sz w:val="17"/>
                <w:szCs w:val="17"/>
              </w:rPr>
              <w:t xml:space="preserve">−32.4 A</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−3.24 kW</w:t>
            </w:r>
          </w:p>
        </w:tc>
        <w:tc>
          <w:tcPr>
            <w:tcW w:type="dxa" w:w="1410"/>
            <w:tcMar>
              <w:top w:type="dxa" w:w="50"/>
              <w:left w:type="dxa" w:w="90"/>
              <w:bottom w:type="dxa" w:w="50"/>
              <w:right w:type="dxa" w:w="90"/>
            </w:tcMar>
            <w:vAlign w:val="center"/>
          </w:tcPr>
          <w:p>
            <w:pPr>
              <w:spacing w:after="0" w:before="0" w:line="260"/>
              <w:jc w:val="center"/>
            </w:pPr>
            <w:r>
              <w:rPr>
                <w:sz w:val="17"/>
                <w:szCs w:val="17"/>
              </w:rPr>
              <w:t xml:space="preserve">−3.11 kW</w:t>
            </w:r>
          </w:p>
        </w:tc>
        <w:tc>
          <w:tcPr>
            <w:tcW w:type="dxa" w:w="1271"/>
            <w:tcMar>
              <w:top w:type="dxa" w:w="50"/>
              <w:left w:type="dxa" w:w="90"/>
              <w:bottom w:type="dxa" w:w="50"/>
              <w:right w:type="dxa" w:w="90"/>
            </w:tcMar>
            <w:vAlign w:val="center"/>
          </w:tcPr>
          <w:p>
            <w:pPr>
              <w:spacing w:after="0" w:before="0" w:line="260"/>
              <w:jc w:val="center"/>
            </w:pPr>
            <w:r>
              <w:rPr>
                <w:sz w:val="17"/>
                <w:szCs w:val="17"/>
              </w:rPr>
              <w:t xml:space="preserve">13.0 %</w:t>
            </w:r>
          </w:p>
        </w:tc>
      </w:tr>
    </w:tbl>
    <w:p>
      <w:pPr>
        <w:pStyle w:val="SourceNote"/>
      </w:pPr>
      <w:r>
        <w:t xml:space="preserve">자료: validation/2026-09-22-integration/two_stage_python.json(steady, v1.0-interim). 음수 링크전력은 링크에서 버스로 전력이 돌아가는 방향. 처리 비율 = |링크전력|/25 kW.</w:t>
      </w:r>
    </w:p>
    <w:p>
      <w:pPr>
        <w:jc w:val="both"/>
      </w:pPr>
      <w:r>
        <w:t xml:space="preserve">처리전력은 800 V 부근에서 거의 0이고 640 V 쪽에서 가장 크다(그림 2(b)). 설치 링크 정격 8 kW는 25 kW 보조버스의 32 %, 150 kW 충전전력의 5.3 %이며 충전전류는 구조상 Stage B를 지나지 않는다. 이 결과는 가설 H1(정격 분리)을 평균모델 수준에서 지지하지만, 부분전력 경로의 이점은 배터리 전압이 낮을수록 작아진다. 또한 이 결과는 다음 네 전류를 구분해야 함을 보여 준다(표 4).</w:t>
      </w:r>
    </w:p>
    <w:p>
      <w:pPr>
        <w:pStyle w:val="Caption"/>
        <w:keepNext/>
        <w:keepLines/>
        <w:jc w:val="center"/>
      </w:pPr>
      <w:r>
        <w:t xml:space="preserve">표 4. Stage B의 전류·전력 정격 구분</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2691"/>
        <w:gridCol w:w="1741"/>
        <w:gridCol w:w="4594"/>
      </w:tblGrid>
      <w:tr>
        <w:trPr>
          <w:cantSplit/>
          <w:tblHeader/>
        </w:trPr>
        <w:tc>
          <w:tcPr>
            <w:tcW w:type="dxa" w:w="269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구분</w:t>
            </w:r>
          </w:p>
        </w:tc>
        <w:tc>
          <w:tcPr>
            <w:tcW w:type="dxa" w:w="174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한계</w:t>
            </w:r>
          </w:p>
        </w:tc>
        <w:tc>
          <w:tcPr>
            <w:tcW w:type="dxa" w:w="4594"/>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의미</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400 V 보조버스 부하전류</w:t>
            </w:r>
          </w:p>
        </w:tc>
        <w:tc>
          <w:tcPr>
            <w:tcW w:type="dxa" w:w="1741"/>
            <w:tcMar>
              <w:top w:type="dxa" w:w="50"/>
              <w:left w:type="dxa" w:w="90"/>
              <w:bottom w:type="dxa" w:w="50"/>
              <w:right w:type="dxa" w:w="90"/>
            </w:tcMar>
            <w:vAlign w:val="center"/>
          </w:tcPr>
          <w:p>
            <w:pPr>
              <w:spacing w:after="0" w:before="0" w:line="260"/>
              <w:jc w:val="left"/>
            </w:pPr>
            <w:r>
              <w:rPr>
                <w:sz w:val="17"/>
                <w:szCs w:val="17"/>
              </w:rPr>
              <w:t xml:space="preserve">62.5 A</w:t>
            </w:r>
          </w:p>
        </w:tc>
        <w:tc>
          <w:tcPr>
            <w:tcW w:type="dxa" w:w="4594"/>
            <w:tcMar>
              <w:top w:type="dxa" w:w="50"/>
              <w:left w:type="dxa" w:w="90"/>
              <w:bottom w:type="dxa" w:w="50"/>
              <w:right w:type="dxa" w:w="90"/>
            </w:tcMar>
            <w:vAlign w:val="center"/>
          </w:tcPr>
          <w:p>
            <w:pPr>
              <w:spacing w:after="0" w:before="0" w:line="260"/>
              <w:jc w:val="left"/>
            </w:pPr>
            <w:r>
              <w:rPr>
                <w:sz w:val="17"/>
                <w:szCs w:val="17"/>
              </w:rPr>
              <w:t xml:space="preserve">25 kW 연속 목표전력의 400 V 기준 전류</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직렬 경로전류 i_p, H-브리지 필터전류 i_h</w:t>
            </w:r>
          </w:p>
        </w:tc>
        <w:tc>
          <w:tcPr>
            <w:tcW w:type="dxa" w:w="1741"/>
            <w:tcMar>
              <w:top w:type="dxa" w:w="50"/>
              <w:left w:type="dxa" w:w="90"/>
              <w:bottom w:type="dxa" w:w="50"/>
              <w:right w:type="dxa" w:w="90"/>
            </w:tcMar>
            <w:vAlign w:val="center"/>
          </w:tcPr>
          <w:p>
            <w:pPr>
              <w:spacing w:after="0" w:before="0" w:line="260"/>
              <w:jc w:val="left"/>
            </w:pPr>
            <w:r>
              <w:rPr>
                <w:sz w:val="17"/>
                <w:szCs w:val="17"/>
              </w:rPr>
              <w:t xml:space="preserve">±100 A</w:t>
            </w:r>
          </w:p>
        </w:tc>
        <w:tc>
          <w:tcPr>
            <w:tcW w:type="dxa" w:w="4594"/>
            <w:tcMar>
              <w:top w:type="dxa" w:w="50"/>
              <w:left w:type="dxa" w:w="90"/>
              <w:bottom w:type="dxa" w:w="50"/>
              <w:right w:type="dxa" w:w="90"/>
            </w:tcMar>
            <w:vAlign w:val="center"/>
          </w:tcPr>
          <w:p>
            <w:pPr>
              <w:spacing w:after="0" w:before="0" w:line="260"/>
              <w:jc w:val="left"/>
            </w:pPr>
            <w:r>
              <w:rPr>
                <w:sz w:val="17"/>
                <w:szCs w:val="17"/>
              </w:rPr>
              <w:t xml:space="preserve">소자·필터의 물리 정격. 과도상태에는 i_p ≠ i_h</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DAB 100 V 링크전류 i_link</w:t>
            </w:r>
          </w:p>
        </w:tc>
        <w:tc>
          <w:tcPr>
            <w:tcW w:type="dxa" w:w="1741"/>
            <w:tcMar>
              <w:top w:type="dxa" w:w="50"/>
              <w:left w:type="dxa" w:w="90"/>
              <w:bottom w:type="dxa" w:w="50"/>
              <w:right w:type="dxa" w:w="90"/>
            </w:tcMar>
            <w:vAlign w:val="center"/>
          </w:tcPr>
          <w:p>
            <w:pPr>
              <w:spacing w:after="0" w:before="0" w:line="260"/>
              <w:jc w:val="left"/>
            </w:pPr>
            <w:r>
              <w:rPr>
                <w:sz w:val="17"/>
                <w:szCs w:val="17"/>
              </w:rPr>
              <w:t xml:space="preserve">±80 A</w:t>
            </w:r>
          </w:p>
        </w:tc>
        <w:tc>
          <w:tcPr>
            <w:tcW w:type="dxa" w:w="4594"/>
            <w:tcMar>
              <w:top w:type="dxa" w:w="50"/>
              <w:left w:type="dxa" w:w="90"/>
              <w:bottom w:type="dxa" w:w="50"/>
              <w:right w:type="dxa" w:w="90"/>
            </w:tcMar>
            <w:vAlign w:val="center"/>
          </w:tcPr>
          <w:p>
            <w:pPr>
              <w:spacing w:after="0" w:before="0" w:line="260"/>
              <w:jc w:val="left"/>
            </w:pPr>
            <w:r>
              <w:rPr>
                <w:sz w:val="17"/>
                <w:szCs w:val="17"/>
              </w:rPr>
              <w:t xml:space="preserve">DAB 링크 측 정격. 링크전력 한계 8 kW와 SPS 전달 한계를 함께 적용</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H-브리지 필터 전류지령 i_ref 포화값</w:t>
            </w:r>
          </w:p>
        </w:tc>
        <w:tc>
          <w:tcPr>
            <w:tcW w:type="dxa" w:w="1741"/>
            <w:tcMar>
              <w:top w:type="dxa" w:w="50"/>
              <w:left w:type="dxa" w:w="90"/>
              <w:bottom w:type="dxa" w:w="50"/>
              <w:right w:type="dxa" w:w="90"/>
            </w:tcMar>
            <w:vAlign w:val="center"/>
          </w:tcPr>
          <w:p>
            <w:pPr>
              <w:spacing w:after="0" w:before="0" w:line="260"/>
              <w:jc w:val="left"/>
            </w:pPr>
            <w:r>
              <w:rPr>
                <w:sz w:val="17"/>
                <w:szCs w:val="17"/>
              </w:rPr>
              <w:t xml:space="preserve">±84 A</w:t>
            </w:r>
          </w:p>
        </w:tc>
        <w:tc>
          <w:tcPr>
            <w:tcW w:type="dxa" w:w="4594"/>
            <w:tcMar>
              <w:top w:type="dxa" w:w="50"/>
              <w:left w:type="dxa" w:w="90"/>
              <w:bottom w:type="dxa" w:w="50"/>
              <w:right w:type="dxa" w:w="90"/>
            </w:tcMar>
            <w:vAlign w:val="center"/>
          </w:tcPr>
          <w:p>
            <w:pPr>
              <w:spacing w:after="0" w:before="0" w:line="260"/>
              <w:jc w:val="left"/>
            </w:pPr>
            <w:r>
              <w:rPr>
                <w:sz w:val="17"/>
                <w:szCs w:val="17"/>
              </w:rPr>
              <w:t xml:space="preserve">시험에서 선정한 제어 여유 후보. 실제 전류를 차단하는 한계가 아님</w:t>
            </w:r>
          </w:p>
        </w:tc>
      </w:tr>
    </w:tbl>
    <w:p>
      <w:pPr>
        <w:pStyle w:val="SourceNote"/>
      </w:pPr>
      <w:r>
        <w:t xml:space="preserve">자료: python/pprc_two_stage.py(Parameters), docs/10 검토대응 통합개발(v1.0-interim)을 바탕으로 저자 작성.</w:t>
      </w:r>
    </w:p>
    <w:p>
      <w:pPr>
        <w:jc w:val="both"/>
      </w:pPr>
      <w:r>
        <w:t xml:space="preserve">±84 A는 H-브리지 필터 전류 기준값 i_ref에 적용한 포화값이며, 시험에서 선정한 후보로 목표 여유에서 도출한 값이 아니다. 모델에서 직렬 커패시터 전류는 C_s·dv_s/dt = i_h − i_p로 표현되므로 과도상태에는 i_h와 i_p가 서로 다르다. 640 V 대표시험에서는 i_ref가 84 A로 제한된 뒤에도 H-브리지 전류가 87.4 A, 경로전류가 98.0 A까지 상승했다. 따라서 공칭 조건의 98.0 A는 이 선정 방식의 결과이며, 목표 여유(8.3절)를 먼저 정한 뒤 포화값을 다시 도출해야 한다.</w:t>
      </w:r>
    </w:p>
    <w:p>
      <w:pPr>
        <w:jc w:val="both"/>
      </w:pPr>
      <w:r>
        <w:t xml:space="preserve">또한 8 kW는 DAB 링크 측 전력정격이다. 효율 0.96을 가정하면 링크 8 kW에서 400 V 버스 측 전력은 약 8.33 kW이므로, 400 V 측 반도체와 열설계는 링크 정격보다 큰 전력을 기준으로 해야 한다. 640 V 대표시험의 버스 측 과도 최대는 약 7.7 kW였다.</w:t>
      </w:r>
    </w:p>
    <w:p>
      <w:pPr>
        <w:pStyle w:val="Heading2"/>
      </w:pPr>
      <w:r>
        <w:t xml:space="preserve">3.5 부하 정의와 전력예산</w:t>
      </w:r>
    </w:p>
    <w:p>
      <w:pPr>
        <w:jc w:val="both"/>
      </w:pPr>
      <w:r>
        <w:t xml:space="preserve">보조버스 25 kW는 설계검증서의 부하 산정(히트펌프 컴프레서 6 kW 이하, PTC 7 kW 이하, Stage C 5 kW, V2L 3.6 kW와 여유)에서 나왔다. 반면 SALS 시험은 컴프레서 6–10 kW, 기동 서지 1.6–2.4배(20 ms), 배터리 히터 7 kW를 포함한 스트레스 부하를 사용했다. 두 가정은 목적이 다르지만 지금까지 구분해 기술하지 않았다(표 5).</w:t>
      </w:r>
    </w:p>
    <w:p>
      <w:pPr>
        <w:pStyle w:val="Caption"/>
        <w:keepNext/>
        <w:keepLines/>
        <w:jc w:val="center"/>
      </w:pPr>
      <w:r>
        <w:t xml:space="preserve">표 5. 부하 가정: 연속정격 산정과 SALS 스트레스 시험</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2058"/>
        <w:gridCol w:w="2216"/>
        <w:gridCol w:w="2850"/>
        <w:gridCol w:w="1902"/>
      </w:tblGrid>
      <w:tr>
        <w:trPr>
          <w:cantSplit/>
          <w:tblHeader/>
        </w:trPr>
        <w:tc>
          <w:tcPr>
            <w:tcW w:type="dxa" w:w="2058"/>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부하</w:t>
            </w:r>
          </w:p>
        </w:tc>
        <w:tc>
          <w:tcPr>
            <w:tcW w:type="dxa" w:w="2216"/>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연속정격 산정(25 kW)</w:t>
            </w:r>
          </w:p>
        </w:tc>
        <w:tc>
          <w:tcPr>
            <w:tcW w:type="dxa" w:w="285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SALS 스트레스 시험</w:t>
            </w:r>
          </w:p>
        </w:tc>
        <w:tc>
          <w:tcPr>
            <w:tcW w:type="dxa" w:w="1902"/>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부하 등급(안)</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기본 보조부하</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여유에 포함</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10–15 A(4–6 kW)</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비지연</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히트펌프 컴프레서</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6 kW 이하</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6–10 kW, 명령 후 20–200 ms에 1.6–2.4배 서지 20 ms</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비지연(기동 지연 상한 정의 필요)</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캐빈 PTC 히터</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7 kW 이하</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17.5 A(7 kW)</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지연 가능</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배터리 히터</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산정에 없음</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17.5 A(7 kW)</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지연 가능</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V2L</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3.6 kW</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9 A(3.6 kW)</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비지연</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Stage C(48 V·12 V)</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5 kW</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48 V 저우선 부하 3.75 A만 모델링</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혼합</w:t>
            </w:r>
          </w:p>
        </w:tc>
      </w:tr>
      <w:tr>
        <w:trPr>
          <w:cantSplit/>
        </w:trPr>
        <w:tc>
          <w:tcPr>
            <w:tcW w:type="dxa" w:w="2058"/>
            <w:tcMar>
              <w:top w:type="dxa" w:w="50"/>
              <w:left w:type="dxa" w:w="90"/>
              <w:bottom w:type="dxa" w:w="50"/>
              <w:right w:type="dxa" w:w="90"/>
            </w:tcMar>
            <w:vAlign w:val="center"/>
          </w:tcPr>
          <w:p>
            <w:pPr>
              <w:spacing w:after="0" w:before="0" w:line="260"/>
              <w:jc w:val="left"/>
            </w:pPr>
            <w:r>
              <w:rPr>
                <w:sz w:val="17"/>
                <w:szCs w:val="17"/>
              </w:rPr>
              <w:t xml:space="preserve">능동 서스펜션(48 V 경유)</w:t>
            </w:r>
          </w:p>
        </w:tc>
        <w:tc>
          <w:tcPr>
            <w:tcW w:type="dxa" w:w="2216"/>
            <w:tcMar>
              <w:top w:type="dxa" w:w="50"/>
              <w:left w:type="dxa" w:w="90"/>
              <w:bottom w:type="dxa" w:w="50"/>
              <w:right w:type="dxa" w:w="90"/>
            </w:tcMar>
            <w:vAlign w:val="center"/>
          </w:tcPr>
          <w:p>
            <w:pPr>
              <w:spacing w:after="0" w:before="0" w:line="260"/>
              <w:jc w:val="left"/>
            </w:pPr>
            <w:r>
              <w:rPr>
                <w:sz w:val="17"/>
                <w:szCs w:val="17"/>
              </w:rPr>
              <w:t xml:space="preserve">산정에 없음</w:t>
            </w:r>
          </w:p>
        </w:tc>
        <w:tc>
          <w:tcPr>
            <w:tcW w:type="dxa" w:w="2850"/>
            <w:tcMar>
              <w:top w:type="dxa" w:w="50"/>
              <w:left w:type="dxa" w:w="90"/>
              <w:bottom w:type="dxa" w:w="50"/>
              <w:right w:type="dxa" w:w="90"/>
            </w:tcMar>
            <w:vAlign w:val="center"/>
          </w:tcPr>
          <w:p>
            <w:pPr>
              <w:spacing w:after="0" w:before="0" w:line="260"/>
              <w:jc w:val="left"/>
            </w:pPr>
            <w:r>
              <w:rPr>
                <w:sz w:val="17"/>
                <w:szCs w:val="17"/>
              </w:rPr>
              <w:t xml:space="preserve">±7.5 A</w:t>
            </w:r>
          </w:p>
        </w:tc>
        <w:tc>
          <w:tcPr>
            <w:tcW w:type="dxa" w:w="1902"/>
            <w:tcMar>
              <w:top w:type="dxa" w:w="50"/>
              <w:left w:type="dxa" w:w="90"/>
              <w:bottom w:type="dxa" w:w="50"/>
              <w:right w:type="dxa" w:w="90"/>
            </w:tcMar>
            <w:vAlign w:val="center"/>
          </w:tcPr>
          <w:p>
            <w:pPr>
              <w:spacing w:after="0" w:before="0" w:line="260"/>
              <w:jc w:val="left"/>
            </w:pPr>
            <w:r>
              <w:rPr>
                <w:sz w:val="17"/>
                <w:szCs w:val="17"/>
              </w:rPr>
              <w:t xml:space="preserve">비지연</w:t>
            </w:r>
          </w:p>
        </w:tc>
      </w:tr>
    </w:tbl>
    <w:p>
      <w:pPr>
        <w:pStyle w:val="SourceNote"/>
      </w:pPr>
      <w:r>
        <w:t xml:space="preserve">자료: docs/02 설계검증서 3.1절 요구사항 표, python/sals_montecarlo.py·validate_sals_contract.py(v1.0-interim)를 바탕으로 저자 작성. 부하 등급은 8.1절에서 확정할 제안이다.</w:t>
      </w:r>
    </w:p>
    <w:p>
      <w:pPr>
        <w:jc w:val="both"/>
      </w:pPr>
      <w:r>
        <w:t xml:space="preserve">스트레스 시험의 필수부하 최악 상한은 14.9 A + 2.4×24.9 A + 9 A + 7.5 A = 91.16 A(400 V 기준 36.5 kW)로 25 kW 연속정격을 넘고, SALS 정적 예산보다 31.8 A 크다. 컴프레서 서지 하나(59.8 A)가 SALS 정적 예산 59.375 A와 같은 크기다. 이 조건은 부하 승인으로 해결할 수 없으므로 요구사항 단계에서 다음 중 하나로 정해야 한다. (a) 20 ms급 단시간 과부하 정격을 정의하고 제어기와 포트가 이를 견디게 한다. (b) 컴프레서 소프트스타트 등으로 비지연 부하의 서지를 제한한다. (c) 해당 조건을 운전범위 밖으로 정의한다. 6.6절의 과도 허용 전력 분석은 (a)를 판단하는 근거가 된다.</w:t>
      </w:r>
    </w:p>
    <w:p>
      <w:pPr>
        <w:pStyle w:val="Heading2"/>
      </w:pPr>
      <w:r>
        <w:t xml:space="preserve">3.6 충전경로와 보조전원 경로의 분리</w:t>
      </w:r>
    </w:p>
    <w:p>
      <w:pPr>
        <w:jc w:val="both"/>
      </w:pPr>
      <w:r>
        <w:t xml:space="preserve">현재 후보 구조에서 충전 대전류는 V_A에서 Stage A를 거쳐 배터리로 가고, Stage B는 충전 중에도 보조버스를 조정한다. 이 구조는 이전의 충전 바이패스 후보보다 경로가 단순하지만, 충전기 접속·해제, 충전 중 400 V 부하와 Stage C 동시 운전, 고장 전파를 포함한 통합 모델로는 아직 검증하지 않았다.</w:t>
      </w:r>
    </w:p>
    <w:p>
      <w:pPr>
        <w:jc w:val="both"/>
      </w:pPr>
      <w:r>
        <w:t xml:space="preserve">이 배치에는 두 가지 전제가 있다. 첫째, 충전기 출력범위가 차량 입구 기준 V_A의 변동범위(약 320–460 V와 경로 강하)를 포함해야 한다. 둘째, 충전 통신에서 차량은 팩이 아니라 V_A 기준의 전압·전류 한계(팩 전압의 1/2, 팩 전류의 2배)를 충전기에 제시해야 한다. 375 A 전류 제한에서 V_A가 324 V이면 전달 전력은 약 121 kW로 150 kW보다 낮다.</w:t>
      </w:r>
    </w:p>
    <w:p>
      <w:pPr>
        <w:jc w:val="both"/>
      </w:pPr>
      <w:r>
        <w:t xml:space="preserve">Stage B가 충전전류를 나르지 않더라도 충전 중 배터리와 무관하지는 않다. 보조부하 전력은 V_A에서 빠져나가므로 배터리에 들어가는 전력은 그만큼 줄고(충전 150 kW, 보조부하 25 kW이면 손실 제외 약 125 kW), 충전기 전류 제어보다 빠른 보조부하 변화는 그 순간 Stage A를 통해 배터리가 공급한다. 따라서 차량은 보조부하 몫을 더한 전류를 충전기에 요청해야 하며, 이 상호작용은 8.4절의 통합 시험에서 확인한다.</w:t>
      </w:r>
    </w:p>
    <w:p>
      <w:pPr>
        <w:pStyle w:val="Heading2"/>
      </w:pPr>
      <w:r>
        <w:t xml:space="preserve">3.7 저전압 전원</w:t>
      </w:r>
    </w:p>
    <w:p>
      <w:pPr>
        <w:jc w:val="both"/>
      </w:pPr>
      <w:r>
        <w:t xml:space="preserve">차량의 48 V와 12 V 전원망은 절연과 전압 안정성이 필요하다. Stage C는 400 V 보조버스에서 48 V를 공급하는 절연형 CLLC 공진 변환기이며, 12 V는 48 V 뒤의 별도 강압 변환기가 담당한다. 48 V 3 kW와 12 V 1.5 kW를 동시에 연속 공급하고 48→12 V 효율을 고려하면 Stage C 요구전력은 약 4.55 kW다. 기존 3 kW 모델로는 이를 충족할 수 없으므로 재설계 목표는 약 5 kW다.</w:t>
      </w:r>
    </w:p>
    <w:p>
      <w:pPr>
        <w:pStyle w:val="Heading1"/>
      </w:pPr>
      <w:r>
        <w:t xml:space="preserve">4. PRISM-Hub 아키텍처와 동작 원리</w:t>
      </w:r>
    </w:p>
    <w:p>
      <w:pPr>
        <w:pStyle w:val="Heading2"/>
      </w:pPr>
      <w:r>
        <w:t xml:space="preserve">4.1 Stage A: 2:1 고정비 대전력 경로</w:t>
      </w:r>
    </w:p>
    <w:p>
      <w:pPr>
        <w:jc w:val="both"/>
      </w:pPr>
      <w:r>
        <w:t xml:space="preserve">Stage A는 4모듈×2위상으로 구성된 2:1 양방향 RSC이며 목표 피크전력은 150 kW다. 충전과 주행의 주전력을 고정비로 전달하고 정밀 전압조정은 Stage B에 맡긴다. 공진전류의 영교차를 검출해 ZCS를 유지하며, 부하가 낮을 때는 일부 모듈을 정지하는 모듈 셰딩으로 고정손실을 줄인다. 주요 설계값과 실행 결과는 표 6과 같다.</w:t>
      </w:r>
    </w:p>
    <w:p>
      <w:pPr>
        <w:pStyle w:val="Caption"/>
        <w:keepNext/>
        <w:keepLines/>
        <w:jc w:val="center"/>
      </w:pPr>
      <w:r>
        <w:t xml:space="preserve">표 6. Stage A의 주요 설계값과 시험 결과</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3325"/>
        <w:gridCol w:w="5701"/>
      </w:tblGrid>
      <w:tr>
        <w:trPr>
          <w:cantSplit/>
          <w:tblHeader/>
        </w:trPr>
        <w:tc>
          <w:tcPr>
            <w:tcW w:type="dxa" w:w="3325"/>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항목</w:t>
            </w:r>
          </w:p>
        </w:tc>
        <w:tc>
          <w:tcPr>
            <w:tcW w:type="dxa" w:w="570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설계값 또는 시험 결과</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구성</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4모듈×2위상, 총 8위상, 모듈 목표정격 37.5 kW(총 150 kW)</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공진주파수</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150 kHz</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게이트 타이밍(채택)</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위상별 자기발진 영교차 추종, 검출 블랭킹 창 공칭 도통시간의 0.80–1.12배</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고정 타이밍(비교 기준)</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147 kHz(0.98 f_r): 부품 공차 표본 20건 중 16건 ZCS 기준 초과, 최대 턴오프 잔류전류 40.1 %</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자기발진 ZCS 시험</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정·역방향 각 20건 중 0건 실패(기준: 턴오프 잔류전류 5 % 이하), 최대 약 1.1 %(MATLAB 1.131 %, Python 1.146 %)</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비행 커패시터 / 공진 인덕터</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7.8 µF / 144 nH</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반도체 후보</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750 V급 SiC, 계산 차단전압 약 460 V</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8위상 375 A 추정손실</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466 W(모듈 간 전류편차 −3.3 ~ +2.2 %)</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프리차지</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피크 15.5 A, 95 % 도달 13.2 ms</w:t>
            </w:r>
          </w:p>
        </w:tc>
      </w:tr>
      <w:tr>
        <w:trPr>
          <w:cantSplit/>
        </w:trPr>
        <w:tc>
          <w:tcPr>
            <w:tcW w:type="dxa" w:w="3325"/>
            <w:tcMar>
              <w:top w:type="dxa" w:w="50"/>
              <w:left w:type="dxa" w:w="90"/>
              <w:bottom w:type="dxa" w:w="50"/>
              <w:right w:type="dxa" w:w="90"/>
            </w:tcMar>
            <w:vAlign w:val="center"/>
          </w:tcPr>
          <w:p>
            <w:pPr>
              <w:spacing w:after="0" w:before="0" w:line="260"/>
              <w:jc w:val="left"/>
            </w:pPr>
            <w:r>
              <w:rPr>
                <w:sz w:val="17"/>
                <w:szCs w:val="17"/>
              </w:rPr>
              <w:t xml:space="preserve">3 kW 모듈 셰딩</w:t>
            </w:r>
          </w:p>
        </w:tc>
        <w:tc>
          <w:tcPr>
            <w:tcW w:type="dxa" w:w="5701"/>
            <w:tcMar>
              <w:top w:type="dxa" w:w="50"/>
              <w:left w:type="dxa" w:w="90"/>
              <w:bottom w:type="dxa" w:w="50"/>
              <w:right w:type="dxa" w:w="90"/>
            </w:tcMar>
            <w:vAlign w:val="center"/>
          </w:tcPr>
          <w:p>
            <w:pPr>
              <w:spacing w:after="0" w:before="0" w:line="260"/>
              <w:jc w:val="left"/>
            </w:pPr>
            <w:r>
              <w:rPr>
                <w:sz w:val="17"/>
                <w:szCs w:val="17"/>
              </w:rPr>
              <w:t xml:space="preserve">1모듈 운전 31.6 W, 8위상 운전 120.5 W</w:t>
            </w:r>
          </w:p>
        </w:tc>
      </w:tr>
    </w:tbl>
    <w:p>
      <w:pPr>
        <w:pStyle w:val="SourceNote"/>
      </w:pPr>
      <w:r>
        <w:t xml:space="preserve">자료: validation/2026-09-22/stage_a_execution.txt, matlab_results.json, python_results.json(v1.0-interim). 손실값은 회로 손실 가정에 따른 모델 예측값이다.</w:t>
      </w:r>
    </w:p>
    <w:p>
      <w:pPr>
        <w:jc w:val="both"/>
      </w:pPr>
      <w:r>
        <w:t xml:space="preserve">결과는 스위칭 동작을 포함한 상미분방정식(Ordinary Differential Equation, ODE) 모델에서 얻었고, 역방향 검출의 극성 오류를 수정한 뒤의 값이다. 손실과 모듈 셰딩 값은 모델 예측이며, 센서 지연·오프셋, 방향 전환, 다상 동기와 전류공유는 스위칭 모델과 하드웨어에서 확인해야 한다.</w:t>
      </w:r>
    </w:p>
    <w:p>
      <w:pPr>
        <w:pStyle w:val="Heading2"/>
      </w:pPr>
      <w:r>
        <w:t xml:space="preserve">4.2 Stage B: 유한 링크 2단 부분전력 조정기</w:t>
      </w:r>
    </w:p>
    <w:p>
      <w:pPr>
        <w:jc w:val="both"/>
      </w:pPr>
      <w:r>
        <w:t xml:space="preserve">Stage B는 두 부분으로 구성된다(그림 3). 첫째, 절연 DAB는 400 V 보조버스와 공칭 100 V 부유 링크 사이에서 양방향 전력을 전달한다. 후보 파라미터는 권선비 4:1, 스위칭주파수 200 kHz, 누설·직렬 인덕턴스 11.1 µH, 링크전류 80 A, 링크전력 8 kW이며, 단일 위상천이(Single-Phase Shift, SPS) 방식의 전압 의존 전력전달 한계도 적용한다. 둘째, 4상한 H-브리지와 LC 필터가 링크전압을 이용해 양·음의 직렬 보상전압을 만든다. 평균 변조율 한계는 ±0.95, 직렬전압 한계는 ±90 V, 경로와 필터 전류한계는 100 A다. 링크 커패시터 2 mF와 브리지 필터 5 µH는 평균모델의 잠정값이며 실제 부품으로 확정되지 않았다.</w:t>
      </w:r>
    </w:p>
    <w:p>
      <w:pPr>
        <w:keepNext/>
        <w:spacing w:after="60" w:before="120" w:line="240" w:lineRule="auto"/>
        <w:jc w:val="center"/>
      </w:pPr>
      <w:r>
        <w:drawing>
          <wp:inline distT="0" distB="0" distL="0" distR="0">
            <wp:extent cx="5581650" cy="1819275"/>
            <wp:effectExtent t="0" r="0" b="0" l="0"/>
            <wp:docPr id="1" name="fig2_stage_b.png" descr="그림 3. Stage B의 2단 구조와 포트별 한계" title="그림 3. Stage B의 2단 구조와 포트별 한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1819275"/>
                    </a:xfrm>
                    <a:prstGeom prst="rect">
                      <a:avLst/>
                    </a:prstGeom>
                  </pic:spPr>
                </pic:pic>
              </a:graphicData>
            </a:graphic>
          </wp:inline>
        </w:drawing>
      </w:r>
    </w:p>
    <w:p>
      <w:pPr>
        <w:pStyle w:val="Caption"/>
        <w:keepNext/>
        <w:jc w:val="center"/>
      </w:pPr>
      <w:r>
        <w:t xml:space="preserve">그림 3. Stage B의 2단 구조와 포트별 한계</w:t>
      </w:r>
    </w:p>
    <w:p>
      <w:pPr>
        <w:pStyle w:val="SourceNote"/>
      </w:pPr>
      <w:r>
        <w:t xml:space="preserve">자료: 저자 작성. 파라미터는 python/pprc_two_stage.py의 Parameters(v1.0-interim)이다.</w:t>
      </w:r>
    </w:p>
    <w:p>
      <w:pPr>
        <w:pStyle w:val="Heading2"/>
      </w:pPr>
      <w:r>
        <w:t xml:space="preserve">4.3 Stage C: 48 V 및 12 V 절연 전원</w:t>
      </w:r>
    </w:p>
    <w:p>
      <w:pPr>
        <w:jc w:val="both"/>
      </w:pPr>
      <w:r>
        <w:t xml:space="preserve">Stage C는 400 V 보조버스에서 48 V 전원망을 공급하는 CLLC 공진 변환기다. CLLC는 변압기 양쪽의 인덕터와 커패시터로 구성된 공진형 절연 변환기이며 양방향 전력전달에 적합한 후보 중 하나다. 12 V 출력은 48 V 뒤의 강압 변환기가 담당한다. 초기 3 kW 스위칭 수준 ODE 모델에서 공진점 이득과 양방향 전력흐름을 검토했으나, 48 V와 12 V의 동시 최대부하를 만족하려면 약 5 kW급 재설계가 필요하다. 공진탱크, 변압기, 정류 손실, 열설계와 회생 전류 폐루프는 아직 완료되지 않았다.</w:t>
      </w:r>
    </w:p>
    <w:p>
      <w:pPr>
        <w:pStyle w:val="Heading2"/>
      </w:pPr>
      <w:r>
        <w:t xml:space="preserve">4.4 SALS: 포화 인지형 부하 승인 계층</w:t>
      </w:r>
    </w:p>
    <w:p>
      <w:pPr>
        <w:jc w:val="both"/>
      </w:pPr>
      <w:r>
        <w:t xml:space="preserve">SALS는 빠른 전압제어기가 아니라 상위 부하 승인 계층이다. 현재 구현은 보조버스 연속정격 25 kW에 95 % 여유를 둔 정적 예산(400 V 기준 59.375 A)에서 비지연 부하를 뺀 나머지를 정온도계수(Positive Temperature Coefficient, PTC) 히터, 배터리 히터, 48 V 저우선 부하의 요청에 우선순위대로 배분한다. 사건 범위를 확인할 수 없으면 조정부하 승인을 0으로 두는 fail-closed 동작을 쓴다.</w:t>
      </w:r>
    </w:p>
    <w:p>
      <w:pPr>
        <w:jc w:val="both"/>
      </w:pPr>
      <w:r>
        <w:t xml:space="preserve">정적 연속 한계가 625 V 이상에서 25 kW로 일정하므로 이 예산은 배터리 전압과 무관하다. 과도 허용 전력의 전압 의존성(6.6절)과 에너지 요구·최소 동작시간·재기동 같은 시간 결합은 아직 반영하지 않았으므로, 현재 구현은 단일 시점 우선순위 승인이다.</w:t>
      </w:r>
    </w:p>
    <w:p>
      <w:pPr>
        <w:jc w:val="both"/>
      </w:pPr>
      <w:r>
        <w:t xml:space="preserve">관측하지 못한 사건에 대비하려면 부하 측 전자제어기(Electronic Control Unit, ECU)가 부하를 켜기 전에 승인을 받는 절차가 필요하다. 이 절차가 성립하려면 부하 등급을 먼저 정해야 한다. 비지연 부하는 승인을 거부할 수 없으므로, 사전 승인은 기동 시점을 정해진 상한 안에서 늦추는 것으로 정의하고 등급별 최대 지연을 요구사항으로 둔다(표 5).</w:t>
      </w:r>
    </w:p>
    <w:p>
      <w:pPr>
        <w:pStyle w:val="Heading2"/>
      </w:pPr>
      <w:r>
        <w:t xml:space="preserve">4.5 주요 운전 모드</w:t>
      </w:r>
    </w:p>
    <w:p>
      <w:pPr>
        <w:jc w:val="both"/>
      </w:pPr>
      <w:r>
        <w:t xml:space="preserve">표 7은 운전 모드별 각 단의 역할과 현재 검증 상태를 정리한 것이다.</w:t>
      </w:r>
    </w:p>
    <w:p>
      <w:pPr>
        <w:pStyle w:val="Caption"/>
        <w:keepNext/>
        <w:keepLines/>
        <w:jc w:val="center"/>
      </w:pPr>
      <w:r>
        <w:t xml:space="preserve">표 7. 운전 모드별 역할과 검증 상태</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361"/>
        <w:gridCol w:w="1862"/>
        <w:gridCol w:w="1719"/>
        <w:gridCol w:w="1361"/>
        <w:gridCol w:w="1074"/>
        <w:gridCol w:w="1649"/>
      </w:tblGrid>
      <w:tr>
        <w:trPr>
          <w:cantSplit/>
          <w:tblHeader/>
        </w:trPr>
        <w:tc>
          <w:tcPr>
            <w:tcW w:type="dxa" w:w="136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운전 모드</w:t>
            </w:r>
          </w:p>
        </w:tc>
        <w:tc>
          <w:tcPr>
            <w:tcW w:type="dxa" w:w="1862"/>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Stage A</w:t>
            </w:r>
          </w:p>
        </w:tc>
        <w:tc>
          <w:tcPr>
            <w:tcW w:type="dxa" w:w="1719"/>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Stage B</w:t>
            </w:r>
          </w:p>
        </w:tc>
        <w:tc>
          <w:tcPr>
            <w:tcW w:type="dxa" w:w="136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충전기</w:t>
            </w:r>
          </w:p>
        </w:tc>
        <w:tc>
          <w:tcPr>
            <w:tcW w:type="dxa" w:w="1074"/>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Stage C</w:t>
            </w:r>
          </w:p>
        </w:tc>
        <w:tc>
          <w:tcPr>
            <w:tcW w:type="dxa" w:w="1649"/>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검증 상태</w:t>
            </w:r>
          </w:p>
        </w:tc>
      </w:tr>
      <w:tr>
        <w:trPr>
          <w:cantSplit/>
        </w:trPr>
        <w:tc>
          <w:tcPr>
            <w:tcW w:type="dxa" w:w="1361"/>
            <w:tcMar>
              <w:top w:type="dxa" w:w="50"/>
              <w:left w:type="dxa" w:w="90"/>
              <w:bottom w:type="dxa" w:w="50"/>
              <w:right w:type="dxa" w:w="90"/>
            </w:tcMar>
            <w:vAlign w:val="center"/>
          </w:tcPr>
          <w:p>
            <w:pPr>
              <w:spacing w:after="0" w:before="0" w:line="260"/>
              <w:jc w:val="left"/>
            </w:pPr>
            <w:r>
              <w:rPr>
                <w:sz w:val="16"/>
                <w:szCs w:val="16"/>
              </w:rPr>
              <w:t xml:space="preserve">주행</w:t>
            </w:r>
          </w:p>
        </w:tc>
        <w:tc>
          <w:tcPr>
            <w:tcW w:type="dxa" w:w="1862"/>
            <w:tcMar>
              <w:top w:type="dxa" w:w="50"/>
              <w:left w:type="dxa" w:w="90"/>
              <w:bottom w:type="dxa" w:w="50"/>
              <w:right w:type="dxa" w:w="90"/>
            </w:tcMar>
            <w:vAlign w:val="center"/>
          </w:tcPr>
          <w:p>
            <w:pPr>
              <w:spacing w:after="0" w:before="0" w:line="260"/>
              <w:jc w:val="left"/>
            </w:pPr>
            <w:r>
              <w:rPr>
                <w:sz w:val="16"/>
                <w:szCs w:val="16"/>
              </w:rPr>
              <w:t xml:space="preserve">배터리→V_A, 부하에 따라 모듈 셰딩</w:t>
            </w:r>
          </w:p>
        </w:tc>
        <w:tc>
          <w:tcPr>
            <w:tcW w:type="dxa" w:w="1719"/>
            <w:tcMar>
              <w:top w:type="dxa" w:w="50"/>
              <w:left w:type="dxa" w:w="90"/>
              <w:bottom w:type="dxa" w:w="50"/>
              <w:right w:type="dxa" w:w="90"/>
            </w:tcMar>
            <w:vAlign w:val="center"/>
          </w:tcPr>
          <w:p>
            <w:pPr>
              <w:spacing w:after="0" w:before="0" w:line="260"/>
              <w:jc w:val="left"/>
            </w:pPr>
            <w:r>
              <w:rPr>
                <w:sz w:val="16"/>
                <w:szCs w:val="16"/>
              </w:rPr>
              <w:t xml:space="preserve">보조버스 조정</w:t>
            </w:r>
          </w:p>
        </w:tc>
        <w:tc>
          <w:tcPr>
            <w:tcW w:type="dxa" w:w="1361"/>
            <w:tcMar>
              <w:top w:type="dxa" w:w="50"/>
              <w:left w:type="dxa" w:w="90"/>
              <w:bottom w:type="dxa" w:w="50"/>
              <w:right w:type="dxa" w:w="90"/>
            </w:tcMar>
            <w:vAlign w:val="center"/>
          </w:tcPr>
          <w:p>
            <w:pPr>
              <w:spacing w:after="0" w:before="0" w:line="260"/>
              <w:jc w:val="left"/>
            </w:pPr>
            <w:r>
              <w:rPr>
                <w:sz w:val="16"/>
                <w:szCs w:val="16"/>
              </w:rPr>
              <w:t xml:space="preserve">—</w:t>
            </w:r>
          </w:p>
        </w:tc>
        <w:tc>
          <w:tcPr>
            <w:tcW w:type="dxa" w:w="1074"/>
            <w:tcMar>
              <w:top w:type="dxa" w:w="50"/>
              <w:left w:type="dxa" w:w="90"/>
              <w:bottom w:type="dxa" w:w="50"/>
              <w:right w:type="dxa" w:w="90"/>
            </w:tcMar>
            <w:vAlign w:val="center"/>
          </w:tcPr>
          <w:p>
            <w:pPr>
              <w:spacing w:after="0" w:before="0" w:line="260"/>
              <w:jc w:val="left"/>
            </w:pPr>
            <w:r>
              <w:rPr>
                <w:sz w:val="16"/>
                <w:szCs w:val="16"/>
              </w:rPr>
              <w:t xml:space="preserve">48·12 V 공급</w:t>
            </w:r>
          </w:p>
        </w:tc>
        <w:tc>
          <w:tcPr>
            <w:tcW w:type="dxa" w:w="1649"/>
            <w:tcMar>
              <w:top w:type="dxa" w:w="50"/>
              <w:left w:type="dxa" w:w="90"/>
              <w:bottom w:type="dxa" w:w="50"/>
              <w:right w:type="dxa" w:w="90"/>
            </w:tcMar>
            <w:vAlign w:val="center"/>
          </w:tcPr>
          <w:p>
            <w:pPr>
              <w:spacing w:after="0" w:before="0" w:line="260"/>
              <w:jc w:val="left"/>
            </w:pPr>
            <w:r>
              <w:rPr>
                <w:sz w:val="16"/>
                <w:szCs w:val="16"/>
              </w:rPr>
              <w:t xml:space="preserve">Stage A ODE, Stage B 평균모델</w:t>
            </w:r>
          </w:p>
        </w:tc>
      </w:tr>
      <w:tr>
        <w:trPr>
          <w:cantSplit/>
        </w:trPr>
        <w:tc>
          <w:tcPr>
            <w:tcW w:type="dxa" w:w="1361"/>
            <w:tcMar>
              <w:top w:type="dxa" w:w="50"/>
              <w:left w:type="dxa" w:w="90"/>
              <w:bottom w:type="dxa" w:w="50"/>
              <w:right w:type="dxa" w:w="90"/>
            </w:tcMar>
            <w:vAlign w:val="center"/>
          </w:tcPr>
          <w:p>
            <w:pPr>
              <w:spacing w:after="0" w:before="0" w:line="260"/>
              <w:jc w:val="left"/>
            </w:pPr>
            <w:r>
              <w:rPr>
                <w:sz w:val="16"/>
                <w:szCs w:val="16"/>
              </w:rPr>
              <w:t xml:space="preserve">400 V급 충전</w:t>
            </w:r>
          </w:p>
        </w:tc>
        <w:tc>
          <w:tcPr>
            <w:tcW w:type="dxa" w:w="1862"/>
            <w:tcMar>
              <w:top w:type="dxa" w:w="50"/>
              <w:left w:type="dxa" w:w="90"/>
              <w:bottom w:type="dxa" w:w="50"/>
              <w:right w:type="dxa" w:w="90"/>
            </w:tcMar>
            <w:vAlign w:val="center"/>
          </w:tcPr>
          <w:p>
            <w:pPr>
              <w:spacing w:after="0" w:before="0" w:line="260"/>
              <w:jc w:val="left"/>
            </w:pPr>
            <w:r>
              <w:rPr>
                <w:sz w:val="16"/>
                <w:szCs w:val="16"/>
              </w:rPr>
              <w:t xml:space="preserve">V_A→배터리(피크 150 kW, 375 A 제한)</w:t>
            </w:r>
          </w:p>
        </w:tc>
        <w:tc>
          <w:tcPr>
            <w:tcW w:type="dxa" w:w="1719"/>
            <w:tcMar>
              <w:top w:type="dxa" w:w="50"/>
              <w:left w:type="dxa" w:w="90"/>
              <w:bottom w:type="dxa" w:w="50"/>
              <w:right w:type="dxa" w:w="90"/>
            </w:tcMar>
            <w:vAlign w:val="center"/>
          </w:tcPr>
          <w:p>
            <w:pPr>
              <w:spacing w:after="0" w:before="0" w:line="260"/>
              <w:jc w:val="left"/>
            </w:pPr>
            <w:r>
              <w:rPr>
                <w:sz w:val="16"/>
                <w:szCs w:val="16"/>
              </w:rPr>
              <w:t xml:space="preserve">보조버스 조정(충전전류 비경유)</w:t>
            </w:r>
          </w:p>
        </w:tc>
        <w:tc>
          <w:tcPr>
            <w:tcW w:type="dxa" w:w="1361"/>
            <w:tcMar>
              <w:top w:type="dxa" w:w="50"/>
              <w:left w:type="dxa" w:w="90"/>
              <w:bottom w:type="dxa" w:w="50"/>
              <w:right w:type="dxa" w:w="90"/>
            </w:tcMar>
            <w:vAlign w:val="center"/>
          </w:tcPr>
          <w:p>
            <w:pPr>
              <w:spacing w:after="0" w:before="0" w:line="260"/>
              <w:jc w:val="left"/>
            </w:pPr>
            <w:r>
              <w:rPr>
                <w:sz w:val="16"/>
                <w:szCs w:val="16"/>
              </w:rPr>
              <w:t xml:space="preserve">V_A 접속, CC/CV</w:t>
            </w:r>
          </w:p>
        </w:tc>
        <w:tc>
          <w:tcPr>
            <w:tcW w:type="dxa" w:w="1074"/>
            <w:tcMar>
              <w:top w:type="dxa" w:w="50"/>
              <w:left w:type="dxa" w:w="90"/>
              <w:bottom w:type="dxa" w:w="50"/>
              <w:right w:type="dxa" w:w="90"/>
            </w:tcMar>
            <w:vAlign w:val="center"/>
          </w:tcPr>
          <w:p>
            <w:pPr>
              <w:spacing w:after="0" w:before="0" w:line="260"/>
              <w:jc w:val="left"/>
            </w:pPr>
            <w:r>
              <w:rPr>
                <w:sz w:val="16"/>
                <w:szCs w:val="16"/>
              </w:rPr>
              <w:t xml:space="preserve">48·12 V 공급</w:t>
            </w:r>
          </w:p>
        </w:tc>
        <w:tc>
          <w:tcPr>
            <w:tcW w:type="dxa" w:w="1649"/>
            <w:tcMar>
              <w:top w:type="dxa" w:w="50"/>
              <w:left w:type="dxa" w:w="90"/>
              <w:bottom w:type="dxa" w:w="50"/>
              <w:right w:type="dxa" w:w="90"/>
            </w:tcMar>
            <w:vAlign w:val="center"/>
          </w:tcPr>
          <w:p>
            <w:pPr>
              <w:spacing w:after="0" w:before="0" w:line="260"/>
              <w:jc w:val="left"/>
            </w:pPr>
            <w:r>
              <w:rPr>
                <w:sz w:val="16"/>
                <w:szCs w:val="16"/>
              </w:rPr>
              <w:t xml:space="preserve">통합 미검증</w:t>
            </w:r>
          </w:p>
        </w:tc>
      </w:tr>
      <w:tr>
        <w:trPr>
          <w:cantSplit/>
        </w:trPr>
        <w:tc>
          <w:tcPr>
            <w:tcW w:type="dxa" w:w="1361"/>
            <w:tcMar>
              <w:top w:type="dxa" w:w="50"/>
              <w:left w:type="dxa" w:w="90"/>
              <w:bottom w:type="dxa" w:w="50"/>
              <w:right w:type="dxa" w:w="90"/>
            </w:tcMar>
            <w:vAlign w:val="center"/>
          </w:tcPr>
          <w:p>
            <w:pPr>
              <w:spacing w:after="0" w:before="0" w:line="260"/>
              <w:jc w:val="left"/>
            </w:pPr>
            <w:r>
              <w:rPr>
                <w:sz w:val="16"/>
                <w:szCs w:val="16"/>
              </w:rPr>
              <w:t xml:space="preserve">800 V급 충전</w:t>
            </w:r>
          </w:p>
        </w:tc>
        <w:tc>
          <w:tcPr>
            <w:tcW w:type="dxa" w:w="1862"/>
            <w:tcMar>
              <w:top w:type="dxa" w:w="50"/>
              <w:left w:type="dxa" w:w="90"/>
              <w:bottom w:type="dxa" w:w="50"/>
              <w:right w:type="dxa" w:w="90"/>
            </w:tcMar>
            <w:vAlign w:val="center"/>
          </w:tcPr>
          <w:p>
            <w:pPr>
              <w:spacing w:after="0" w:before="0" w:line="260"/>
              <w:jc w:val="left"/>
            </w:pPr>
            <w:r>
              <w:rPr>
                <w:sz w:val="16"/>
                <w:szCs w:val="16"/>
              </w:rPr>
              <w:t xml:space="preserve">보조부하 공급</w:t>
            </w:r>
          </w:p>
        </w:tc>
        <w:tc>
          <w:tcPr>
            <w:tcW w:type="dxa" w:w="1719"/>
            <w:tcMar>
              <w:top w:type="dxa" w:w="50"/>
              <w:left w:type="dxa" w:w="90"/>
              <w:bottom w:type="dxa" w:w="50"/>
              <w:right w:type="dxa" w:w="90"/>
            </w:tcMar>
            <w:vAlign w:val="center"/>
          </w:tcPr>
          <w:p>
            <w:pPr>
              <w:spacing w:after="0" w:before="0" w:line="260"/>
              <w:jc w:val="left"/>
            </w:pPr>
            <w:r>
              <w:rPr>
                <w:sz w:val="16"/>
                <w:szCs w:val="16"/>
              </w:rPr>
              <w:t xml:space="preserve">보조버스 조정</w:t>
            </w:r>
          </w:p>
        </w:tc>
        <w:tc>
          <w:tcPr>
            <w:tcW w:type="dxa" w:w="1361"/>
            <w:tcMar>
              <w:top w:type="dxa" w:w="50"/>
              <w:left w:type="dxa" w:w="90"/>
              <w:bottom w:type="dxa" w:w="50"/>
              <w:right w:type="dxa" w:w="90"/>
            </w:tcMar>
            <w:vAlign w:val="center"/>
          </w:tcPr>
          <w:p>
            <w:pPr>
              <w:spacing w:after="0" w:before="0" w:line="260"/>
              <w:jc w:val="left"/>
            </w:pPr>
            <w:r>
              <w:rPr>
                <w:sz w:val="16"/>
                <w:szCs w:val="16"/>
              </w:rPr>
              <w:t xml:space="preserve">배터리 단자 접속</w:t>
            </w:r>
          </w:p>
        </w:tc>
        <w:tc>
          <w:tcPr>
            <w:tcW w:type="dxa" w:w="1074"/>
            <w:tcMar>
              <w:top w:type="dxa" w:w="50"/>
              <w:left w:type="dxa" w:w="90"/>
              <w:bottom w:type="dxa" w:w="50"/>
              <w:right w:type="dxa" w:w="90"/>
            </w:tcMar>
            <w:vAlign w:val="center"/>
          </w:tcPr>
          <w:p>
            <w:pPr>
              <w:spacing w:after="0" w:before="0" w:line="260"/>
              <w:jc w:val="left"/>
            </w:pPr>
            <w:r>
              <w:rPr>
                <w:sz w:val="16"/>
                <w:szCs w:val="16"/>
              </w:rPr>
              <w:t xml:space="preserve">48·12 V 공급</w:t>
            </w:r>
          </w:p>
        </w:tc>
        <w:tc>
          <w:tcPr>
            <w:tcW w:type="dxa" w:w="1649"/>
            <w:tcMar>
              <w:top w:type="dxa" w:w="50"/>
              <w:left w:type="dxa" w:w="90"/>
              <w:bottom w:type="dxa" w:w="50"/>
              <w:right w:type="dxa" w:w="90"/>
            </w:tcMar>
            <w:vAlign w:val="center"/>
          </w:tcPr>
          <w:p>
            <w:pPr>
              <w:spacing w:after="0" w:before="0" w:line="260"/>
              <w:jc w:val="left"/>
            </w:pPr>
            <w:r>
              <w:rPr>
                <w:sz w:val="16"/>
                <w:szCs w:val="16"/>
              </w:rPr>
              <w:t xml:space="preserve">미검증</w:t>
            </w:r>
          </w:p>
        </w:tc>
      </w:tr>
      <w:tr>
        <w:trPr>
          <w:cantSplit/>
        </w:trPr>
        <w:tc>
          <w:tcPr>
            <w:tcW w:type="dxa" w:w="1361"/>
            <w:tcMar>
              <w:top w:type="dxa" w:w="50"/>
              <w:left w:type="dxa" w:w="90"/>
              <w:bottom w:type="dxa" w:w="50"/>
              <w:right w:type="dxa" w:w="90"/>
            </w:tcMar>
            <w:vAlign w:val="center"/>
          </w:tcPr>
          <w:p>
            <w:pPr>
              <w:spacing w:after="0" w:before="0" w:line="260"/>
              <w:jc w:val="left"/>
            </w:pPr>
            <w:r>
              <w:rPr>
                <w:sz w:val="16"/>
                <w:szCs w:val="16"/>
              </w:rPr>
              <w:t xml:space="preserve">회생·외부 전력공급</w:t>
            </w:r>
          </w:p>
        </w:tc>
        <w:tc>
          <w:tcPr>
            <w:tcW w:type="dxa" w:w="1862"/>
            <w:tcMar>
              <w:top w:type="dxa" w:w="50"/>
              <w:left w:type="dxa" w:w="90"/>
              <w:bottom w:type="dxa" w:w="50"/>
              <w:right w:type="dxa" w:w="90"/>
            </w:tcMar>
            <w:vAlign w:val="center"/>
          </w:tcPr>
          <w:p>
            <w:pPr>
              <w:spacing w:after="0" w:before="0" w:line="260"/>
              <w:jc w:val="left"/>
            </w:pPr>
            <w:r>
              <w:rPr>
                <w:sz w:val="16"/>
                <w:szCs w:val="16"/>
              </w:rPr>
              <w:t xml:space="preserve">양방향</w:t>
            </w:r>
          </w:p>
        </w:tc>
        <w:tc>
          <w:tcPr>
            <w:tcW w:type="dxa" w:w="1719"/>
            <w:tcMar>
              <w:top w:type="dxa" w:w="50"/>
              <w:left w:type="dxa" w:w="90"/>
              <w:bottom w:type="dxa" w:w="50"/>
              <w:right w:type="dxa" w:w="90"/>
            </w:tcMar>
            <w:vAlign w:val="center"/>
          </w:tcPr>
          <w:p>
            <w:pPr>
              <w:spacing w:after="0" w:before="0" w:line="260"/>
              <w:jc w:val="left"/>
            </w:pPr>
            <w:r>
              <w:rPr>
                <w:sz w:val="16"/>
                <w:szCs w:val="16"/>
              </w:rPr>
              <w:t xml:space="preserve">양·음 직렬전압, 0 V 통과</w:t>
            </w:r>
          </w:p>
        </w:tc>
        <w:tc>
          <w:tcPr>
            <w:tcW w:type="dxa" w:w="1361"/>
            <w:tcMar>
              <w:top w:type="dxa" w:w="50"/>
              <w:left w:type="dxa" w:w="90"/>
              <w:bottom w:type="dxa" w:w="50"/>
              <w:right w:type="dxa" w:w="90"/>
            </w:tcMar>
            <w:vAlign w:val="center"/>
          </w:tcPr>
          <w:p>
            <w:pPr>
              <w:spacing w:after="0" w:before="0" w:line="260"/>
              <w:jc w:val="left"/>
            </w:pPr>
            <w:r>
              <w:rPr>
                <w:sz w:val="16"/>
                <w:szCs w:val="16"/>
              </w:rPr>
              <w:t xml:space="preserve">—</w:t>
            </w:r>
          </w:p>
        </w:tc>
        <w:tc>
          <w:tcPr>
            <w:tcW w:type="dxa" w:w="1074"/>
            <w:tcMar>
              <w:top w:type="dxa" w:w="50"/>
              <w:left w:type="dxa" w:w="90"/>
              <w:bottom w:type="dxa" w:w="50"/>
              <w:right w:type="dxa" w:w="90"/>
            </w:tcMar>
            <w:vAlign w:val="center"/>
          </w:tcPr>
          <w:p>
            <w:pPr>
              <w:spacing w:after="0" w:before="0" w:line="260"/>
              <w:jc w:val="left"/>
            </w:pPr>
            <w:r>
              <w:rPr>
                <w:sz w:val="16"/>
                <w:szCs w:val="16"/>
              </w:rPr>
              <w:t xml:space="preserve">48 V 회생 포함</w:t>
            </w:r>
          </w:p>
        </w:tc>
        <w:tc>
          <w:tcPr>
            <w:tcW w:type="dxa" w:w="1649"/>
            <w:tcMar>
              <w:top w:type="dxa" w:w="50"/>
              <w:left w:type="dxa" w:w="90"/>
              <w:bottom w:type="dxa" w:w="50"/>
              <w:right w:type="dxa" w:w="90"/>
            </w:tcMar>
            <w:vAlign w:val="center"/>
          </w:tcPr>
          <w:p>
            <w:pPr>
              <w:spacing w:after="0" w:before="0" w:line="260"/>
              <w:jc w:val="left"/>
            </w:pPr>
            <w:r>
              <w:rPr>
                <w:sz w:val="16"/>
                <w:szCs w:val="16"/>
              </w:rPr>
              <w:t xml:space="preserve">Stage B 평균모델(회생·0 V 통과)</w:t>
            </w:r>
          </w:p>
        </w:tc>
      </w:tr>
    </w:tbl>
    <w:p>
      <w:pPr>
        <w:pStyle w:val="SourceNote"/>
      </w:pPr>
      <w:r>
        <w:t xml:space="preserve">자료: 저자 작성. 검증 상태는 v1.0-interim과 본 보고서의 추가 분석 기준이다.</w:t>
      </w:r>
    </w:p>
    <w:p>
      <w:pPr>
        <w:pStyle w:val="Heading1"/>
      </w:pPr>
      <w:r>
        <w:t xml:space="preserve">5. 검증 방법과 진행 상황</w:t>
      </w:r>
    </w:p>
    <w:p>
      <w:pPr>
        <w:pStyle w:val="Heading2"/>
      </w:pPr>
      <w:r>
        <w:t xml:space="preserve">5.1 검증 원칙과 모델</w:t>
      </w:r>
    </w:p>
    <w:p>
      <w:pPr>
        <w:jc w:val="both"/>
      </w:pPr>
      <w:r>
        <w:t xml:space="preserve">검증은 해석 계산, Stage A 스위칭 ODE 모델, Stage B 평균모델, Python·MATLAB 교차 구현 및 실패 회귀시험으로 진행했다. 각 시험의 통과는 해당 모델과 조건에서 정의한 기준을 만족했다는 뜻이며, 상위 검증단계의 완료를 의미하지 않는다. 평균모델 통과를 실제 스위칭, 열, 절연, 전자기 간섭 또는 시제품 검증으로 확대하지 않는다. 사용한 모델과 검증 수준은 표 8과 같다.</w:t>
      </w:r>
    </w:p>
    <w:p>
      <w:pPr>
        <w:pStyle w:val="Caption"/>
        <w:keepNext/>
        <w:keepLines/>
        <w:jc w:val="center"/>
      </w:pPr>
      <w:r>
        <w:t xml:space="preserve">표 8. 검증 모델과 검증 수준</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923"/>
        <w:gridCol w:w="2293"/>
        <w:gridCol w:w="1405"/>
        <w:gridCol w:w="1331"/>
        <w:gridCol w:w="2074"/>
      </w:tblGrid>
      <w:tr>
        <w:trPr>
          <w:cantSplit/>
          <w:tblHeader/>
        </w:trPr>
        <w:tc>
          <w:tcPr>
            <w:tcW w:type="dxa" w:w="192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모델</w:t>
            </w:r>
          </w:p>
        </w:tc>
        <w:tc>
          <w:tcPr>
            <w:tcW w:type="dxa" w:w="229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대상과 상태</w:t>
            </w:r>
          </w:p>
        </w:tc>
        <w:tc>
          <w:tcPr>
            <w:tcW w:type="dxa" w:w="1405"/>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도구</w:t>
            </w:r>
          </w:p>
        </w:tc>
        <w:tc>
          <w:tcPr>
            <w:tcW w:type="dxa" w:w="133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용도</w:t>
            </w:r>
          </w:p>
        </w:tc>
        <w:tc>
          <w:tcPr>
            <w:tcW w:type="dxa" w:w="2074"/>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한계</w:t>
            </w:r>
          </w:p>
        </w:tc>
      </w:tr>
      <w:tr>
        <w:trPr>
          <w:cantSplit/>
        </w:trPr>
        <w:tc>
          <w:tcPr>
            <w:tcW w:type="dxa" w:w="1923"/>
            <w:tcMar>
              <w:top w:type="dxa" w:w="50"/>
              <w:left w:type="dxa" w:w="90"/>
              <w:bottom w:type="dxa" w:w="50"/>
              <w:right w:type="dxa" w:w="90"/>
            </w:tcMar>
            <w:vAlign w:val="center"/>
          </w:tcPr>
          <w:p>
            <w:pPr>
              <w:spacing w:after="0" w:before="0" w:line="260"/>
              <w:jc w:val="left"/>
            </w:pPr>
            <w:r>
              <w:rPr>
                <w:sz w:val="16"/>
                <w:szCs w:val="16"/>
              </w:rPr>
              <w:t xml:space="preserve">Stage A 스위칭 ODE</w:t>
            </w:r>
          </w:p>
        </w:tc>
        <w:tc>
          <w:tcPr>
            <w:tcW w:type="dxa" w:w="2293"/>
            <w:tcMar>
              <w:top w:type="dxa" w:w="50"/>
              <w:left w:type="dxa" w:w="90"/>
              <w:bottom w:type="dxa" w:w="50"/>
              <w:right w:type="dxa" w:w="90"/>
            </w:tcMar>
            <w:vAlign w:val="center"/>
          </w:tcPr>
          <w:p>
            <w:pPr>
              <w:spacing w:after="0" w:before="0" w:line="260"/>
              <w:jc w:val="left"/>
            </w:pPr>
            <w:r>
              <w:rPr>
                <w:sz w:val="16"/>
                <w:szCs w:val="16"/>
              </w:rPr>
              <w:t xml:space="preserve">8위상 RSC의 공진전류와 스위칭 상태</w:t>
            </w:r>
          </w:p>
        </w:tc>
        <w:tc>
          <w:tcPr>
            <w:tcW w:type="dxa" w:w="1405"/>
            <w:tcMar>
              <w:top w:type="dxa" w:w="50"/>
              <w:left w:type="dxa" w:w="90"/>
              <w:bottom w:type="dxa" w:w="50"/>
              <w:right w:type="dxa" w:w="90"/>
            </w:tcMar>
            <w:vAlign w:val="center"/>
          </w:tcPr>
          <w:p>
            <w:pPr>
              <w:spacing w:after="0" w:before="0" w:line="260"/>
              <w:jc w:val="left"/>
            </w:pPr>
            <w:r>
              <w:rPr>
                <w:sz w:val="16"/>
                <w:szCs w:val="16"/>
              </w:rPr>
              <w:t xml:space="preserve">MATLAB, Python</w:t>
            </w:r>
          </w:p>
        </w:tc>
        <w:tc>
          <w:tcPr>
            <w:tcW w:type="dxa" w:w="1331"/>
            <w:tcMar>
              <w:top w:type="dxa" w:w="50"/>
              <w:left w:type="dxa" w:w="90"/>
              <w:bottom w:type="dxa" w:w="50"/>
              <w:right w:type="dxa" w:w="90"/>
            </w:tcMar>
            <w:vAlign w:val="center"/>
          </w:tcPr>
          <w:p>
            <w:pPr>
              <w:spacing w:after="0" w:before="0" w:line="260"/>
              <w:jc w:val="left"/>
            </w:pPr>
            <w:r>
              <w:rPr>
                <w:sz w:val="16"/>
                <w:szCs w:val="16"/>
              </w:rPr>
              <w:t xml:space="preserve">ZCS 타이밍, 손실 추정, 프리차지</w:t>
            </w:r>
          </w:p>
        </w:tc>
        <w:tc>
          <w:tcPr>
            <w:tcW w:type="dxa" w:w="2074"/>
            <w:tcMar>
              <w:top w:type="dxa" w:w="50"/>
              <w:left w:type="dxa" w:w="90"/>
              <w:bottom w:type="dxa" w:w="50"/>
              <w:right w:type="dxa" w:w="90"/>
            </w:tcMar>
            <w:vAlign w:val="center"/>
          </w:tcPr>
          <w:p>
            <w:pPr>
              <w:spacing w:after="0" w:before="0" w:line="260"/>
              <w:jc w:val="left"/>
            </w:pPr>
            <w:r>
              <w:rPr>
                <w:sz w:val="16"/>
                <w:szCs w:val="16"/>
              </w:rPr>
              <w:t xml:space="preserve">기생성분·열·센서 오차 미포함</w:t>
            </w:r>
          </w:p>
        </w:tc>
      </w:tr>
      <w:tr>
        <w:trPr>
          <w:cantSplit/>
        </w:trPr>
        <w:tc>
          <w:tcPr>
            <w:tcW w:type="dxa" w:w="1923"/>
            <w:tcMar>
              <w:top w:type="dxa" w:w="50"/>
              <w:left w:type="dxa" w:w="90"/>
              <w:bottom w:type="dxa" w:w="50"/>
              <w:right w:type="dxa" w:w="90"/>
            </w:tcMar>
            <w:vAlign w:val="center"/>
          </w:tcPr>
          <w:p>
            <w:pPr>
              <w:spacing w:after="0" w:before="0" w:line="260"/>
              <w:jc w:val="left"/>
            </w:pPr>
            <w:r>
              <w:rPr>
                <w:sz w:val="16"/>
                <w:szCs w:val="16"/>
              </w:rPr>
              <w:t xml:space="preserve">Stage B 6상태 평균모델</w:t>
            </w:r>
          </w:p>
        </w:tc>
        <w:tc>
          <w:tcPr>
            <w:tcW w:type="dxa" w:w="2293"/>
            <w:tcMar>
              <w:top w:type="dxa" w:w="50"/>
              <w:left w:type="dxa" w:w="90"/>
              <w:bottom w:type="dxa" w:w="50"/>
              <w:right w:type="dxa" w:w="90"/>
            </w:tcMar>
            <w:vAlign w:val="center"/>
          </w:tcPr>
          <w:p>
            <w:pPr>
              <w:spacing w:after="0" w:before="0" w:line="260"/>
              <w:jc w:val="left"/>
            </w:pPr>
            <w:r>
              <w:rPr>
                <w:sz w:val="16"/>
                <w:szCs w:val="16"/>
              </w:rPr>
              <w:t xml:space="preserve">경로전류, 직렬전압, 버스전압, 필터전류, 링크전압, 링크전류</w:t>
            </w:r>
          </w:p>
        </w:tc>
        <w:tc>
          <w:tcPr>
            <w:tcW w:type="dxa" w:w="1405"/>
            <w:tcMar>
              <w:top w:type="dxa" w:w="50"/>
              <w:left w:type="dxa" w:w="90"/>
              <w:bottom w:type="dxa" w:w="50"/>
              <w:right w:type="dxa" w:w="90"/>
            </w:tcMar>
            <w:vAlign w:val="center"/>
          </w:tcPr>
          <w:p>
            <w:pPr>
              <w:spacing w:after="0" w:before="0" w:line="260"/>
              <w:jc w:val="left"/>
            </w:pPr>
            <w:r>
              <w:rPr>
                <w:sz w:val="16"/>
                <w:szCs w:val="16"/>
              </w:rPr>
              <w:t xml:space="preserve">MATLAB, Python</w:t>
            </w:r>
          </w:p>
        </w:tc>
        <w:tc>
          <w:tcPr>
            <w:tcW w:type="dxa" w:w="1331"/>
            <w:tcMar>
              <w:top w:type="dxa" w:w="50"/>
              <w:left w:type="dxa" w:w="90"/>
              <w:bottom w:type="dxa" w:w="50"/>
              <w:right w:type="dxa" w:w="90"/>
            </w:tcMar>
            <w:vAlign w:val="center"/>
          </w:tcPr>
          <w:p>
            <w:pPr>
              <w:spacing w:after="0" w:before="0" w:line="260"/>
              <w:jc w:val="left"/>
            </w:pPr>
            <w:r>
              <w:rPr>
                <w:sz w:val="16"/>
                <w:szCs w:val="16"/>
              </w:rPr>
              <w:t xml:space="preserve">전력수지, 포트 정격, 제어기 시험</w:t>
            </w:r>
          </w:p>
        </w:tc>
        <w:tc>
          <w:tcPr>
            <w:tcW w:type="dxa" w:w="2074"/>
            <w:tcMar>
              <w:top w:type="dxa" w:w="50"/>
              <w:left w:type="dxa" w:w="90"/>
              <w:bottom w:type="dxa" w:w="50"/>
              <w:right w:type="dxa" w:w="90"/>
            </w:tcMar>
            <w:vAlign w:val="center"/>
          </w:tcPr>
          <w:p>
            <w:pPr>
              <w:spacing w:after="0" w:before="0" w:line="260"/>
              <w:jc w:val="left"/>
            </w:pPr>
            <w:r>
              <w:rPr>
                <w:sz w:val="16"/>
                <w:szCs w:val="16"/>
              </w:rPr>
              <w:t xml:space="preserve">PWM·데드타임·리플·보호 미포함</w:t>
            </w:r>
          </w:p>
        </w:tc>
      </w:tr>
      <w:tr>
        <w:trPr>
          <w:cantSplit/>
        </w:trPr>
        <w:tc>
          <w:tcPr>
            <w:tcW w:type="dxa" w:w="1923"/>
            <w:tcMar>
              <w:top w:type="dxa" w:w="50"/>
              <w:left w:type="dxa" w:w="90"/>
              <w:bottom w:type="dxa" w:w="50"/>
              <w:right w:type="dxa" w:w="90"/>
            </w:tcMar>
            <w:vAlign w:val="center"/>
          </w:tcPr>
          <w:p>
            <w:pPr>
              <w:spacing w:after="0" w:before="0" w:line="260"/>
              <w:jc w:val="left"/>
            </w:pPr>
            <w:r>
              <w:rPr>
                <w:sz w:val="16"/>
                <w:szCs w:val="16"/>
              </w:rPr>
              <w:t xml:space="preserve">Simulink 4상태 평균모델</w:t>
            </w:r>
          </w:p>
        </w:tc>
        <w:tc>
          <w:tcPr>
            <w:tcW w:type="dxa" w:w="2293"/>
            <w:tcMar>
              <w:top w:type="dxa" w:w="50"/>
              <w:left w:type="dxa" w:w="90"/>
              <w:bottom w:type="dxa" w:w="50"/>
              <w:right w:type="dxa" w:w="90"/>
            </w:tcMar>
            <w:vAlign w:val="center"/>
          </w:tcPr>
          <w:p>
            <w:pPr>
              <w:spacing w:after="0" w:before="0" w:line="260"/>
              <w:jc w:val="left"/>
            </w:pPr>
            <w:r>
              <w:rPr>
                <w:sz w:val="16"/>
                <w:szCs w:val="16"/>
              </w:rPr>
              <w:t xml:space="preserve">무손실 이상 PPRC</w:t>
            </w:r>
          </w:p>
        </w:tc>
        <w:tc>
          <w:tcPr>
            <w:tcW w:type="dxa" w:w="1405"/>
            <w:tcMar>
              <w:top w:type="dxa" w:w="50"/>
              <w:left w:type="dxa" w:w="90"/>
              <w:bottom w:type="dxa" w:w="50"/>
              <w:right w:type="dxa" w:w="90"/>
            </w:tcMar>
            <w:vAlign w:val="center"/>
          </w:tcPr>
          <w:p>
            <w:pPr>
              <w:spacing w:after="0" w:before="0" w:line="260"/>
              <w:jc w:val="left"/>
            </w:pPr>
            <w:r>
              <w:rPr>
                <w:sz w:val="16"/>
                <w:szCs w:val="16"/>
              </w:rPr>
              <w:t xml:space="preserve">Simulink R2024b</w:t>
            </w:r>
          </w:p>
        </w:tc>
        <w:tc>
          <w:tcPr>
            <w:tcW w:type="dxa" w:w="1331"/>
            <w:tcMar>
              <w:top w:type="dxa" w:w="50"/>
              <w:left w:type="dxa" w:w="90"/>
              <w:bottom w:type="dxa" w:w="50"/>
              <w:right w:type="dxa" w:w="90"/>
            </w:tcMar>
            <w:vAlign w:val="center"/>
          </w:tcPr>
          <w:p>
            <w:pPr>
              <w:spacing w:after="0" w:before="0" w:line="260"/>
              <w:jc w:val="left"/>
            </w:pPr>
            <w:r>
              <w:rPr>
                <w:sz w:val="16"/>
                <w:szCs w:val="16"/>
              </w:rPr>
              <w:t xml:space="preserve">Simulink 실행 경로 확인</w:t>
            </w:r>
          </w:p>
        </w:tc>
        <w:tc>
          <w:tcPr>
            <w:tcW w:type="dxa" w:w="2074"/>
            <w:tcMar>
              <w:top w:type="dxa" w:w="50"/>
              <w:left w:type="dxa" w:w="90"/>
              <w:bottom w:type="dxa" w:w="50"/>
              <w:right w:type="dxa" w:w="90"/>
            </w:tcMar>
            <w:vAlign w:val="center"/>
          </w:tcPr>
          <w:p>
            <w:pPr>
              <w:spacing w:after="0" w:before="0" w:line="260"/>
              <w:jc w:val="left"/>
            </w:pPr>
            <w:r>
              <w:rPr>
                <w:sz w:val="16"/>
                <w:szCs w:val="16"/>
              </w:rPr>
              <w:t xml:space="preserve">최신 6상태보다 단순, Python 오일러 구현과 최대 0.40 V 차이</w:t>
            </w:r>
          </w:p>
        </w:tc>
      </w:tr>
      <w:tr>
        <w:trPr>
          <w:cantSplit/>
        </w:trPr>
        <w:tc>
          <w:tcPr>
            <w:tcW w:type="dxa" w:w="1923"/>
            <w:tcMar>
              <w:top w:type="dxa" w:w="50"/>
              <w:left w:type="dxa" w:w="90"/>
              <w:bottom w:type="dxa" w:w="50"/>
              <w:right w:type="dxa" w:w="90"/>
            </w:tcMar>
            <w:vAlign w:val="center"/>
          </w:tcPr>
          <w:p>
            <w:pPr>
              <w:spacing w:after="0" w:before="0" w:line="260"/>
              <w:jc w:val="left"/>
            </w:pPr>
            <w:r>
              <w:rPr>
                <w:sz w:val="16"/>
                <w:szCs w:val="16"/>
              </w:rPr>
              <w:t xml:space="preserve">SALS 축약 부하 모델</w:t>
            </w:r>
          </w:p>
        </w:tc>
        <w:tc>
          <w:tcPr>
            <w:tcW w:type="dxa" w:w="2293"/>
            <w:tcMar>
              <w:top w:type="dxa" w:w="50"/>
              <w:left w:type="dxa" w:w="90"/>
              <w:bottom w:type="dxa" w:w="50"/>
              <w:right w:type="dxa" w:w="90"/>
            </w:tcMar>
            <w:vAlign w:val="center"/>
          </w:tcPr>
          <w:p>
            <w:pPr>
              <w:spacing w:after="0" w:before="0" w:line="260"/>
              <w:jc w:val="left"/>
            </w:pPr>
            <w:r>
              <w:rPr>
                <w:sz w:val="16"/>
                <w:szCs w:val="16"/>
              </w:rPr>
              <w:t xml:space="preserve">1 ms 부하 스케줄, 400 V 기준 전류</w:t>
            </w:r>
          </w:p>
        </w:tc>
        <w:tc>
          <w:tcPr>
            <w:tcW w:type="dxa" w:w="1405"/>
            <w:tcMar>
              <w:top w:type="dxa" w:w="50"/>
              <w:left w:type="dxa" w:w="90"/>
              <w:bottom w:type="dxa" w:w="50"/>
              <w:right w:type="dxa" w:w="90"/>
            </w:tcMar>
            <w:vAlign w:val="center"/>
          </w:tcPr>
          <w:p>
            <w:pPr>
              <w:spacing w:after="0" w:before="0" w:line="260"/>
              <w:jc w:val="left"/>
            </w:pPr>
            <w:r>
              <w:rPr>
                <w:sz w:val="16"/>
                <w:szCs w:val="16"/>
              </w:rPr>
              <w:t xml:space="preserve">Python</w:t>
            </w:r>
          </w:p>
        </w:tc>
        <w:tc>
          <w:tcPr>
            <w:tcW w:type="dxa" w:w="1331"/>
            <w:tcMar>
              <w:top w:type="dxa" w:w="50"/>
              <w:left w:type="dxa" w:w="90"/>
              <w:bottom w:type="dxa" w:w="50"/>
              <w:right w:type="dxa" w:w="90"/>
            </w:tcMar>
            <w:vAlign w:val="center"/>
          </w:tcPr>
          <w:p>
            <w:pPr>
              <w:spacing w:after="0" w:before="0" w:line="260"/>
              <w:jc w:val="left"/>
            </w:pPr>
            <w:r>
              <w:rPr>
                <w:sz w:val="16"/>
                <w:szCs w:val="16"/>
              </w:rPr>
              <w:t xml:space="preserve">승인 로직, 반례</w:t>
            </w:r>
          </w:p>
        </w:tc>
        <w:tc>
          <w:tcPr>
            <w:tcW w:type="dxa" w:w="2074"/>
            <w:tcMar>
              <w:top w:type="dxa" w:w="50"/>
              <w:left w:type="dxa" w:w="90"/>
              <w:bottom w:type="dxa" w:w="50"/>
              <w:right w:type="dxa" w:w="90"/>
            </w:tcMar>
            <w:vAlign w:val="center"/>
          </w:tcPr>
          <w:p>
            <w:pPr>
              <w:spacing w:after="0" w:before="0" w:line="260"/>
              <w:jc w:val="left"/>
            </w:pPr>
            <w:r>
              <w:rPr>
                <w:sz w:val="16"/>
                <w:szCs w:val="16"/>
              </w:rPr>
              <w:t xml:space="preserve">전기 동특성과 미결합</w:t>
            </w:r>
          </w:p>
        </w:tc>
      </w:tr>
      <w:tr>
        <w:trPr>
          <w:cantSplit/>
        </w:trPr>
        <w:tc>
          <w:tcPr>
            <w:tcW w:type="dxa" w:w="1923"/>
            <w:tcMar>
              <w:top w:type="dxa" w:w="50"/>
              <w:left w:type="dxa" w:w="90"/>
              <w:bottom w:type="dxa" w:w="50"/>
              <w:right w:type="dxa" w:w="90"/>
            </w:tcMar>
            <w:vAlign w:val="center"/>
          </w:tcPr>
          <w:p>
            <w:pPr>
              <w:spacing w:after="0" w:before="0" w:line="260"/>
              <w:jc w:val="left"/>
            </w:pPr>
            <w:r>
              <w:rPr>
                <w:sz w:val="16"/>
                <w:szCs w:val="16"/>
              </w:rPr>
              <w:t xml:space="preserve">본 보고서 추가 분석</w:t>
            </w:r>
          </w:p>
        </w:tc>
        <w:tc>
          <w:tcPr>
            <w:tcW w:type="dxa" w:w="2293"/>
            <w:tcMar>
              <w:top w:type="dxa" w:w="50"/>
              <w:left w:type="dxa" w:w="90"/>
              <w:bottom w:type="dxa" w:w="50"/>
              <w:right w:type="dxa" w:w="90"/>
            </w:tcMar>
            <w:vAlign w:val="center"/>
          </w:tcPr>
          <w:p>
            <w:pPr>
              <w:spacing w:after="0" w:before="0" w:line="260"/>
              <w:jc w:val="left"/>
            </w:pPr>
            <w:r>
              <w:rPr>
                <w:sz w:val="16"/>
                <w:szCs w:val="16"/>
              </w:rPr>
              <w:t xml:space="preserve">6상태 모델의 정상상태 스윕, 코너 여유, 과도 허용 전력</w:t>
            </w:r>
          </w:p>
        </w:tc>
        <w:tc>
          <w:tcPr>
            <w:tcW w:type="dxa" w:w="1405"/>
            <w:tcMar>
              <w:top w:type="dxa" w:w="50"/>
              <w:left w:type="dxa" w:w="90"/>
              <w:bottom w:type="dxa" w:w="50"/>
              <w:right w:type="dxa" w:w="90"/>
            </w:tcMar>
            <w:vAlign w:val="center"/>
          </w:tcPr>
          <w:p>
            <w:pPr>
              <w:spacing w:after="0" w:before="0" w:line="260"/>
              <w:jc w:val="left"/>
            </w:pPr>
            <w:r>
              <w:rPr>
                <w:sz w:val="16"/>
                <w:szCs w:val="16"/>
              </w:rPr>
              <w:t xml:space="preserve">Python</w:t>
            </w:r>
          </w:p>
        </w:tc>
        <w:tc>
          <w:tcPr>
            <w:tcW w:type="dxa" w:w="1331"/>
            <w:tcMar>
              <w:top w:type="dxa" w:w="50"/>
              <w:left w:type="dxa" w:w="90"/>
              <w:bottom w:type="dxa" w:w="50"/>
              <w:right w:type="dxa" w:w="90"/>
            </w:tcMar>
            <w:vAlign w:val="center"/>
          </w:tcPr>
          <w:p>
            <w:pPr>
              <w:spacing w:after="0" w:before="0" w:line="260"/>
              <w:jc w:val="left"/>
            </w:pPr>
            <w:r>
              <w:rPr>
                <w:sz w:val="16"/>
                <w:szCs w:val="16"/>
              </w:rPr>
              <w:t xml:space="preserve">Q1·Q2 판단 근거</w:t>
            </w:r>
          </w:p>
        </w:tc>
        <w:tc>
          <w:tcPr>
            <w:tcW w:type="dxa" w:w="2074"/>
            <w:tcMar>
              <w:top w:type="dxa" w:w="50"/>
              <w:left w:type="dxa" w:w="90"/>
              <w:bottom w:type="dxa" w:w="50"/>
              <w:right w:type="dxa" w:w="90"/>
            </w:tcMar>
            <w:vAlign w:val="center"/>
          </w:tcPr>
          <w:p>
            <w:pPr>
              <w:spacing w:after="0" w:before="0" w:line="260"/>
              <w:jc w:val="left"/>
            </w:pPr>
            <w:r>
              <w:rPr>
                <w:sz w:val="16"/>
                <w:szCs w:val="16"/>
              </w:rPr>
              <w:t xml:space="preserve">MATLAB 교차검증 예정</w:t>
            </w:r>
          </w:p>
        </w:tc>
      </w:tr>
    </w:tbl>
    <w:p>
      <w:pPr>
        <w:pStyle w:val="SourceNote"/>
      </w:pPr>
      <w:r>
        <w:t xml:space="preserve">자료: 저장소 python/, matlab/, validation/(v1.0-interim)과 validation/2026-09-25-final-report/를 바탕으로 저자 작성.</w:t>
      </w:r>
    </w:p>
    <w:p>
      <w:pPr>
        <w:jc w:val="both"/>
      </w:pPr>
      <w:r>
        <w:t xml:space="preserve">Simulink 4상태 평균모델(prism_pprc_average_tb.slx)과 Python 오일러 구현의 버스전압 최대차이 0.40 V는 전압강하(약 4.7 V)의 8 % 수준으로 작지 않으며 원인을 아직 규명하지 않았으므로, 이 모델은 최신 결과의 근거로 쓰지 않는다. Stage A·B·C의 Simscape 스위칭 모델은 아직 구축하지 않았다.</w:t>
      </w:r>
    </w:p>
    <w:p>
      <w:pPr>
        <w:pStyle w:val="Heading2"/>
      </w:pPr>
      <w:r>
        <w:t xml:space="preserve">5.2 초기 모델의 문제와 보완</w:t>
      </w:r>
    </w:p>
    <w:p>
      <w:pPr>
        <w:jc w:val="both"/>
      </w:pPr>
      <w:r>
        <w:t xml:space="preserve">초기 PPRC 평균모델은 DAB가 400 V 버스에서 소비하는 입력전력을 전력수지에 충분히 반영하지 않아 경로전류와 처리전력을 낮게 계산했다. 이를 보완한 뒤 648 V·25 kW의 처리전력은 약 4.8 kW에서 약 6.0 kW로 증가했고 정격 여유도 작아졌다. 이후 Stage B를 이상 직렬 전류원이 아니라 100 V 링크와 H-브리지 필터를 상태로 포함한 모델로 바꾸고, 링크전류 80 A, 경로전류 100 A, 변조율, 링크전압과 8 kW 전력한계를 분리해 판정했다. 또한 명령값만 제한하고 실제 상태는 강제로 잘라내지 않아 과부하와 지연으로 발생하는 정격 위반을 그대로 검출하도록 했다.</w:t>
      </w:r>
    </w:p>
    <w:p>
      <w:pPr>
        <w:jc w:val="both"/>
      </w:pPr>
      <w:r>
        <w:t xml:space="preserve">Stage A에서는 역방향 ZCS 검출의 극성 오류를 수정했고, 충전 평균모델에는 150 kW 전력상한과 375 A 전류상한을 함께 적용했다. 고전압 입력 커패시터의 500 V 정격 오류는 1,200 V급 잠정 사양으로 정정했다(부품 선정은 남음). SALS는 통신·부하 지연 범위를 반영하도록 최악값 창을 수정했으나 부하가 관측보다 먼저 시작할 수 있는 인과성 문제가 남아, 이를 고정 반례로 시험에 포함했다. 기존의 “300회 실패 없음”은 전압 안정성 보장이 아니라 축약 부하 스케줄에서 전류정격 초과가 관측되지 않았다는 통계로 범위를 좁혔다.</w:t>
      </w:r>
    </w:p>
    <w:p>
      <w:pPr>
        <w:jc w:val="both"/>
      </w:pPr>
      <w:r>
        <w:t xml:space="preserve">초기 계획의 WP4.5는 학습 기반 선행 조정 계층(Anticipatory Regulation Layer, ARL)이었다. ARL은 GRU·TCN 분위수 예측기로 부하 변동을 예측해 조정단에 피드포워드와 사전 승압을 주고, 2단계로 모델예측제어를 붙이는 구상이었다. 검증 결과 상태궤환 제어만으로 60 A급 스텝의 전압강하 기준을 만족했고, 커패시터 축소는 DAB 지연 때문에 불가능했으며, 학습 예측기의 정확도는 단순 지속 예측과 같았고, 점추정·분위수 예측은 서지를 놓쳐 버스 붕괴를 막지 못했다. 이에 따라 예측 피드포워드를 폐기하고, 정격과 관측 인과성을 먼저 다루는 부하 승인 계층 SALS로 범위를 바꾸었다. 같은 검토 과정에서 충전 바이패스를 폐지하고 충전기 접속점을 V_A로 옮겼으며, Stage B를 DAB–100 V 링크–H-브리지의 2단 구조로 바꾸었다.</w:t>
      </w:r>
    </w:p>
    <w:p>
      <w:pPr>
        <w:pStyle w:val="Heading2"/>
      </w:pPr>
      <w:r>
        <w:t xml:space="preserve">5.3 판정 기준과 지연 모델</w:t>
      </w:r>
    </w:p>
    <w:p>
      <w:pPr>
        <w:jc w:val="both"/>
      </w:pPr>
      <w:r>
        <w:t xml:space="preserve">공통 제어기 시험은 미리 충전된 평형점에서 시작해 1 ms에 정전력 부하를 변경하고 20 ms까지 계산한다. “60 A 시험”은 400 V 기준 1 kW에서 25 kW로 증가하는 24 kW 부하변화, 즉 60 A 상당의 정전력 스텝을 뜻한다. 모든 순간에 부하전류가 정확히 60 A만큼 변하는 시험은 아니다. 전압과 포트 판정 기준은 표 2와 같고, 적분간격은 0.2 µs(전달지연 스윕만 0.1 µs)다.</w:t>
      </w:r>
    </w:p>
    <w:p>
      <w:pPr>
        <w:jc w:val="both"/>
      </w:pPr>
      <w:r>
        <w:t xml:space="preserve">지연은 세 요소로 모델링했다. 제어기는 5 µs마다 지령을 계산해 다음 갱신까지 유지하며(영차유지, 평균 약 2.5 µs), 계산된 지령은 5 µs의 전달지연을 거쳐 적용되고, DAB 링크전류는 시정수 10 µs의 1차 응답으로 지령을 따른다. 영차유지와 전달지연을 합한 등가 지연은 약 7.5 µs로, 통상적인 디지털 제어 지연 가정(연산 1주기와 변조 갱신 반주기)과 같은 수준이다. 따라서 6.5절의 추가 지연 여유는 ADC 변환, 센서 필터, 게이트 구동, DAB 위상 갱신처럼 이 모델에 포함되지 않은 지연을 모두 흡수해야 한다.</w:t>
      </w:r>
    </w:p>
    <w:p>
      <w:pPr>
        <w:pStyle w:val="Heading1"/>
      </w:pPr>
      <w:r>
        <w:t xml:space="preserve">6. 검증 결과 및 공학적 분석</w:t>
      </w:r>
    </w:p>
    <w:p>
      <w:pPr>
        <w:pStyle w:val="Heading2"/>
      </w:pPr>
      <w:r>
        <w:t xml:space="preserve">6.1 모델 내부 정합성</w:t>
      </w:r>
    </w:p>
    <w:p>
      <w:pPr>
        <w:jc w:val="both"/>
      </w:pPr>
      <w:r>
        <w:t xml:space="preserve">유한 링크 2단 모델은 저장에너지와 포트 전력을 이용한 에너지 보존 검산(임의 상태 1,000개), 정상상태 잔차 검사(24개 평형점)와 적분간격 축소 시험을 통과했다. 640 V 정격 사례에서 적분간격을 0.2 µs에서 0.1 µs로 줄였을 때 버스파형 차이는 1 mV보다 작았다. 이 수치는 방정식과 수치 구현의 내부 일관성을 보여 줄 뿐, 실제 부품 오차나 손실모델의 정확도를 나타내지 않는다. 세부 수치는 부록 C의 근거 파일에 있다.</w:t>
      </w:r>
    </w:p>
    <w:p>
      <w:pPr>
        <w:pStyle w:val="Heading2"/>
      </w:pPr>
      <w:r>
        <w:t xml:space="preserve">6.2 초기 2단 모델의 동적 시험</w:t>
      </w:r>
    </w:p>
    <w:p>
      <w:pPr>
        <w:jc w:val="both"/>
      </w:pPr>
      <w:r>
        <w:t xml:space="preserve">운전점별로 제어이득을 계산한 초기 2단 모델은 640–920 V의 5→25 kW 부하 증가, 부하 제거, 회생 전환과 직렬전압 0 V 통과를 포함한 정상 요구조건 10건을 통과했고, 과부하와 제어 여유 제거를 포함한 2건은 예상대로 위반을 검출했다. 640 V에서 전류지령 상한을 84 A에서 100 A로 높인 사례는 버스전압 기준을 만족했지만 실제 경로전류가 106.9 A에 도달했다. 648 V에서 20→36 kW로 증가한 사례는 버스전압 최대강하 285.5 V, 경로전류 피크 243.0 A로 실패했다. 따라서 전압 파형만으로 설계를 판정할 수 없으며 실제 전류, 전력과 변조 한계를 별도로 감시해야 한다. 초기 12개 사례의 Python과 MATLAB 결과는 수치 정밀도 범위에서 일치했다.</w:t>
      </w:r>
    </w:p>
    <w:p>
      <w:pPr>
        <w:pStyle w:val="Heading2"/>
      </w:pPr>
      <w:r>
        <w:t xml:space="preserve">6.3 공통 고정이득 제어기</w:t>
      </w:r>
    </w:p>
    <w:p>
      <w:pPr>
        <w:jc w:val="both"/>
      </w:pPr>
      <w:r>
        <w:t xml:space="preserve">초기 검증은 운전점마다 제어이득을 다시 계산했기 때문에 하나의 실제 제어기로 넓은 배터리 범위를 담당할 수 있는지 답하지 못했다. 후속 검증에서는 788 V·5 kW 설계점에서 한 번 계산한 5개 상태궤환·적분 이득을 모든 시험에 동일하게 적용했다. 극배치 주파수 파라미터는 4.8 kHz이며 실제 폐루프 대역폭의 측정값이 아니다.</w:t>
      </w:r>
    </w:p>
    <w:p>
      <w:pPr>
        <w:jc w:val="both"/>
      </w:pPr>
      <w:r>
        <w:t xml:space="preserve">640–920 V의 10 V 간격 29점과 648 V, 788 V, 907 V를 더한 32개 전압점에서 1→25 kW 부하 증가가 모두 통과했다. 5→25 kW 증가 3건, 25→1 kW 부하 제거 3건, 회생과 직렬전압 0 V 통과 3건을 포함한 정상시험 41건이 모두 기준을 충족했다. 대표 결과는 표 9와 그림 4와 같다.</w:t>
      </w:r>
    </w:p>
    <w:p>
      <w:pPr>
        <w:pStyle w:val="Caption"/>
        <w:keepNext/>
        <w:keepLines/>
        <w:jc w:val="center"/>
      </w:pPr>
      <w:r>
        <w:t xml:space="preserve">표 9. 공통 고정이득 제어기의 대표 결과(1→25 kW)</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805"/>
        <w:gridCol w:w="1805"/>
        <w:gridCol w:w="1805"/>
        <w:gridCol w:w="1805"/>
        <w:gridCol w:w="1806"/>
      </w:tblGrid>
      <w:tr>
        <w:trPr>
          <w:cantSplit/>
          <w:tblHeader/>
        </w:trPr>
        <w:tc>
          <w:tcPr>
            <w:tcW w:type="dxa" w:w="1805"/>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배터리 전압</w:t>
            </w:r>
          </w:p>
        </w:tc>
        <w:tc>
          <w:tcPr>
            <w:tcW w:type="dxa" w:w="1805"/>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최대 전압강하</w:t>
            </w:r>
          </w:p>
        </w:tc>
        <w:tc>
          <w:tcPr>
            <w:tcW w:type="dxa" w:w="1805"/>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경로전류 피크</w:t>
            </w:r>
          </w:p>
        </w:tc>
        <w:tc>
          <w:tcPr>
            <w:tcW w:type="dxa" w:w="1805"/>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±4 V 회복시간</w:t>
            </w:r>
          </w:p>
        </w:tc>
        <w:tc>
          <w:tcPr>
            <w:tcW w:type="dxa" w:w="1806"/>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판정</w:t>
            </w:r>
          </w:p>
        </w:tc>
      </w:tr>
      <w:tr>
        <w:trPr>
          <w:cantSplit/>
        </w:trPr>
        <w:tc>
          <w:tcPr>
            <w:tcW w:type="dxa" w:w="1805"/>
            <w:tcMar>
              <w:top w:type="dxa" w:w="50"/>
              <w:left w:type="dxa" w:w="90"/>
              <w:bottom w:type="dxa" w:w="50"/>
              <w:right w:type="dxa" w:w="90"/>
            </w:tcMar>
            <w:vAlign w:val="center"/>
          </w:tcPr>
          <w:p>
            <w:pPr>
              <w:spacing w:after="0" w:before="0" w:line="260"/>
              <w:jc w:val="center"/>
            </w:pPr>
            <w:r>
              <w:rPr>
                <w:sz w:val="17"/>
                <w:szCs w:val="17"/>
              </w:rPr>
              <w:t xml:space="preserve">640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5.08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98.0 A</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353 µs</w:t>
            </w:r>
          </w:p>
        </w:tc>
        <w:tc>
          <w:tcPr>
            <w:tcW w:type="dxa" w:w="1806"/>
            <w:tcMar>
              <w:top w:type="dxa" w:w="50"/>
              <w:left w:type="dxa" w:w="90"/>
              <w:bottom w:type="dxa" w:w="50"/>
              <w:right w:type="dxa" w:w="90"/>
            </w:tcMar>
            <w:vAlign w:val="center"/>
          </w:tcPr>
          <w:p>
            <w:pPr>
              <w:spacing w:after="0" w:before="0" w:line="260"/>
              <w:jc w:val="center"/>
            </w:pPr>
            <w:r>
              <w:rPr>
                <w:sz w:val="17"/>
                <w:szCs w:val="17"/>
              </w:rPr>
              <w:t xml:space="preserve">통과</w:t>
            </w:r>
          </w:p>
        </w:tc>
      </w:tr>
      <w:tr>
        <w:trPr>
          <w:cantSplit/>
        </w:trPr>
        <w:tc>
          <w:tcPr>
            <w:tcW w:type="dxa" w:w="1805"/>
            <w:tcMar>
              <w:top w:type="dxa" w:w="50"/>
              <w:left w:type="dxa" w:w="90"/>
              <w:bottom w:type="dxa" w:w="50"/>
              <w:right w:type="dxa" w:w="90"/>
            </w:tcMar>
            <w:vAlign w:val="center"/>
          </w:tcPr>
          <w:p>
            <w:pPr>
              <w:spacing w:after="0" w:before="0" w:line="260"/>
              <w:jc w:val="center"/>
            </w:pPr>
            <w:r>
              <w:rPr>
                <w:sz w:val="17"/>
                <w:szCs w:val="17"/>
              </w:rPr>
              <w:t xml:space="preserve">648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4.92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97.7 A</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293 µs</w:t>
            </w:r>
          </w:p>
        </w:tc>
        <w:tc>
          <w:tcPr>
            <w:tcW w:type="dxa" w:w="1806"/>
            <w:tcMar>
              <w:top w:type="dxa" w:w="50"/>
              <w:left w:type="dxa" w:w="90"/>
              <w:bottom w:type="dxa" w:w="50"/>
              <w:right w:type="dxa" w:w="90"/>
            </w:tcMar>
            <w:vAlign w:val="center"/>
          </w:tcPr>
          <w:p>
            <w:pPr>
              <w:spacing w:after="0" w:before="0" w:line="260"/>
              <w:jc w:val="center"/>
            </w:pPr>
            <w:r>
              <w:rPr>
                <w:sz w:val="17"/>
                <w:szCs w:val="17"/>
              </w:rPr>
              <w:t xml:space="preserve">통과</w:t>
            </w:r>
          </w:p>
        </w:tc>
      </w:tr>
      <w:tr>
        <w:trPr>
          <w:cantSplit/>
        </w:trPr>
        <w:tc>
          <w:tcPr>
            <w:tcW w:type="dxa" w:w="1805"/>
            <w:tcMar>
              <w:top w:type="dxa" w:w="50"/>
              <w:left w:type="dxa" w:w="90"/>
              <w:bottom w:type="dxa" w:w="50"/>
              <w:right w:type="dxa" w:w="90"/>
            </w:tcMar>
            <w:vAlign w:val="center"/>
          </w:tcPr>
          <w:p>
            <w:pPr>
              <w:spacing w:after="0" w:before="0" w:line="260"/>
              <w:jc w:val="center"/>
            </w:pPr>
            <w:r>
              <w:rPr>
                <w:sz w:val="17"/>
                <w:szCs w:val="17"/>
              </w:rPr>
              <w:t xml:space="preserve">788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4.65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92.3 A</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74 µs</w:t>
            </w:r>
          </w:p>
        </w:tc>
        <w:tc>
          <w:tcPr>
            <w:tcW w:type="dxa" w:w="1806"/>
            <w:tcMar>
              <w:top w:type="dxa" w:w="50"/>
              <w:left w:type="dxa" w:w="90"/>
              <w:bottom w:type="dxa" w:w="50"/>
              <w:right w:type="dxa" w:w="90"/>
            </w:tcMar>
            <w:vAlign w:val="center"/>
          </w:tcPr>
          <w:p>
            <w:pPr>
              <w:spacing w:after="0" w:before="0" w:line="260"/>
              <w:jc w:val="center"/>
            </w:pPr>
            <w:r>
              <w:rPr>
                <w:sz w:val="17"/>
                <w:szCs w:val="17"/>
              </w:rPr>
              <w:t xml:space="preserve">통과</w:t>
            </w:r>
          </w:p>
        </w:tc>
      </w:tr>
      <w:tr>
        <w:trPr>
          <w:cantSplit/>
        </w:trPr>
        <w:tc>
          <w:tcPr>
            <w:tcW w:type="dxa" w:w="1805"/>
            <w:tcMar>
              <w:top w:type="dxa" w:w="50"/>
              <w:left w:type="dxa" w:w="90"/>
              <w:bottom w:type="dxa" w:w="50"/>
              <w:right w:type="dxa" w:w="90"/>
            </w:tcMar>
            <w:vAlign w:val="center"/>
          </w:tcPr>
          <w:p>
            <w:pPr>
              <w:spacing w:after="0" w:before="0" w:line="260"/>
              <w:jc w:val="center"/>
            </w:pPr>
            <w:r>
              <w:rPr>
                <w:sz w:val="17"/>
                <w:szCs w:val="17"/>
              </w:rPr>
              <w:t xml:space="preserve">907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4.51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87.3 A</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67 µs</w:t>
            </w:r>
          </w:p>
        </w:tc>
        <w:tc>
          <w:tcPr>
            <w:tcW w:type="dxa" w:w="1806"/>
            <w:tcMar>
              <w:top w:type="dxa" w:w="50"/>
              <w:left w:type="dxa" w:w="90"/>
              <w:bottom w:type="dxa" w:w="50"/>
              <w:right w:type="dxa" w:w="90"/>
            </w:tcMar>
            <w:vAlign w:val="center"/>
          </w:tcPr>
          <w:p>
            <w:pPr>
              <w:spacing w:after="0" w:before="0" w:line="260"/>
              <w:jc w:val="center"/>
            </w:pPr>
            <w:r>
              <w:rPr>
                <w:sz w:val="17"/>
                <w:szCs w:val="17"/>
              </w:rPr>
              <w:t xml:space="preserve">통과</w:t>
            </w:r>
          </w:p>
        </w:tc>
      </w:tr>
      <w:tr>
        <w:trPr>
          <w:cantSplit/>
        </w:trPr>
        <w:tc>
          <w:tcPr>
            <w:tcW w:type="dxa" w:w="1805"/>
            <w:tcMar>
              <w:top w:type="dxa" w:w="50"/>
              <w:left w:type="dxa" w:w="90"/>
              <w:bottom w:type="dxa" w:w="50"/>
              <w:right w:type="dxa" w:w="90"/>
            </w:tcMar>
            <w:vAlign w:val="center"/>
          </w:tcPr>
          <w:p>
            <w:pPr>
              <w:spacing w:after="0" w:before="0" w:line="260"/>
              <w:jc w:val="center"/>
            </w:pPr>
            <w:r>
              <w:rPr>
                <w:sz w:val="17"/>
                <w:szCs w:val="17"/>
              </w:rPr>
              <w:t xml:space="preserve">920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4.50 V</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86.7 A</w:t>
            </w:r>
          </w:p>
        </w:tc>
        <w:tc>
          <w:tcPr>
            <w:tcW w:type="dxa" w:w="1805"/>
            <w:tcMar>
              <w:top w:type="dxa" w:w="50"/>
              <w:left w:type="dxa" w:w="90"/>
              <w:bottom w:type="dxa" w:w="50"/>
              <w:right w:type="dxa" w:w="90"/>
            </w:tcMar>
            <w:vAlign w:val="center"/>
          </w:tcPr>
          <w:p>
            <w:pPr>
              <w:spacing w:after="0" w:before="0" w:line="260"/>
              <w:jc w:val="center"/>
            </w:pPr>
            <w:r>
              <w:rPr>
                <w:sz w:val="17"/>
                <w:szCs w:val="17"/>
              </w:rPr>
              <w:t xml:space="preserve">66 µs</w:t>
            </w:r>
          </w:p>
        </w:tc>
        <w:tc>
          <w:tcPr>
            <w:tcW w:type="dxa" w:w="1806"/>
            <w:tcMar>
              <w:top w:type="dxa" w:w="50"/>
              <w:left w:type="dxa" w:w="90"/>
              <w:bottom w:type="dxa" w:w="50"/>
              <w:right w:type="dxa" w:w="90"/>
            </w:tcMar>
            <w:vAlign w:val="center"/>
          </w:tcPr>
          <w:p>
            <w:pPr>
              <w:spacing w:after="0" w:before="0" w:line="260"/>
              <w:jc w:val="center"/>
            </w:pPr>
            <w:r>
              <w:rPr>
                <w:sz w:val="17"/>
                <w:szCs w:val="17"/>
              </w:rPr>
              <w:t xml:space="preserve">통과</w:t>
            </w:r>
          </w:p>
        </w:tc>
      </w:tr>
    </w:tbl>
    <w:p>
      <w:pPr>
        <w:pStyle w:val="SourceNote"/>
      </w:pPr>
      <w:r>
        <w:t xml:space="preserve">자료: validation/2026-09-22-fixed-control/python_results.json, matlab_results.json(v1.0-interim).</w:t>
      </w:r>
    </w:p>
    <w:p>
      <w:pPr>
        <w:keepNext/>
        <w:spacing w:after="60" w:before="120" w:line="240" w:lineRule="auto"/>
        <w:jc w:val="center"/>
      </w:pPr>
      <w:r>
        <w:drawing>
          <wp:inline distT="0" distB="0" distL="0" distR="0">
            <wp:extent cx="5581650" cy="1933575"/>
            <wp:effectExtent t="0" r="0" b="0" l="0"/>
            <wp:docPr id="1" name="fig4_traces.png" descr="그림 4. 공통 고정이득 제어기의 1→25 kW 스텝 응답(640·788·920 V)" title="그림 4. 공통 고정이득 제어기의 1→25 kW 스텝 응답(640·788·920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933575"/>
                    </a:xfrm>
                    <a:prstGeom prst="rect">
                      <a:avLst/>
                    </a:prstGeom>
                  </pic:spPr>
                </pic:pic>
              </a:graphicData>
            </a:graphic>
          </wp:inline>
        </w:drawing>
      </w:r>
    </w:p>
    <w:p>
      <w:pPr>
        <w:pStyle w:val="Caption"/>
        <w:keepNext/>
        <w:jc w:val="center"/>
      </w:pPr>
      <w:r>
        <w:t xml:space="preserve">그림 4. 공통 고정이득 제어기의 1→25 kW 스텝 응답(640·788·920 V)</w:t>
      </w:r>
    </w:p>
    <w:p>
      <w:pPr>
        <w:pStyle w:val="SourceNote"/>
      </w:pPr>
      <w:r>
        <w:t xml:space="preserve">자료: python/pprc_fixed_control.py(v1.0-interim)로 저자가 재계산해 작성. 점선은 400±4 V와 400±8 V, 붉은 점선은 경로전류 한계 100 A. 판정 수치는 20 ms 시험 결과(표 9)와 같다.</w:t>
      </w:r>
    </w:p>
    <w:p>
      <w:pPr>
        <w:jc w:val="both"/>
      </w:pPr>
      <w:r>
        <w:t xml:space="preserve">640 V의 회복시간이 920 V보다 약 5배 긴 것은 정상상태 경로전류(79.3 A)가 전류지령 포화값 84 A에 가까워, 버스와 직렬 커패시터를 재충전할 여유 전류가 수 A에 불과하기 때문이다. 그림 4(a)에서 640 V 파형이 거의 직선으로 복귀하는 것이 이 전류 제한 재충전을 보여 주며, 6.6절에서 640–700 V의 과도 허용 전력이 1 ms 회복 기준으로 제한되는 것과 같은 원인이다.</w:t>
      </w:r>
    </w:p>
    <w:p>
      <w:pPr>
        <w:pStyle w:val="Heading2"/>
      </w:pPr>
      <w:r>
        <w:t xml:space="preserve">6.4 640 V 코너의 여유와 한계의 공통 원인</w:t>
      </w:r>
    </w:p>
    <w:p>
      <w:pPr>
        <w:jc w:val="both"/>
      </w:pPr>
      <w:r>
        <w:t xml:space="preserve">640 V 정격 스텝에서는 모든 포트가 동시에 한계의 90 % 이상을 사용한다(표 10, 그림 5). 따라서 640 V는 운전범위의 하한일 뿐 아니라 모든 정격이 동시에 묶이는 설계 코너다.</w:t>
      </w:r>
    </w:p>
    <w:p>
      <w:pPr>
        <w:pStyle w:val="Caption"/>
        <w:keepNext/>
        <w:keepLines/>
        <w:jc w:val="center"/>
      </w:pPr>
      <w:r>
        <w:t xml:space="preserve">표 10. 640 V, 1→25 kW 시험의 포트별 피크와 여유</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3008"/>
        <w:gridCol w:w="1979"/>
        <w:gridCol w:w="1979"/>
        <w:gridCol w:w="2060"/>
      </w:tblGrid>
      <w:tr>
        <w:trPr>
          <w:cantSplit/>
          <w:tblHeader/>
        </w:trPr>
        <w:tc>
          <w:tcPr>
            <w:tcW w:type="dxa" w:w="3008"/>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항목</w:t>
            </w:r>
          </w:p>
        </w:tc>
        <w:tc>
          <w:tcPr>
            <w:tcW w:type="dxa" w:w="197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피크</w:t>
            </w:r>
          </w:p>
        </w:tc>
        <w:tc>
          <w:tcPr>
            <w:tcW w:type="dxa" w:w="197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한계</w:t>
            </w:r>
          </w:p>
        </w:tc>
        <w:tc>
          <w:tcPr>
            <w:tcW w:type="dxa" w:w="206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사용률</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경로전류</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98.0 A</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100 A</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98.0 %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H-브리지 필터전류</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87.4 A</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100 A</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87.4 %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DAB 링크전류</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74.4 A</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80 A</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93.0 %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DAB 링크전력</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7.41 kW</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 kW</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92.6 %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변조율</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0.880</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0.95</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92.6 %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직렬전압(포트 한계 기준)</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81.0 V</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90 V</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90.1 %</w:t>
            </w:r>
          </w:p>
        </w:tc>
      </w:tr>
      <w:tr>
        <w:trPr>
          <w:cantSplit/>
        </w:trPr>
        <w:tc>
          <w:tcPr>
            <w:tcW w:type="dxa" w:w="3008"/>
            <w:tcMar>
              <w:top w:type="dxa" w:w="50"/>
              <w:left w:type="dxa" w:w="90"/>
              <w:bottom w:type="dxa" w:w="50"/>
              <w:right w:type="dxa" w:w="90"/>
            </w:tcMar>
            <w:vAlign w:val="center"/>
          </w:tcPr>
          <w:p>
            <w:pPr>
              <w:spacing w:after="0" w:before="0" w:line="260"/>
              <w:jc w:val="left"/>
            </w:pPr>
            <w:r>
              <w:rPr>
                <w:sz w:val="17"/>
                <w:szCs w:val="17"/>
              </w:rPr>
              <w:t xml:space="preserve">직렬전압(링크 90 V일 때 상한 기준)</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81.0 V</w:t>
            </w:r>
          </w:p>
        </w:tc>
        <w:tc>
          <w:tcPr>
            <w:tcW w:type="dxa" w:w="1979"/>
            <w:tcMar>
              <w:top w:type="dxa" w:w="50"/>
              <w:left w:type="dxa" w:w="90"/>
              <w:bottom w:type="dxa" w:w="50"/>
              <w:right w:type="dxa" w:w="90"/>
            </w:tcMar>
            <w:vAlign w:val="center"/>
          </w:tcPr>
          <w:p>
            <w:pPr>
              <w:spacing w:after="0" w:before="0" w:line="260"/>
              <w:jc w:val="center"/>
            </w:pPr>
            <w:r>
              <w:rPr>
                <w:sz w:val="17"/>
                <w:szCs w:val="17"/>
              </w:rPr>
              <w:t xml:space="preserve">85.3 V</w:t>
            </w:r>
          </w:p>
        </w:tc>
        <w:tc>
          <w:tcPr>
            <w:tcW w:type="dxa" w:w="2060"/>
            <w:tcMar>
              <w:top w:type="dxa" w:w="50"/>
              <w:left w:type="dxa" w:w="90"/>
              <w:bottom w:type="dxa" w:w="50"/>
              <w:right w:type="dxa" w:w="90"/>
            </w:tcMar>
            <w:vAlign w:val="center"/>
          </w:tcPr>
          <w:p>
            <w:pPr>
              <w:spacing w:after="0" w:before="0" w:line="260"/>
              <w:jc w:val="center"/>
            </w:pPr>
            <w:r>
              <w:rPr>
                <w:sz w:val="17"/>
                <w:szCs w:val="17"/>
              </w:rPr>
              <w:t xml:space="preserve">95.0 %</w:t>
            </w:r>
          </w:p>
        </w:tc>
      </w:tr>
    </w:tbl>
    <w:p>
      <w:pPr>
        <w:pStyle w:val="SourceNote"/>
      </w:pPr>
      <w:r>
        <w:t xml:space="preserve">자료: validation/2026-09-25-final-report/report_analysis.json(corner_640V). 조건: 640 V, 1→25 kW, 공칭 파라미터, 20 ms. 링크전압 최저값은 99.5 V였다.</w:t>
      </w:r>
    </w:p>
    <w:p>
      <w:pPr>
        <w:keepNext/>
        <w:spacing w:after="60" w:before="120" w:line="240" w:lineRule="auto"/>
        <w:jc w:val="center"/>
      </w:pPr>
      <w:r>
        <w:drawing>
          <wp:inline distT="0" distB="0" distL="0" distR="0">
            <wp:extent cx="5581650" cy="1857375"/>
            <wp:effectExtent t="0" r="0" b="0" l="0"/>
            <wp:docPr id="1" name="fig5_corner.png" descr="그림 5. 640 V 정격 스텝에서 포트별 한계 대비 사용률" title="그림 5. 640 V 정격 스텝에서 포트별 한계 대비 사용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857375"/>
                    </a:xfrm>
                    <a:prstGeom prst="rect">
                      <a:avLst/>
                    </a:prstGeom>
                  </pic:spPr>
                </pic:pic>
              </a:graphicData>
            </a:graphic>
          </wp:inline>
        </w:drawing>
      </w:r>
    </w:p>
    <w:p>
      <w:pPr>
        <w:pStyle w:val="Caption"/>
        <w:keepNext/>
        <w:jc w:val="center"/>
      </w:pPr>
      <w:r>
        <w:t xml:space="preserve">그림 5. 640 V 정격 스텝에서 포트별 한계 대비 사용률</w:t>
      </w:r>
    </w:p>
    <w:p>
      <w:pPr>
        <w:pStyle w:val="SourceNote"/>
      </w:pPr>
      <w:r>
        <w:t xml:space="preserve">자료: 표 10과 같은 자료로 저자 작성.</w:t>
      </w:r>
    </w:p>
    <w:p>
      <w:pPr>
        <w:jc w:val="both"/>
      </w:pPr>
      <w:r>
        <w:t xml:space="preserve">세 가지 실패 결과는 이 코너의 전류 여유 부족이라는 같은 원인에서 나온다. 첫째, 공차시험 최대 99.95 A는 브리지 필터 인덕턴스 −10 %에서 경로전류 과도가 커진 결과다. 둘째, 전달지연 6.3 µs의 실패는 불안정이 아니라 지연이 늘면서 640 V 경로전류가 98.0 A에서 100.05 A로 연속적으로 증가해 한계를 넘은 것이다(6.5절). 셋째, 초기 모델에서 지령 상한을 100 A로 높이자 경로전류가 106.9 A가 된 것은 지령 포화값이 실제 경로전류를 제한하지 않음을 보여 준다. 따라서 재설계 목표는 개별 사례의 통과가 아니라 640 V 코너의 전류 여유를 정량 기준으로 확보하는 것이다(8.3절).</w:t>
      </w:r>
    </w:p>
    <w:p>
      <w:pPr>
        <w:pStyle w:val="Heading2"/>
      </w:pPr>
      <w:r>
        <w:t xml:space="preserve">6.5 공차와 지연 민감도</w:t>
      </w:r>
    </w:p>
    <w:p>
      <w:pPr>
        <w:jc w:val="both"/>
      </w:pPr>
      <w:r>
        <w:t xml:space="preserve">경로 인덕턴스, 직렬 커패시터, 버스 커패시터, 브리지 필터 인덕턴스, 링크 커패시터, 경로저항과 브리지 저항을 각각 하나씩 ±10 % 변경한 28건의 공차시험은 640 V와 920 V에서 모두 통과했다. 제어기에는 변경값을 알려주지 않았다. 최악 전압강하와 최대 회복시간은 640 V에서 경로 인덕턴스를 10 % 높인 사례의 5.49 V와 406 µs였고, 최대 경로전류는 640 V에서 브리지 필터 인덕턴스를 10 % 낮춘 사례의 99.95 A였다. 경계 사례는 적분간격을 절반으로 줄여도 99.95 A로 수렴했다. 한계까지 0.05 A밖에 남지 않으므로 스위칭 리플, 복합 공차, 센서 오차, 온도와 모델 불확실성을 수용할 여유가 없다.</w:t>
      </w:r>
    </w:p>
    <w:p>
      <w:pPr>
        <w:jc w:val="both"/>
      </w:pPr>
      <w:r>
        <w:t xml:space="preserve">DAB 전류응답 시정수를 10 µs에서 15 µs로 늘린 2건과 효율 가정을 96 %에서 94 %로 낮춘 2건은 통과했지만, 전달지연을 10 µs 또는 15 µs로 늘린 4건은 모두 실패했다. 제어기는 1차 응답 지연보다 순수 지연에 훨씬 민감하다. 5.0–10.0 µs 지연 스윕의 결과는 두 가지 실패 양상으로 나뉜다(표 11, 그림 6).</w:t>
      </w:r>
    </w:p>
    <w:p>
      <w:pPr>
        <w:pStyle w:val="Caption"/>
        <w:keepNext/>
        <w:keepLines/>
        <w:jc w:val="center"/>
      </w:pPr>
      <w:r>
        <w:t xml:space="preserve">표 11. 전달지연 스윕에서 나타난 실패 양상</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741"/>
        <w:gridCol w:w="3642"/>
        <w:gridCol w:w="3643"/>
      </w:tblGrid>
      <w:tr>
        <w:trPr>
          <w:cantSplit/>
          <w:tblHeader/>
        </w:trPr>
        <w:tc>
          <w:tcPr>
            <w:tcW w:type="dxa" w:w="174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전달지연</w:t>
            </w:r>
          </w:p>
        </w:tc>
        <w:tc>
          <w:tcPr>
            <w:tcW w:type="dxa" w:w="3642"/>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640 V</w:t>
            </w:r>
          </w:p>
        </w:tc>
        <w:tc>
          <w:tcPr>
            <w:tcW w:type="dxa" w:w="3643"/>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920 V</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5.0 µs(공칭)</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통과, 경로전류 98.0 A</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통과, 경로전류 86.7 A</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6.2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통과, 경로전류 99.9 A</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통과, 경로전류 88.8 A</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6.3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실패: 경로전류 100.05 A(포트)</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통과, 경로전류 89.0 A</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6.5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실패: 경로전류 100.4 A(포트)</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실패: 마지막 1 ms 리플 0.41 V</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7.0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실패: 경로전류 101.2 A, 리플</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실패: 브리지 전류 105.1 A, 리플</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7.5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실패: 전압강하 8.3 V, 1 ms 내 미회복</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실패: 최종전압·회복 기준</w:t>
            </w:r>
          </w:p>
        </w:tc>
      </w:tr>
      <w:tr>
        <w:trPr>
          <w:cantSplit/>
        </w:trPr>
        <w:tc>
          <w:tcPr>
            <w:tcW w:type="dxa" w:w="1741"/>
            <w:tcMar>
              <w:top w:type="dxa" w:w="50"/>
              <w:left w:type="dxa" w:w="90"/>
              <w:bottom w:type="dxa" w:w="50"/>
              <w:right w:type="dxa" w:w="90"/>
            </w:tcMar>
            <w:vAlign w:val="center"/>
          </w:tcPr>
          <w:p>
            <w:pPr>
              <w:spacing w:after="0" w:before="0" w:line="260"/>
              <w:jc w:val="left"/>
            </w:pPr>
            <w:r>
              <w:rPr>
                <w:sz w:val="17"/>
                <w:szCs w:val="17"/>
              </w:rPr>
              <w:t xml:space="preserve">10 µs</w:t>
            </w:r>
          </w:p>
        </w:tc>
        <w:tc>
          <w:tcPr>
            <w:tcW w:type="dxa" w:w="3642"/>
            <w:tcMar>
              <w:top w:type="dxa" w:w="50"/>
              <w:left w:type="dxa" w:w="90"/>
              <w:bottom w:type="dxa" w:w="50"/>
              <w:right w:type="dxa" w:w="90"/>
            </w:tcMar>
            <w:vAlign w:val="center"/>
          </w:tcPr>
          <w:p>
            <w:pPr>
              <w:spacing w:after="0" w:before="0" w:line="260"/>
              <w:jc w:val="left"/>
            </w:pPr>
            <w:r>
              <w:rPr>
                <w:sz w:val="17"/>
                <w:szCs w:val="17"/>
              </w:rPr>
              <w:t xml:space="preserve">실패: 경로전류 170 A, 전압강하 128 V</w:t>
            </w:r>
          </w:p>
        </w:tc>
        <w:tc>
          <w:tcPr>
            <w:tcW w:type="dxa" w:w="3643"/>
            <w:tcMar>
              <w:top w:type="dxa" w:w="50"/>
              <w:left w:type="dxa" w:w="90"/>
              <w:bottom w:type="dxa" w:w="50"/>
              <w:right w:type="dxa" w:w="90"/>
            </w:tcMar>
            <w:vAlign w:val="center"/>
          </w:tcPr>
          <w:p>
            <w:pPr>
              <w:spacing w:after="0" w:before="0" w:line="260"/>
              <w:jc w:val="left"/>
            </w:pPr>
            <w:r>
              <w:rPr>
                <w:sz w:val="17"/>
                <w:szCs w:val="17"/>
              </w:rPr>
              <w:t xml:space="preserve">실패: 경로전류 130 A, 브리지 전류 175 A</w:t>
            </w:r>
          </w:p>
        </w:tc>
      </w:tr>
    </w:tbl>
    <w:p>
      <w:pPr>
        <w:pStyle w:val="SourceNote"/>
      </w:pPr>
      <w:r>
        <w:t xml:space="preserve">자료: validation/2026-09-22-fixed-control/delay_sweep.json(v1.0-interim, Python, 적분간격 0.1 µs). 920 V·6.5 µs 리플 값은 본 보고서에서 재계산.</w:t>
      </w:r>
    </w:p>
    <w:p>
      <w:pPr>
        <w:keepNext/>
        <w:spacing w:after="60" w:before="120" w:line="240" w:lineRule="auto"/>
        <w:jc w:val="center"/>
      </w:pPr>
      <w:r>
        <w:drawing>
          <wp:inline distT="0" distB="0" distL="0" distR="0">
            <wp:extent cx="5581650" cy="2095500"/>
            <wp:effectExtent t="0" r="0" b="0" l="0"/>
            <wp:docPr id="1" name="fig6_delay.png" descr="그림 6. 전달지연에 따른 전류 피크(a)와 버스 전압강하(b)" title="그림 6. 전달지연에 따른 전류 피크(a)와 버스 전압강하(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095500"/>
                    </a:xfrm>
                    <a:prstGeom prst="rect">
                      <a:avLst/>
                    </a:prstGeom>
                  </pic:spPr>
                </pic:pic>
              </a:graphicData>
            </a:graphic>
          </wp:inline>
        </w:drawing>
      </w:r>
    </w:p>
    <w:p>
      <w:pPr>
        <w:pStyle w:val="Caption"/>
        <w:keepNext/>
        <w:jc w:val="center"/>
      </w:pPr>
      <w:r>
        <w:t xml:space="preserve">그림 6. 전달지연에 따른 전류 피크(a)와 버스 전압강하(b)</w:t>
      </w:r>
    </w:p>
    <w:p>
      <w:pPr>
        <w:pStyle w:val="SourceNote"/>
      </w:pPr>
      <w:r>
        <w:t xml:space="preserve">자료: validation/2026-09-22-fixed-control/delay_sweep.json(v1.0-interim)을 이용해 저자 작성. 음영은 6.2 µs 통과와 6.3 µs 실패 사이의 이산 경계.</w:t>
      </w:r>
    </w:p>
    <w:p>
      <w:pPr>
        <w:jc w:val="both"/>
      </w:pPr>
      <w:r>
        <w:t xml:space="preserve">640 V에서는 지연이 늘수록 경로전류가 연속적으로 증가해 6.3 µs에서 한계를 넘으며, 이때 버스전압 기준은 여전히 만족한다. 920 V에서는 전류가 한계 아래에 있지만 6.5 µs에서 마지막 1 ms 리플이 0.41 V로 기준을 넘어, 감쇠가 줄어드는 동특성 한계가 먼저 나타난다. 7.5 µs부터는 두 전압 모두 1 ms 회복과 최종전압 기준을 만족하지 못해 버스 조정을 잃는다.</w:t>
      </w:r>
    </w:p>
    <w:p>
      <w:pPr>
        <w:jc w:val="both"/>
      </w:pPr>
      <w:r>
        <w:t xml:space="preserve">따라서 현재 제어기의 여유는 두 지표로 나타낼 수 있다. 전류 여유는 640 V 공칭에서 약 2 A(98.0 A 대 100 A)이고, 감쇠·지연 여유는 공칭 5 µs 대비 약 1.5 µs(리플 기준)에서 2.5 µs(조정 상실)다. 시험한 두 공칭 사례의 공통 이산 경계는 6.2 µs 통과와 6.3 µs 실패 사이다. 이 값은 평균모델의 진단 결과이며 실제 디지털 제어기의 허용 총지연을 보증하지 않는다. 보호기가 없는 실패 시뮬레이션의 수백 A 전류는 허용 가능한 값이 아니라 제어 불안정과 정격 위반을 나타내는 실패 궤적이다.</w:t>
      </w:r>
    </w:p>
    <w:p>
      <w:pPr>
        <w:pStyle w:val="Heading2"/>
      </w:pPr>
      <w:r>
        <w:t xml:space="preserve">6.6 배터리 전압에 따른 과도 허용 전력</w:t>
      </w:r>
    </w:p>
    <w:p>
      <w:pPr>
        <w:jc w:val="both"/>
      </w:pPr>
      <w:r>
        <w:t xml:space="preserve">SALS의 승인 예산을 배터리 전압에 연결할 근거를 확인하기 위해, 공통 고정이득 제어기로 5 kW에서 스텝했을 때 20 ms 동안 모든 판정 기준을 만족하는 최대 최종전력을 배터리 전압별로 계산했다(공칭 파라미터, 0.25 kW 분해능 이분 탐색). 과도 허용 전력은 640 V 26.1 kW, 700 V 28.6 kW, 788 V 30.9 kW, 920 V 33.6 kW로 배터리 전압에 따라 약 7.5 kW 달라졌다(그림 7). 640–700 V에서는 1 ms 회복 기준이, 720–920 V에서는 경로전류 100 A가 먼저 제한했다. 이 결과는 기존 5→29 kW 시험에서 640 V만 실패하고 788 V와 920 V가 통과한 결과와 일치한다.</w:t>
      </w:r>
    </w:p>
    <w:p>
      <w:pPr>
        <w:keepNext/>
        <w:spacing w:after="60" w:before="120" w:line="240" w:lineRule="auto"/>
        <w:jc w:val="center"/>
      </w:pPr>
      <w:r>
        <w:drawing>
          <wp:inline distT="0" distB="0" distL="0" distR="0">
            <wp:extent cx="5581650" cy="2095500"/>
            <wp:effectExtent t="0" r="0" b="0" l="0"/>
            <wp:docPr id="1" name="fig7_capability.png" descr="그림 7. 공통 고정이득 제어기의 배터리 전압별 과도 허용 전력" title="그림 7. 공통 고정이득 제어기의 배터리 전압별 과도 허용 전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095500"/>
                    </a:xfrm>
                    <a:prstGeom prst="rect">
                      <a:avLst/>
                    </a:prstGeom>
                  </pic:spPr>
                </pic:pic>
              </a:graphicData>
            </a:graphic>
          </wp:inline>
        </w:drawing>
      </w:r>
    </w:p>
    <w:p>
      <w:pPr>
        <w:pStyle w:val="Caption"/>
        <w:keepNext/>
        <w:jc w:val="center"/>
      </w:pPr>
      <w:r>
        <w:t xml:space="preserve">그림 7. 공통 고정이득 제어기의 배터리 전압별 과도 허용 전력</w:t>
      </w:r>
    </w:p>
    <w:p>
      <w:pPr>
        <w:pStyle w:val="SourceNote"/>
      </w:pPr>
      <w:r>
        <w:t xml:space="preserve">자료: validation/2026-09-25-final-report/report_analysis.json(transient_capability_from_5kW)을 이용해 저자 작성. Python 단독 계산이며 MATLAB 교차검증 예정. 25 kW를 넘는 값은 20 ms 판정 구간에서 성립한 값으로 연속정격이 아니다.</w:t>
      </w:r>
    </w:p>
    <w:p>
      <w:pPr>
        <w:jc w:val="both"/>
      </w:pPr>
      <w:r>
        <w:t xml:space="preserve">반면 조정단의 정적 연속 한계는 625–920 V에서 정격 25 kW로 일정하다. 따라서 조정단의 전압 의존성은 정적 예산이 아니라 과도 여유에서 나타나며, 현재의 정적 예산 SALS는 이를 반영하지 못한다. 이 결과는 공칭 파라미터와 단일 스텝 조건의 계산이므로, 승인 규칙으로 쓰려면 공차·지연·연속 스텝을 포함한 보수 여유와 MATLAB 교차검증이 필요하다.</w:t>
      </w:r>
    </w:p>
    <w:p>
      <w:pPr>
        <w:pStyle w:val="Heading2"/>
      </w:pPr>
      <w:r>
        <w:t xml:space="preserve">6.7 시험군 요약</w:t>
      </w:r>
    </w:p>
    <w:p>
      <w:pPr>
        <w:jc w:val="both"/>
      </w:pPr>
      <w:r>
        <w:t xml:space="preserve">시험 목적과 제어기가 다른 시험군은 합산하지 않고 군별로 해석한다(표 12). 고정 제어기의 사전 정의 시험 80개 조건(정상 41, 공차 28, 과부하 3, 민감도 8)은 Python과 MATLAB의 통과·실패와 개별 한계 위반 판정이 모두 일치했으며, 지연 스윕은 Python 진단이다.</w:t>
      </w:r>
    </w:p>
    <w:p>
      <w:pPr>
        <w:pStyle w:val="Caption"/>
        <w:keepNext/>
        <w:keepLines/>
        <w:jc w:val="center"/>
      </w:pPr>
      <w:r>
        <w:t xml:space="preserve">표 12. 시험군별 결과</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741"/>
        <w:gridCol w:w="2691"/>
        <w:gridCol w:w="950"/>
        <w:gridCol w:w="2058"/>
        <w:gridCol w:w="1586"/>
      </w:tblGrid>
      <w:tr>
        <w:trPr>
          <w:cantSplit/>
          <w:tblHeader/>
        </w:trPr>
        <w:tc>
          <w:tcPr>
            <w:tcW w:type="dxa" w:w="174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구분</w:t>
            </w:r>
          </w:p>
        </w:tc>
        <w:tc>
          <w:tcPr>
            <w:tcW w:type="dxa" w:w="269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시험군</w:t>
            </w:r>
          </w:p>
        </w:tc>
        <w:tc>
          <w:tcPr>
            <w:tcW w:type="dxa" w:w="950"/>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건수</w:t>
            </w:r>
          </w:p>
        </w:tc>
        <w:tc>
          <w:tcPr>
            <w:tcW w:type="dxa" w:w="2058"/>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결과</w:t>
            </w:r>
          </w:p>
        </w:tc>
        <w:tc>
          <w:tcPr>
            <w:tcW w:type="dxa" w:w="1586"/>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해석</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요구조건 시험(고정 이득)</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정격 내 정상시험</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41</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41 통과</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요구조건 표본 통과</w:t>
            </w:r>
          </w:p>
        </w:tc>
      </w:tr>
      <w:tr>
        <w:trPr>
          <w:cantSplit/>
        </w:trPr>
        <w:tc>
          <w:tcPr>
            <w:tcW w:type="dxa" w:w="1741"/>
            <w:tcMar>
              <w:top w:type="dxa" w:w="50"/>
              <w:left w:type="dxa" w:w="90"/>
              <w:bottom w:type="dxa" w:w="50"/>
              <w:right w:type="dxa" w:w="90"/>
            </w:tcMar>
            <w:vAlign w:val="center"/>
          </w:tcPr>
          <w:p>
            <w:pPr>
              <w:spacing w:after="0" w:before="0" w:line="260"/>
              <w:jc w:val="left"/>
            </w:pPr>
          </w:p>
        </w:tc>
        <w:tc>
          <w:tcPr>
            <w:tcW w:type="dxa" w:w="2691"/>
            <w:tcMar>
              <w:top w:type="dxa" w:w="50"/>
              <w:left w:type="dxa" w:w="90"/>
              <w:bottom w:type="dxa" w:w="50"/>
              <w:right w:type="dxa" w:w="90"/>
            </w:tcMar>
            <w:vAlign w:val="center"/>
          </w:tcPr>
          <w:p>
            <w:pPr>
              <w:spacing w:after="0" w:before="0" w:line="260"/>
              <w:jc w:val="left"/>
            </w:pPr>
            <w:r>
              <w:rPr>
                <w:sz w:val="16"/>
                <w:szCs w:val="16"/>
              </w:rPr>
              <w:t xml:space="preserve">단일 변수 ±10 % 공차</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28</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28 통과</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복합 공차 미평가</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경계·진단 시험(고정 이득)</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5→29 kW 과부하</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3</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788·920 V 통과, 640 V 실패</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연속정격 승인 아님</w:t>
            </w:r>
          </w:p>
        </w:tc>
      </w:tr>
      <w:tr>
        <w:trPr>
          <w:cantSplit/>
        </w:trPr>
        <w:tc>
          <w:tcPr>
            <w:tcW w:type="dxa" w:w="1741"/>
            <w:tcMar>
              <w:top w:type="dxa" w:w="50"/>
              <w:left w:type="dxa" w:w="90"/>
              <w:bottom w:type="dxa" w:w="50"/>
              <w:right w:type="dxa" w:w="90"/>
            </w:tcMar>
            <w:vAlign w:val="center"/>
          </w:tcPr>
          <w:p>
            <w:pPr>
              <w:spacing w:after="0" w:before="0" w:line="260"/>
              <w:jc w:val="left"/>
            </w:pPr>
          </w:p>
        </w:tc>
        <w:tc>
          <w:tcPr>
            <w:tcW w:type="dxa" w:w="2691"/>
            <w:tcMar>
              <w:top w:type="dxa" w:w="50"/>
              <w:left w:type="dxa" w:w="90"/>
              <w:bottom w:type="dxa" w:w="50"/>
              <w:right w:type="dxa" w:w="90"/>
            </w:tcMar>
            <w:vAlign w:val="center"/>
          </w:tcPr>
          <w:p>
            <w:pPr>
              <w:spacing w:after="0" w:before="0" w:line="260"/>
              <w:jc w:val="left"/>
            </w:pPr>
            <w:r>
              <w:rPr>
                <w:sz w:val="16"/>
                <w:szCs w:val="16"/>
              </w:rPr>
              <w:t xml:space="preserve">DAB 시정수·효율 민감도</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4</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4 통과</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w:t>
            </w:r>
          </w:p>
        </w:tc>
      </w:tr>
      <w:tr>
        <w:trPr>
          <w:cantSplit/>
        </w:trPr>
        <w:tc>
          <w:tcPr>
            <w:tcW w:type="dxa" w:w="1741"/>
            <w:tcMar>
              <w:top w:type="dxa" w:w="50"/>
              <w:left w:type="dxa" w:w="90"/>
              <w:bottom w:type="dxa" w:w="50"/>
              <w:right w:type="dxa" w:w="90"/>
            </w:tcMar>
            <w:vAlign w:val="center"/>
          </w:tcPr>
          <w:p>
            <w:pPr>
              <w:spacing w:after="0" w:before="0" w:line="260"/>
              <w:jc w:val="left"/>
            </w:pPr>
          </w:p>
        </w:tc>
        <w:tc>
          <w:tcPr>
            <w:tcW w:type="dxa" w:w="2691"/>
            <w:tcMar>
              <w:top w:type="dxa" w:w="50"/>
              <w:left w:type="dxa" w:w="90"/>
              <w:bottom w:type="dxa" w:w="50"/>
              <w:right w:type="dxa" w:w="90"/>
            </w:tcMar>
            <w:vAlign w:val="center"/>
          </w:tcPr>
          <w:p>
            <w:pPr>
              <w:spacing w:after="0" w:before="0" w:line="260"/>
              <w:jc w:val="left"/>
            </w:pPr>
            <w:r>
              <w:rPr>
                <w:sz w:val="16"/>
                <w:szCs w:val="16"/>
              </w:rPr>
              <w:t xml:space="preserve">전달지연 10·15 µs</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4</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4 실패</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지연 여유 부족</w:t>
            </w:r>
          </w:p>
        </w:tc>
      </w:tr>
      <w:tr>
        <w:trPr>
          <w:cantSplit/>
        </w:trPr>
        <w:tc>
          <w:tcPr>
            <w:tcW w:type="dxa" w:w="1741"/>
            <w:tcMar>
              <w:top w:type="dxa" w:w="50"/>
              <w:left w:type="dxa" w:w="90"/>
              <w:bottom w:type="dxa" w:w="50"/>
              <w:right w:type="dxa" w:w="90"/>
            </w:tcMar>
            <w:vAlign w:val="center"/>
          </w:tcPr>
          <w:p>
            <w:pPr>
              <w:spacing w:after="0" w:before="0" w:line="260"/>
              <w:jc w:val="left"/>
            </w:pPr>
          </w:p>
        </w:tc>
        <w:tc>
          <w:tcPr>
            <w:tcW w:type="dxa" w:w="2691"/>
            <w:tcMar>
              <w:top w:type="dxa" w:w="50"/>
              <w:left w:type="dxa" w:w="90"/>
              <w:bottom w:type="dxa" w:w="50"/>
              <w:right w:type="dxa" w:w="90"/>
            </w:tcMar>
            <w:vAlign w:val="center"/>
          </w:tcPr>
          <w:p>
            <w:pPr>
              <w:spacing w:after="0" w:before="0" w:line="260"/>
              <w:jc w:val="left"/>
            </w:pPr>
            <w:r>
              <w:rPr>
                <w:sz w:val="16"/>
                <w:szCs w:val="16"/>
              </w:rPr>
              <w:t xml:space="preserve">전달지연 스윕 5.0–10.0 µs</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26</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6.2 µs까지 통과</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경계 진단(Python)</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초기 모델(운전점별 이득)</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정상 요구조건</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10</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10 통과</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이전 제어기</w:t>
            </w:r>
          </w:p>
        </w:tc>
      </w:tr>
      <w:tr>
        <w:trPr>
          <w:cantSplit/>
        </w:trPr>
        <w:tc>
          <w:tcPr>
            <w:tcW w:type="dxa" w:w="1741"/>
            <w:tcMar>
              <w:top w:type="dxa" w:w="50"/>
              <w:left w:type="dxa" w:w="90"/>
              <w:bottom w:type="dxa" w:w="50"/>
              <w:right w:type="dxa" w:w="90"/>
            </w:tcMar>
            <w:vAlign w:val="center"/>
          </w:tcPr>
          <w:p>
            <w:pPr>
              <w:spacing w:after="0" w:before="0" w:line="260"/>
              <w:jc w:val="left"/>
            </w:pPr>
          </w:p>
        </w:tc>
        <w:tc>
          <w:tcPr>
            <w:tcW w:type="dxa" w:w="2691"/>
            <w:tcMar>
              <w:top w:type="dxa" w:w="50"/>
              <w:left w:type="dxa" w:w="90"/>
              <w:bottom w:type="dxa" w:w="50"/>
              <w:right w:type="dxa" w:w="90"/>
            </w:tcMar>
            <w:vAlign w:val="center"/>
          </w:tcPr>
          <w:p>
            <w:pPr>
              <w:spacing w:after="0" w:before="0" w:line="260"/>
              <w:jc w:val="left"/>
            </w:pPr>
            <w:r>
              <w:rPr>
                <w:sz w:val="16"/>
                <w:szCs w:val="16"/>
              </w:rPr>
              <w:t xml:space="preserve">의도된 위반 검출</w:t>
            </w:r>
          </w:p>
        </w:tc>
        <w:tc>
          <w:tcPr>
            <w:tcW w:type="dxa" w:w="950"/>
            <w:tcMar>
              <w:top w:type="dxa" w:w="50"/>
              <w:left w:type="dxa" w:w="90"/>
              <w:bottom w:type="dxa" w:w="50"/>
              <w:right w:type="dxa" w:w="90"/>
            </w:tcMar>
            <w:vAlign w:val="center"/>
          </w:tcPr>
          <w:p>
            <w:pPr>
              <w:spacing w:after="0" w:before="0" w:line="260"/>
              <w:jc w:val="left"/>
            </w:pPr>
            <w:r>
              <w:rPr>
                <w:sz w:val="16"/>
                <w:szCs w:val="16"/>
              </w:rPr>
              <w:t xml:space="preserve">2</w:t>
            </w:r>
          </w:p>
        </w:tc>
        <w:tc>
          <w:tcPr>
            <w:tcW w:type="dxa" w:w="2058"/>
            <w:tcMar>
              <w:top w:type="dxa" w:w="50"/>
              <w:left w:type="dxa" w:w="90"/>
              <w:bottom w:type="dxa" w:w="50"/>
              <w:right w:type="dxa" w:w="90"/>
            </w:tcMar>
            <w:vAlign w:val="center"/>
          </w:tcPr>
          <w:p>
            <w:pPr>
              <w:spacing w:after="0" w:before="0" w:line="260"/>
              <w:jc w:val="left"/>
            </w:pPr>
            <w:r>
              <w:rPr>
                <w:sz w:val="16"/>
                <w:szCs w:val="16"/>
              </w:rPr>
              <w:t xml:space="preserve">2 검출</w:t>
            </w:r>
          </w:p>
        </w:tc>
        <w:tc>
          <w:tcPr>
            <w:tcW w:type="dxa" w:w="1586"/>
            <w:tcMar>
              <w:top w:type="dxa" w:w="50"/>
              <w:left w:type="dxa" w:w="90"/>
              <w:bottom w:type="dxa" w:w="50"/>
              <w:right w:type="dxa" w:w="90"/>
            </w:tcMar>
            <w:vAlign w:val="center"/>
          </w:tcPr>
          <w:p>
            <w:pPr>
              <w:spacing w:after="0" w:before="0" w:line="260"/>
              <w:jc w:val="left"/>
            </w:pPr>
            <w:r>
              <w:rPr>
                <w:sz w:val="16"/>
                <w:szCs w:val="16"/>
              </w:rPr>
              <w:t xml:space="preserve">위반 검출이 정상 결과</w:t>
            </w:r>
          </w:p>
        </w:tc>
      </w:tr>
    </w:tbl>
    <w:p>
      <w:pPr>
        <w:pStyle w:val="SourceNote"/>
      </w:pPr>
      <w:r>
        <w:t xml:space="preserve">자료: validation/2026-09-22-fixed-control/(cases.json, cross_language.json, delay_sweep.json), validation/2026-09-22-integration/(two_stage_cases.json, two_stage_cross_language.json)(v1.0-interim).</w:t>
      </w:r>
    </w:p>
    <w:p>
      <w:pPr>
        <w:pStyle w:val="Heading2"/>
      </w:pPr>
      <w:r>
        <w:t xml:space="preserve">6.8 SALS 인과성과 승인 가능조건</w:t>
      </w:r>
    </w:p>
    <w:p>
      <w:pPr>
        <w:jc w:val="both"/>
      </w:pPr>
      <w:r>
        <w:t xml:space="preserve">SALS의 최악값 창은 명령을 관측한 뒤 발생하는 부하를 보수적으로 다루도록 수정되었다. 그러나 물리적 부하가 명령 20 ms 뒤에 시작하고 통신 관측이 명령 30 ms 뒤이면 부하가 관측보다 10 ms 먼저 시작할 수 있다. 800 V 조건에서 이 반례를 재현했다(그림 8). 반례의 합산 요구전류 122.161 A는 표 13과 같이 두 성분으로 나뉜다.</w:t>
      </w:r>
    </w:p>
    <w:p>
      <w:pPr>
        <w:pStyle w:val="Caption"/>
        <w:keepNext/>
        <w:keepLines/>
        <w:jc w:val="center"/>
      </w:pPr>
      <w:r>
        <w:t xml:space="preserve">표 13. SALS 관측 전 사건 반례의 성분 분해(800 V)</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3167"/>
        <w:gridCol w:w="1741"/>
        <w:gridCol w:w="1900"/>
        <w:gridCol w:w="2218"/>
      </w:tblGrid>
      <w:tr>
        <w:trPr>
          <w:cantSplit/>
          <w:tblHeader/>
        </w:trPr>
        <w:tc>
          <w:tcPr>
            <w:tcW w:type="dxa" w:w="3167"/>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성분</w:t>
            </w:r>
          </w:p>
        </w:tc>
        <w:tc>
          <w:tcPr>
            <w:tcW w:type="dxa" w:w="174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요구전류</w:t>
            </w:r>
          </w:p>
        </w:tc>
        <w:tc>
          <w:tcPr>
            <w:tcW w:type="dxa" w:w="1900"/>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예산 59.375 A 대비</w:t>
            </w:r>
          </w:p>
        </w:tc>
        <w:tc>
          <w:tcPr>
            <w:tcW w:type="dxa" w:w="2218"/>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원인 분류</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기본부하 + V2L</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23.9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비지연</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컴프레서 서지</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59.5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비지연</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비지연 소계</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83.4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24.0 A 초과</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용량(관측 시점과 무관)</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관측 전 승인된 지연 가능 부하(PTC 17.5 A, 배터리 히터 17.5 A, 48 V 3.75 A)</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38.8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인과성(관측 전 10 ms 유지)</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합계(70–80 ms)</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122.2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62.8 A 초과</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용량 + 인과성</w:t>
            </w:r>
          </w:p>
        </w:tc>
      </w:tr>
      <w:tr>
        <w:trPr>
          <w:cantSplit/>
        </w:trPr>
        <w:tc>
          <w:tcPr>
            <w:tcW w:type="dxa" w:w="3167"/>
            <w:tcMar>
              <w:top w:type="dxa" w:w="50"/>
              <w:left w:type="dxa" w:w="90"/>
              <w:bottom w:type="dxa" w:w="50"/>
              <w:right w:type="dxa" w:w="90"/>
            </w:tcMar>
            <w:vAlign w:val="center"/>
          </w:tcPr>
          <w:p>
            <w:pPr>
              <w:spacing w:after="0" w:before="0" w:line="260"/>
              <w:jc w:val="left"/>
            </w:pPr>
            <w:r>
              <w:rPr>
                <w:sz w:val="17"/>
                <w:szCs w:val="17"/>
              </w:rPr>
              <w:t xml:space="preserve">관측 후(80–90 ms)</w:t>
            </w:r>
          </w:p>
        </w:tc>
        <w:tc>
          <w:tcPr>
            <w:tcW w:type="dxa" w:w="1741"/>
            <w:tcMar>
              <w:top w:type="dxa" w:w="50"/>
              <w:left w:type="dxa" w:w="90"/>
              <w:bottom w:type="dxa" w:w="50"/>
              <w:right w:type="dxa" w:w="90"/>
            </w:tcMar>
            <w:vAlign w:val="center"/>
          </w:tcPr>
          <w:p>
            <w:pPr>
              <w:spacing w:after="0" w:before="0" w:line="260"/>
              <w:jc w:val="center"/>
            </w:pPr>
            <w:r>
              <w:rPr>
                <w:sz w:val="17"/>
                <w:szCs w:val="17"/>
              </w:rPr>
              <w:t xml:space="preserve">87.3 A</w:t>
            </w:r>
          </w:p>
        </w:tc>
        <w:tc>
          <w:tcPr>
            <w:tcW w:type="dxa" w:w="1900"/>
            <w:tcMar>
              <w:top w:type="dxa" w:w="50"/>
              <w:left w:type="dxa" w:w="90"/>
              <w:bottom w:type="dxa" w:w="50"/>
              <w:right w:type="dxa" w:w="90"/>
            </w:tcMar>
            <w:vAlign w:val="center"/>
          </w:tcPr>
          <w:p>
            <w:pPr>
              <w:spacing w:after="0" w:before="0" w:line="260"/>
              <w:jc w:val="center"/>
            </w:pPr>
            <w:r>
              <w:rPr>
                <w:sz w:val="17"/>
                <w:szCs w:val="17"/>
              </w:rPr>
              <w:t xml:space="preserve">27.9 A 초과</w:t>
            </w:r>
          </w:p>
        </w:tc>
        <w:tc>
          <w:tcPr>
            <w:tcW w:type="dxa" w:w="2218"/>
            <w:tcMar>
              <w:top w:type="dxa" w:w="50"/>
              <w:left w:type="dxa" w:w="90"/>
              <w:bottom w:type="dxa" w:w="50"/>
              <w:right w:type="dxa" w:w="90"/>
            </w:tcMar>
            <w:vAlign w:val="center"/>
          </w:tcPr>
          <w:p>
            <w:pPr>
              <w:spacing w:after="0" w:before="0" w:line="260"/>
              <w:jc w:val="left"/>
            </w:pPr>
            <w:r>
              <w:rPr>
                <w:sz w:val="17"/>
                <w:szCs w:val="17"/>
              </w:rPr>
              <w:t xml:space="preserve">용량</w:t>
            </w:r>
          </w:p>
        </w:tc>
      </w:tr>
    </w:tbl>
    <w:p>
      <w:pPr>
        <w:pStyle w:val="SourceNote"/>
      </w:pPr>
      <w:r>
        <w:t xml:space="preserve">자료: python/validate_sals_contract.py, validation/2026-09-22-integration/sals_contract.json(v1.0-interim)을 본 보고서에서 성분별로 분해. 조건: 명령 50 ms, 서지 시작 70 ms, 관측 80 ms. 값은 400 V 기준 축약 부하 스케줄의 요구전류이며 Stage B 경로전류가 아니다.</w:t>
      </w:r>
    </w:p>
    <w:p>
      <w:pPr>
        <w:keepNext/>
        <w:spacing w:after="60" w:before="120" w:line="240" w:lineRule="auto"/>
        <w:jc w:val="center"/>
      </w:pPr>
      <w:r>
        <w:drawing>
          <wp:inline distT="0" distB="0" distL="0" distR="0">
            <wp:extent cx="5581650" cy="2171700"/>
            <wp:effectExtent t="0" r="0" b="0" l="0"/>
            <wp:docPr id="1" name="fig8_sals.png" descr="그림 8. SALS 관측 전 사건의 요구전류 구성(800 V)" title="그림 8. SALS 관측 전 사건의 요구전류 구성(800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171700"/>
                    </a:xfrm>
                    <a:prstGeom prst="rect">
                      <a:avLst/>
                    </a:prstGeom>
                  </pic:spPr>
                </pic:pic>
              </a:graphicData>
            </a:graphic>
          </wp:inline>
        </w:drawing>
      </w:r>
    </w:p>
    <w:p>
      <w:pPr>
        <w:pStyle w:val="Caption"/>
        <w:keepNext/>
        <w:jc w:val="center"/>
      </w:pPr>
      <w:r>
        <w:t xml:space="preserve">그림 8. SALS 관측 전 사건의 요구전류 구성(800 V)</w:t>
      </w:r>
    </w:p>
    <w:p>
      <w:pPr>
        <w:pStyle w:val="SourceNote"/>
      </w:pPr>
      <w:r>
        <w:t xml:space="preserve">자료: python/sals_montecarlo.py의 스케줄 함수와 validate_sals_contract.py의 사건 조건(v1.0-interim)으로 저자가 재계산해 작성.</w:t>
      </w:r>
    </w:p>
    <w:p>
      <w:pPr>
        <w:jc w:val="both"/>
      </w:pPr>
      <w:r>
        <w:t xml:space="preserve">비지연 부하 83.4 A는 정적 예산보다 24.0 A 크므로 이 부분은 관측 시점과 무관한 용량 문제다. 나머지 38.8 A는 컴프레서 명령을 관측하기 전에 승인된 지연 가능 부하가 관측 전 10 ms 동안 유지된 것으로, 관측 지연에 따른 인과성 문제다. 관측 후에는 지연 가능 부하가 3.84 A로 줄지만 비지연 서지 때문에 합산 요구전류는 87.3 A로 여전히 예산을 넘는다.</w:t>
      </w:r>
    </w:p>
    <w:p>
      <w:pPr>
        <w:jc w:val="both"/>
      </w:pPr>
      <w:r>
        <w:t xml:space="preserve">또한 이 반례의 사전 승인은 이전 창 기반 스케줄러(400 V 기준 95 A 상한)로 계산되었기 때문에, 서지 전에도 합산 요구전류가 62.7 A로 현재의 정적 예산을 넘는다. 따라서 이 반례는 “관측 시점부터 창을 시작하는 것만으로는 인과성을 보장할 수 없다”는 결론을 지지하지만, 현재 정적 예산 SALS의 인과성 문제만 분리한 사례는 아니다. 인과성만 분리한 반례는 비지연 부하가 예산 안에 드는 부하 정의를 확정한 뒤(3.5절) 다시 구성한다. 인과성 부분은 부하 측 ECU의 사전 승인 절차 또는 상시 예비용량으로, 용량 부분은 단시간 정격·소프트스타트·운전범위 정의로 해결해야 한다.</w:t>
      </w:r>
    </w:p>
    <w:p>
      <w:pPr>
        <w:jc w:val="both"/>
      </w:pPr>
      <w:r>
        <w:t xml:space="preserve">정상 조건의 예로 648 V, 비지연 부하 25 A에서는 PTC 히터 17.5 A와 배터리 히터 16.875 A를 승인하고 48 V 저우선 부하는 보류한다. 이 승인은 정적 예산 기준이며 전압 안전성을 검증한 결과가 아니다.</w:t>
      </w:r>
    </w:p>
    <w:p>
      <w:pPr>
        <w:pStyle w:val="Heading1"/>
      </w:pPr>
      <w:r>
        <w:t xml:space="preserve">7. 현재까지의 성과, 한계 및 기술 성숙도</w:t>
      </w:r>
    </w:p>
    <w:p>
      <w:pPr>
        <w:pStyle w:val="Heading2"/>
      </w:pPr>
      <w:r>
        <w:t xml:space="preserve">7.1 현재까지 확보한 성과</w:t>
      </w:r>
    </w:p>
    <w:p>
      <w:pPr>
        <w:pStyle w:val="ListParagraph"/>
        <w:numPr>
          <w:ilvl w:val="0"/>
          <w:numId w:val="2"/>
        </w:numPr>
        <w:spacing w:after="60"/>
        <w:jc w:val="both"/>
      </w:pPr>
      <w:r>
        <w:t xml:space="preserve">Stage B의 DAB 입력전력, 유한 링크 저장에너지와 방향별 효율을 반영한 에너지 보존 평균모델과 포트별 정격 판정 체계를 구축했다.</w:t>
      </w:r>
    </w:p>
    <w:p>
      <w:pPr>
        <w:pStyle w:val="ListParagraph"/>
        <w:numPr>
          <w:ilvl w:val="0"/>
          <w:numId w:val="2"/>
        </w:numPr>
        <w:spacing w:after="60"/>
        <w:jc w:val="both"/>
      </w:pPr>
      <w:r>
        <w:t xml:space="preserve">25 kW 보조버스에서 Stage B 처리전력이 최대 6.44 kW(25.7 %)이고 충전전류가 조정단을 지나지 않음을 평균모델에서 확인했다(가설 H1의 부분 근거).</w:t>
      </w:r>
    </w:p>
    <w:p>
      <w:pPr>
        <w:pStyle w:val="ListParagraph"/>
        <w:numPr>
          <w:ilvl w:val="0"/>
          <w:numId w:val="2"/>
        </w:numPr>
        <w:spacing w:after="60"/>
        <w:jc w:val="both"/>
      </w:pPr>
      <w:r>
        <w:t xml:space="preserve">하나의 고정 제어이득으로 공칭 지연 조건의 정상시험 41건(회생·0 V 통과 포함)과 단일 변수 공차시험 28건을 통과했고, 640 V 코너 여유·지연 실패 양상·전압별 과도 허용 전력을 정량화해 재설계 목표를 정했다.</w:t>
      </w:r>
    </w:p>
    <w:p>
      <w:pPr>
        <w:pStyle w:val="ListParagraph"/>
        <w:numPr>
          <w:ilvl w:val="0"/>
          <w:numId w:val="2"/>
        </w:numPr>
        <w:spacing w:after="60"/>
        <w:jc w:val="both"/>
      </w:pPr>
      <w:r>
        <w:t xml:space="preserve">Stage A 스위칭 ODE 모델에서 위상별 자기발진 영교차 추종으로 정·역방향 공차 표본의 ZCS를 확보했다.</w:t>
      </w:r>
    </w:p>
    <w:p>
      <w:pPr>
        <w:pStyle w:val="ListParagraph"/>
        <w:numPr>
          <w:ilvl w:val="0"/>
          <w:numId w:val="2"/>
        </w:numPr>
        <w:spacing w:after="60"/>
        <w:jc w:val="both"/>
      </w:pPr>
      <w:r>
        <w:t xml:space="preserve">실패 조건(과부하, 제어 여유 제거, 추가 지연, SALS 관측 전 사건)을 회귀시험으로 보존하고, Python·MATLAB 별도 구현으로 판정 재현성을 확인했다.</w:t>
      </w:r>
    </w:p>
    <w:p>
      <w:pPr>
        <w:pStyle w:val="Heading2"/>
      </w:pPr>
      <w:r>
        <w:t xml:space="preserve">7.2 남은 한계와 위험</w:t>
      </w:r>
    </w:p>
    <w:p>
      <w:pPr>
        <w:pStyle w:val="ListParagraph"/>
        <w:numPr>
          <w:ilvl w:val="0"/>
          <w:numId w:val="2"/>
        </w:numPr>
        <w:spacing w:after="60"/>
        <w:jc w:val="both"/>
      </w:pPr>
      <w:r>
        <w:t xml:space="preserve">요구사항: 보조버스 조정(400±8 V)의 근거, 부하 등급과 단시간 정격, 640 V 보장 하한이 확정되지 않았다. 스트레스 부하의 비지연 최악값(91.16 A)은 25 kW 연속정격을 넘는다.</w:t>
      </w:r>
    </w:p>
    <w:p>
      <w:pPr>
        <w:pStyle w:val="ListParagraph"/>
        <w:numPr>
          <w:ilvl w:val="0"/>
          <w:numId w:val="2"/>
        </w:numPr>
        <w:spacing w:after="60"/>
        <w:jc w:val="both"/>
      </w:pPr>
      <w:r>
        <w:t xml:space="preserve">제어 여유: 640 V 코너의 전류 여유가 약 2 A, 감쇠·지연 여유가 1.5–2.5 µs에 그친다. 공차시험은 단일 변수만 변경했으며, 복합 공차, 온도, 센서 오차와 잡음, 배터리 전압의 운전 중 변화와 실제 구동지연을 함께 적용하지 않았다.</w:t>
      </w:r>
    </w:p>
    <w:p>
      <w:pPr>
        <w:pStyle w:val="ListParagraph"/>
        <w:numPr>
          <w:ilvl w:val="0"/>
          <w:numId w:val="2"/>
        </w:numPr>
        <w:spacing w:after="60"/>
        <w:jc w:val="both"/>
      </w:pPr>
      <w:r>
        <w:t xml:space="preserve">모델 수준: 평균 H-브리지와 DAB 모델에는 PWM, 데드타임, 스위칭 리플, 소자 기생성분, 게이트 구동, 영전압 스위칭(Zero-Voltage Switching, ZVS), 고장 차단과 프리차지가 포함되지 않았다. 고정 96 % DAB 효율은 정밀 손실지도가 아니며, 2 mF 링크 커패시터와 5 µH 필터는 잠정 모델값이다.</w:t>
      </w:r>
    </w:p>
    <w:p>
      <w:pPr>
        <w:pStyle w:val="ListParagraph"/>
        <w:numPr>
          <w:ilvl w:val="0"/>
          <w:numId w:val="2"/>
        </w:numPr>
        <w:spacing w:after="60"/>
        <w:jc w:val="both"/>
      </w:pPr>
      <w:r>
        <w:t xml:space="preserve">통합: 충전기, Stage A, Stage B, 400 V 보조부하와 Stage C를 하나의 모델에서 연결한 모드 전환시험이 없다. 충전기 접속·해제, 적분기 초기화, 무충격 전환(bumpless transfer), 회생 중 고장과 보조전원 유지가 미검증이다.</w:t>
      </w:r>
    </w:p>
    <w:p>
      <w:pPr>
        <w:pStyle w:val="ListParagraph"/>
        <w:numPr>
          <w:ilvl w:val="0"/>
          <w:numId w:val="2"/>
        </w:numPr>
        <w:spacing w:after="60"/>
        <w:jc w:val="both"/>
      </w:pPr>
      <w:r>
        <w:t xml:space="preserve">SALS: 현재 구현은 전압과 무관한 정적 예산을 쓰며, 과도 허용 전력, 부하 등급별 최대 지연과 부하 측 ECU의 선행 승인 절차가 구현되지 않았다. 전압 안정성과 서비스 품질을 보증하지 않는다.</w:t>
      </w:r>
    </w:p>
    <w:p>
      <w:pPr>
        <w:pStyle w:val="ListParagraph"/>
        <w:numPr>
          <w:ilvl w:val="0"/>
          <w:numId w:val="2"/>
        </w:numPr>
        <w:spacing w:after="60"/>
        <w:jc w:val="both"/>
      </w:pPr>
      <w:r>
        <w:t xml:space="preserve">비교: 효율, 부피, 질량과 비용의 비교가 동일 조건의 기준 구조와 수행되지 않았다. 자기소자 정격의 감소를 제품 부피나 원가 감소로 직접 환산할 수 없으며, RSC의 커패시터, 공진 인덕터, 버스바, 구동기, 센서, 냉각과 전자기 간섭 대책을 모두 포함해야 한다.</w:t>
      </w:r>
    </w:p>
    <w:p>
      <w:pPr>
        <w:pStyle w:val="Heading2"/>
      </w:pPr>
      <w:r>
        <w:t xml:space="preserve">7.3 현재 기술성숙도 판정</w:t>
      </w:r>
    </w:p>
    <w:p>
      <w:pPr>
        <w:jc w:val="both"/>
      </w:pPr>
      <w:r>
        <w:t xml:space="preserve">현재 PRISM-Hub는 재현 가능한 평균모델, 스위칭 ODE 모델과 실패 회귀시험을 갖춘 시뮬레이션 기반 연구 개발 단계다. 전력수지와 Stage B 후보 제어기의 공칭 조건 운전 가능성은 확인됐으나, 스위칭 회로, 열, 보호, 전체 모드 통합, 시제품과 차량 검증은 후속 단계로 남아 있다.</w:t>
      </w:r>
    </w:p>
    <w:p>
      <w:pPr>
        <w:jc w:val="both"/>
      </w:pPr>
      <w:r>
        <w:t xml:space="preserve">현재 증거가 지지하는 결론은 “공칭 지연과 단일 변수 공차 조건에서 Stage B 2단 후보의 평균모델상 운전 가능성을 확인했으며, 640 V 코너의 여유는 부족하다”는 것이다. 전체 아키텍처, 전 운전영역 강건성, 실측 효율, 기준 구조 대비 부피·비용 및 모든 통신 지연에 대한 안전성은 후속 검증 항목이다.</w:t>
      </w:r>
    </w:p>
    <w:p>
      <w:pPr>
        <w:pStyle w:val="Heading2"/>
      </w:pPr>
      <w:r>
        <w:t xml:space="preserve">7.4 최초 계획 대비 진척</w:t>
      </w:r>
    </w:p>
    <w:p>
      <w:pPr>
        <w:jc w:val="both"/>
      </w:pPr>
      <w:r>
        <w:t xml:space="preserve">보고일은 18주 계획의 3주차 종료 시점이다. 작업패키지(Work Package, WP)별 상태는 표 14와 같다.</w:t>
      </w:r>
    </w:p>
    <w:p>
      <w:pPr>
        <w:pStyle w:val="Caption"/>
        <w:keepNext/>
        <w:keepLines/>
        <w:jc w:val="center"/>
      </w:pPr>
      <w:r>
        <w:t xml:space="preserve">표 14. 최초 계획 대비 작업패키지별 진척</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2691"/>
        <w:gridCol w:w="1266"/>
        <w:gridCol w:w="5069"/>
      </w:tblGrid>
      <w:tr>
        <w:trPr>
          <w:cantSplit/>
          <w:tblHeader/>
        </w:trPr>
        <w:tc>
          <w:tcPr>
            <w:tcW w:type="dxa" w:w="2691"/>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작업패키지(최초 계획)</w:t>
            </w:r>
          </w:p>
        </w:tc>
        <w:tc>
          <w:tcPr>
            <w:tcW w:type="dxa" w:w="1266"/>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현재 상태</w:t>
            </w:r>
          </w:p>
        </w:tc>
        <w:tc>
          <w:tcPr>
            <w:tcW w:type="dxa" w:w="5069"/>
            <w:shd w:fill="D9E2F3" w:color="auto" w:val="clear"/>
            <w:tcMar>
              <w:top w:type="dxa" w:w="50"/>
              <w:left w:type="dxa" w:w="90"/>
              <w:bottom w:type="dxa" w:w="50"/>
              <w:right w:type="dxa" w:w="90"/>
            </w:tcMar>
            <w:vAlign w:val="center"/>
          </w:tcPr>
          <w:p>
            <w:pPr>
              <w:spacing w:after="0" w:before="0" w:line="260"/>
              <w:jc w:val="center"/>
            </w:pPr>
            <w:r>
              <w:rPr>
                <w:b/>
                <w:bCs/>
                <w:sz w:val="17"/>
                <w:szCs w:val="17"/>
              </w:rPr>
              <w:t xml:space="preserve">주요 결과와 남은 작업</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WP1 요구사항·구조·파라미터 확정</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개정 중</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V_A 접속, 바이패스 폐지, 포트별 정격 재정의 완료. 보조버스 조정 근거, 부하 등급, 보장 하한 미확정</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WP2 평균모델·제어·상태기계</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진행 중</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Stage B 6상태 모델과 고정 제어기 완료. 통합 상태기계 미완료</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WP3 Simscape 스위칭 모델</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미착수</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선행으로 Stage A 스위칭 ODE 완료. Stage A·B·C Simscape 미착수</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WP4 시나리오·기준 구조 검증</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진행 중</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Stage B 동특성과 경계, 과도 허용 전력 확보. 기준 구조 비교 미착수</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WP4.5 선행 조정·부하 관리</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범위 변경</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학습 기반 예측 피드포워드(ARL) 폐기, 인과적 부하 승인(SALS)으로 전환</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WP5 손실·열·전력밀도</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예비 착수</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Stage A 예비 손실값만 확보</w:t>
            </w:r>
          </w:p>
        </w:tc>
      </w:tr>
      <w:tr>
        <w:trPr>
          <w:cantSplit/>
        </w:trPr>
        <w:tc>
          <w:tcPr>
            <w:tcW w:type="dxa" w:w="2691"/>
            <w:tcMar>
              <w:top w:type="dxa" w:w="50"/>
              <w:left w:type="dxa" w:w="90"/>
              <w:bottom w:type="dxa" w:w="50"/>
              <w:right w:type="dxa" w:w="90"/>
            </w:tcMar>
            <w:vAlign w:val="center"/>
          </w:tcPr>
          <w:p>
            <w:pPr>
              <w:spacing w:after="0" w:before="0" w:line="260"/>
              <w:jc w:val="left"/>
            </w:pPr>
            <w:r>
              <w:rPr>
                <w:sz w:val="17"/>
                <w:szCs w:val="17"/>
              </w:rPr>
              <w:t xml:space="preserve">WP6 문서화·재현자료</w:t>
            </w:r>
          </w:p>
        </w:tc>
        <w:tc>
          <w:tcPr>
            <w:tcW w:type="dxa" w:w="1266"/>
            <w:tcMar>
              <w:top w:type="dxa" w:w="50"/>
              <w:left w:type="dxa" w:w="90"/>
              <w:bottom w:type="dxa" w:w="50"/>
              <w:right w:type="dxa" w:w="90"/>
            </w:tcMar>
            <w:vAlign w:val="center"/>
          </w:tcPr>
          <w:p>
            <w:pPr>
              <w:spacing w:after="0" w:before="0" w:line="260"/>
              <w:jc w:val="left"/>
            </w:pPr>
            <w:r>
              <w:rPr>
                <w:sz w:val="17"/>
                <w:szCs w:val="17"/>
              </w:rPr>
              <w:t xml:space="preserve">진행 중</w:t>
            </w:r>
          </w:p>
        </w:tc>
        <w:tc>
          <w:tcPr>
            <w:tcW w:type="dxa" w:w="5069"/>
            <w:tcMar>
              <w:top w:type="dxa" w:w="50"/>
              <w:left w:type="dxa" w:w="90"/>
              <w:bottom w:type="dxa" w:w="50"/>
              <w:right w:type="dxa" w:w="90"/>
            </w:tcMar>
            <w:vAlign w:val="center"/>
          </w:tcPr>
          <w:p>
            <w:pPr>
              <w:spacing w:after="0" w:before="0" w:line="260"/>
              <w:jc w:val="left"/>
            </w:pPr>
            <w:r>
              <w:rPr>
                <w:sz w:val="17"/>
                <w:szCs w:val="17"/>
              </w:rPr>
              <w:t xml:space="preserve">실행 근거, 실패 회귀시험, 본 보고서</w:t>
            </w:r>
          </w:p>
        </w:tc>
      </w:tr>
    </w:tbl>
    <w:p>
      <w:pPr>
        <w:pStyle w:val="SourceNote"/>
      </w:pPr>
      <w:r>
        <w:t xml:space="preserve">자료: 저자 작성. 최초 계획은 저장소 docs/01 제안서 4.3절의 18주 일정이다.</w:t>
      </w:r>
    </w:p>
    <w:p>
      <w:pPr>
        <w:jc w:val="both"/>
      </w:pPr>
      <w:r>
        <w:t xml:space="preserve">현재까지의 핵심 진전은 구성요소 모델의 수를 늘린 데 있지 않고, 기존 모델의 전력수지 오류와 인과성 문제를 찾아 설계경계를 수정한 데 있다. 이에 따라 요구사항·수락 기준 확정, 제어기 재설계, WP3의 스위칭 모델과 WP4의 통합·기준 구조 비교를 다음 우선순위로 배치했다.</w:t>
      </w:r>
    </w:p>
    <w:p>
      <w:pPr>
        <w:pStyle w:val="Heading1"/>
      </w:pPr>
      <w:r>
        <w:t xml:space="preserve">8. 향후 연구 계획</w:t>
      </w:r>
    </w:p>
    <w:p>
      <w:pPr>
        <w:pStyle w:val="Heading2"/>
      </w:pPr>
      <w:r>
        <w:t xml:space="preserve">8.1 요구사항, 부하 등급과 수락 기준 확정</w:t>
      </w:r>
    </w:p>
    <w:p>
      <w:pPr>
        <w:jc w:val="both"/>
      </w:pPr>
      <w:r>
        <w:t xml:space="preserve">다음 네 항목을 첫 과제로 확정한다. (1) 400 V 부하와 저전압 변환기의 허용 입력범위를 부품 사양으로 확인해 보조버스 조정 요구(3.2절)를 확정하거나 완화한다. (2) 부하별 연속·단시간 정격, 서지 계수와 지속시간, 부하 등급과 등급별 최대 지연을 정의하고 25 kW 연속정격과의 관계를 정한다(3.5절). (3) 부하, 저항강하, 링크전압 하한과 공차를 포함해 보장 최소 배터리 전압을 정한다. (4) 가설별 수락 기준을 확정한다. 수락 기준은 설계 목표가 되므로 기준 구조 비교 전에 정한다. 표 15는 이번 보고에서 제안하는 잠정 기준이다.</w:t>
      </w:r>
    </w:p>
    <w:p>
      <w:pPr>
        <w:pStyle w:val="Caption"/>
        <w:keepNext/>
        <w:keepLines/>
        <w:jc w:val="center"/>
      </w:pPr>
      <w:r>
        <w:t xml:space="preserve">표 15. 가설별 잠정 수락 기준(안)</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741"/>
        <w:gridCol w:w="2375"/>
        <w:gridCol w:w="2691"/>
        <w:gridCol w:w="2219"/>
      </w:tblGrid>
      <w:tr>
        <w:trPr>
          <w:cantSplit/>
          <w:tblHeader/>
        </w:trPr>
        <w:tc>
          <w:tcPr>
            <w:tcW w:type="dxa" w:w="174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가설(질문)</w:t>
            </w:r>
          </w:p>
        </w:tc>
        <w:tc>
          <w:tcPr>
            <w:tcW w:type="dxa" w:w="2375"/>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판정 지표</w:t>
            </w:r>
          </w:p>
        </w:tc>
        <w:tc>
          <w:tcPr>
            <w:tcW w:type="dxa" w:w="269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잠정 기준(안)</w:t>
            </w:r>
          </w:p>
        </w:tc>
        <w:tc>
          <w:tcPr>
            <w:tcW w:type="dxa" w:w="2219"/>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현재 상태</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H1 정격 분리(Q1)</w:t>
            </w:r>
          </w:p>
        </w:tc>
        <w:tc>
          <w:tcPr>
            <w:tcW w:type="dxa" w:w="2375"/>
            <w:tcMar>
              <w:top w:type="dxa" w:w="50"/>
              <w:left w:type="dxa" w:w="90"/>
              <w:bottom w:type="dxa" w:w="50"/>
              <w:right w:type="dxa" w:w="90"/>
            </w:tcMar>
            <w:vAlign w:val="center"/>
          </w:tcPr>
          <w:p>
            <w:pPr>
              <w:spacing w:after="0" w:before="0" w:line="260"/>
              <w:jc w:val="left"/>
            </w:pPr>
            <w:r>
              <w:rPr>
                <w:sz w:val="16"/>
                <w:szCs w:val="16"/>
              </w:rPr>
              <w:t xml:space="preserve">640–920 V·25 kW에서 Stage B 링크전력, 충전전류 경로</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링크 ≤ 8 kW(정상·과도), 충전전류 Stage B 비경유</w:t>
            </w:r>
          </w:p>
        </w:tc>
        <w:tc>
          <w:tcPr>
            <w:tcW w:type="dxa" w:w="2219"/>
            <w:tcMar>
              <w:top w:type="dxa" w:w="50"/>
              <w:left w:type="dxa" w:w="90"/>
              <w:bottom w:type="dxa" w:w="50"/>
              <w:right w:type="dxa" w:w="90"/>
            </w:tcMar>
            <w:vAlign w:val="center"/>
          </w:tcPr>
          <w:p>
            <w:pPr>
              <w:spacing w:after="0" w:before="0" w:line="260"/>
              <w:jc w:val="left"/>
            </w:pPr>
            <w:r>
              <w:rPr>
                <w:sz w:val="16"/>
                <w:szCs w:val="16"/>
              </w:rPr>
              <w:t xml:space="preserve">모델상 충족(정상 6.44 kW, 과도 7.41 kW). 충전 중 동시 운전 미검증</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H2 강건 제어(Q2)</w:t>
            </w:r>
          </w:p>
        </w:tc>
        <w:tc>
          <w:tcPr>
            <w:tcW w:type="dxa" w:w="2375"/>
            <w:tcMar>
              <w:top w:type="dxa" w:w="50"/>
              <w:left w:type="dxa" w:w="90"/>
              <w:bottom w:type="dxa" w:w="50"/>
              <w:right w:type="dxa" w:w="90"/>
            </w:tcMar>
            <w:vAlign w:val="center"/>
          </w:tcPr>
          <w:p>
            <w:pPr>
              <w:spacing w:after="0" w:before="0" w:line="260"/>
              <w:jc w:val="left"/>
            </w:pPr>
            <w:r>
              <w:rPr>
                <w:sz w:val="16"/>
                <w:szCs w:val="16"/>
              </w:rPr>
              <w:t xml:space="preserve">복합 공차·추가 지연에서 포트 정격과 전압 품질</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경로·필터 ≤ 90 A, 추가 지연 +2.5 µs에서 전압 기준 만족</w:t>
            </w:r>
          </w:p>
        </w:tc>
        <w:tc>
          <w:tcPr>
            <w:tcW w:type="dxa" w:w="2219"/>
            <w:tcMar>
              <w:top w:type="dxa" w:w="50"/>
              <w:left w:type="dxa" w:w="90"/>
              <w:bottom w:type="dxa" w:w="50"/>
              <w:right w:type="dxa" w:w="90"/>
            </w:tcMar>
            <w:vAlign w:val="center"/>
          </w:tcPr>
          <w:p>
            <w:pPr>
              <w:spacing w:after="0" w:before="0" w:line="260"/>
              <w:jc w:val="left"/>
            </w:pPr>
            <w:r>
              <w:rPr>
                <w:sz w:val="16"/>
                <w:szCs w:val="16"/>
              </w:rPr>
              <w:t xml:space="preserve">미충족(경로 98.0 A, 전 기준 통과 지연 여유 +1.2 µs)</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H3 충전 중 보조버스(Q1)</w:t>
            </w:r>
          </w:p>
        </w:tc>
        <w:tc>
          <w:tcPr>
            <w:tcW w:type="dxa" w:w="2375"/>
            <w:tcMar>
              <w:top w:type="dxa" w:w="50"/>
              <w:left w:type="dxa" w:w="90"/>
              <w:bottom w:type="dxa" w:w="50"/>
              <w:right w:type="dxa" w:w="90"/>
            </w:tcMar>
            <w:vAlign w:val="center"/>
          </w:tcPr>
          <w:p>
            <w:pPr>
              <w:spacing w:after="0" w:before="0" w:line="260"/>
              <w:jc w:val="left"/>
            </w:pPr>
            <w:r>
              <w:rPr>
                <w:sz w:val="16"/>
                <w:szCs w:val="16"/>
              </w:rPr>
              <w:t xml:space="preserve">150 kW(375 A 제한) 충전 + 25 kW 보조부하 동시 운전</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400±8 V, 포트 정격 만족, 모드 전환 시 경로 ≤ 100 A</w:t>
            </w:r>
          </w:p>
        </w:tc>
        <w:tc>
          <w:tcPr>
            <w:tcW w:type="dxa" w:w="2219"/>
            <w:tcMar>
              <w:top w:type="dxa" w:w="50"/>
              <w:left w:type="dxa" w:w="90"/>
              <w:bottom w:type="dxa" w:w="50"/>
              <w:right w:type="dxa" w:w="90"/>
            </w:tcMar>
            <w:vAlign w:val="center"/>
          </w:tcPr>
          <w:p>
            <w:pPr>
              <w:spacing w:after="0" w:before="0" w:line="260"/>
              <w:jc w:val="left"/>
            </w:pPr>
            <w:r>
              <w:rPr>
                <w:sz w:val="16"/>
                <w:szCs w:val="16"/>
              </w:rPr>
              <w:t xml:space="preserve">미검증</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H4 부하 승인(Q2)</w:t>
            </w:r>
          </w:p>
        </w:tc>
        <w:tc>
          <w:tcPr>
            <w:tcW w:type="dxa" w:w="2375"/>
            <w:tcMar>
              <w:top w:type="dxa" w:w="50"/>
              <w:left w:type="dxa" w:w="90"/>
              <w:bottom w:type="dxa" w:w="50"/>
              <w:right w:type="dxa" w:w="90"/>
            </w:tcMar>
            <w:vAlign w:val="center"/>
          </w:tcPr>
          <w:p>
            <w:pPr>
              <w:spacing w:after="0" w:before="0" w:line="260"/>
              <w:jc w:val="left"/>
            </w:pPr>
            <w:r>
              <w:rPr>
                <w:sz w:val="16"/>
                <w:szCs w:val="16"/>
              </w:rPr>
              <w:t xml:space="preserve">정의된 부하 등급·지연 범위의 스트레스 시험</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정격 초과 0건, 비지연 부하 기동 지연 ≤ 20 ms, 지연 가능 부하 최대 지연 ≤ 200 ms</w:t>
            </w:r>
          </w:p>
        </w:tc>
        <w:tc>
          <w:tcPr>
            <w:tcW w:type="dxa" w:w="2219"/>
            <w:tcMar>
              <w:top w:type="dxa" w:w="50"/>
              <w:left w:type="dxa" w:w="90"/>
              <w:bottom w:type="dxa" w:w="50"/>
              <w:right w:type="dxa" w:w="90"/>
            </w:tcMar>
            <w:vAlign w:val="center"/>
          </w:tcPr>
          <w:p>
            <w:pPr>
              <w:spacing w:after="0" w:before="0" w:line="260"/>
              <w:jc w:val="left"/>
            </w:pPr>
            <w:r>
              <w:rPr>
                <w:sz w:val="16"/>
                <w:szCs w:val="16"/>
              </w:rPr>
              <w:t xml:space="preserve">미충족(정적 예산, 반례 존재)</w:t>
            </w:r>
          </w:p>
        </w:tc>
      </w:tr>
      <w:tr>
        <w:trPr>
          <w:cantSplit/>
        </w:trPr>
        <w:tc>
          <w:tcPr>
            <w:tcW w:type="dxa" w:w="1741"/>
            <w:tcMar>
              <w:top w:type="dxa" w:w="50"/>
              <w:left w:type="dxa" w:w="90"/>
              <w:bottom w:type="dxa" w:w="50"/>
              <w:right w:type="dxa" w:w="90"/>
            </w:tcMar>
            <w:vAlign w:val="center"/>
          </w:tcPr>
          <w:p>
            <w:pPr>
              <w:spacing w:after="0" w:before="0" w:line="260"/>
              <w:jc w:val="left"/>
            </w:pPr>
            <w:r>
              <w:rPr>
                <w:sz w:val="16"/>
                <w:szCs w:val="16"/>
              </w:rPr>
              <w:t xml:space="preserve">H5 기준 구조 대비 이점(Q3)</w:t>
            </w:r>
          </w:p>
        </w:tc>
        <w:tc>
          <w:tcPr>
            <w:tcW w:type="dxa" w:w="2375"/>
            <w:tcMar>
              <w:top w:type="dxa" w:w="50"/>
              <w:left w:type="dxa" w:w="90"/>
              <w:bottom w:type="dxa" w:w="50"/>
              <w:right w:type="dxa" w:w="90"/>
            </w:tcMar>
            <w:vAlign w:val="center"/>
          </w:tcPr>
          <w:p>
            <w:pPr>
              <w:spacing w:after="0" w:before="0" w:line="260"/>
              <w:jc w:val="left"/>
            </w:pPr>
            <w:r>
              <w:rPr>
                <w:sz w:val="16"/>
                <w:szCs w:val="16"/>
              </w:rPr>
              <w:t xml:space="preserve">기준 구조 ①·④ 대비 동일 경계 비교</w:t>
            </w:r>
          </w:p>
        </w:tc>
        <w:tc>
          <w:tcPr>
            <w:tcW w:type="dxa" w:w="2691"/>
            <w:tcMar>
              <w:top w:type="dxa" w:w="50"/>
              <w:left w:type="dxa" w:w="90"/>
              <w:bottom w:type="dxa" w:w="50"/>
              <w:right w:type="dxa" w:w="90"/>
            </w:tcMar>
            <w:vAlign w:val="center"/>
          </w:tcPr>
          <w:p>
            <w:pPr>
              <w:spacing w:after="0" w:before="0" w:line="260"/>
              <w:jc w:val="left"/>
            </w:pPr>
            <w:r>
              <w:rPr>
                <w:sz w:val="16"/>
                <w:szCs w:val="16"/>
              </w:rPr>
              <w:t xml:space="preserve">손실·정격 VA·부품 수 중 2개 이상 개선, 서비스 품질 동등</w:t>
            </w:r>
          </w:p>
        </w:tc>
        <w:tc>
          <w:tcPr>
            <w:tcW w:type="dxa" w:w="2219"/>
            <w:tcMar>
              <w:top w:type="dxa" w:w="50"/>
              <w:left w:type="dxa" w:w="90"/>
              <w:bottom w:type="dxa" w:w="50"/>
              <w:right w:type="dxa" w:w="90"/>
            </w:tcMar>
            <w:vAlign w:val="center"/>
          </w:tcPr>
          <w:p>
            <w:pPr>
              <w:spacing w:after="0" w:before="0" w:line="260"/>
              <w:jc w:val="left"/>
            </w:pPr>
            <w:r>
              <w:rPr>
                <w:sz w:val="16"/>
                <w:szCs w:val="16"/>
              </w:rPr>
              <w:t xml:space="preserve">미평가</w:t>
            </w:r>
          </w:p>
        </w:tc>
      </w:tr>
    </w:tbl>
    <w:p>
      <w:pPr>
        <w:pStyle w:val="SourceNote"/>
      </w:pPr>
      <w:r>
        <w:t xml:space="preserve">자료: 저자 작성. 기준값은 8.1절에서 확정할 제안값이며, 이번 보고의 판정 근거가 아니다.</w:t>
      </w:r>
    </w:p>
    <w:p>
      <w:pPr>
        <w:jc w:val="both"/>
      </w:pPr>
      <w:r>
        <w:t xml:space="preserve">완료 기준은 모든 운전 모드의 포트 전압·전류·전력 방향, 연속·피크 정격, 접촉기 상태와 고장 시 안전상태가 하나의 사양표와 회로도에서 일치하고, 표 15의 기준이 수치로 확정된 상태다.</w:t>
      </w:r>
    </w:p>
    <w:p>
      <w:pPr>
        <w:pStyle w:val="Heading2"/>
      </w:pPr>
      <w:r>
        <w:t xml:space="preserve">8.2 Stage B 스위칭 회로와 부품 설계</w:t>
      </w:r>
    </w:p>
    <w:p>
      <w:pPr>
        <w:jc w:val="both"/>
      </w:pPr>
      <w:r>
        <w:t xml:space="preserve">DAB와 4상한 H-브리지의 실제 스위칭 결선을 구축하고 펄스폭변조, 데드타임, 전류 리플, 실효·피크전류, ZVS·ZCS, 프리차지, 과전류와 단락 차단을 검증한다. 2 mF 링크 커패시터와 5 µH 필터는 실제 부품을 선정해 손실, 온도, 질량, 체적, 수명과 공차를 평가한다. 완료 기준은 정격·과도·회생과 0 V 통과 조건에서 스위칭 리플을 포함한 경로·필터 전류 피크가 90 A 이하, 링크 80 A·8 kW와 변조율 0.95 이내이고, 소자 전압·온도가 선정 부품 정격 안에 있으며, 과전류·단락 시 정의된 안전상태로 전환되는 것이다.</w:t>
      </w:r>
    </w:p>
    <w:p>
      <w:pPr>
        <w:pStyle w:val="Heading2"/>
      </w:pPr>
      <w:r>
        <w:t xml:space="preserve">8.3 공통 제어기의 강건성 확보</w:t>
      </w:r>
    </w:p>
    <w:p>
      <w:pPr>
        <w:jc w:val="both"/>
      </w:pPr>
      <w:r>
        <w:t xml:space="preserve">재설계는 두 목표를 따로 다룬다. 첫째, 640 V 코너의 전류 여유를 확보한다. 전류지령 포화값을 목표 여유에서 다시 도출하고, 전류 루프 구조와 필요하면 링크·필터 파라미터를 조정한다. 둘째, 감쇠·지연 여유를 확보한다. 지연 예산은 목표 디지털 구현(ADC 변환, 센서 필터, 연산, PWM·DAB 위상 갱신, 게이트 구동)에서 먼저 산정하고, 그 값에 여유를 더해 설계한다. 복합 공차, 센서 오차와 잡음, 온도 변화, 배터리 전압의 동적 변화와 부하 램프를 결합해 시험한다. 완료 기준은 사전에 정의한 복합 공차·지연 집합에서 경로·필터 전류 90 A 이하와 표 2의 전압 기준을 만족하고, 공칭 대비 +2.5 µs 추가 지연에서도 통과하는 것이다.</w:t>
      </w:r>
    </w:p>
    <w:p>
      <w:pPr>
        <w:pStyle w:val="Heading2"/>
      </w:pPr>
      <w:r>
        <w:t xml:space="preserve">8.4 충전과 보조전원의 통합 검증</w:t>
      </w:r>
    </w:p>
    <w:p>
      <w:pPr>
        <w:jc w:val="both"/>
      </w:pPr>
      <w:r>
        <w:t xml:space="preserve">통합은 Simulink에서 두 수준으로 진행한다. 먼저 Stage A 평균모델(2:1 고정비와 등가저항), Stage B 6상태 모델, 충전기 모델(전압·전류·전력 한계와 CC/CV), 400 V 부하와 Stage C 평균모델을 연결해 모드 전환과 동시 운전을 시험한다. 다음으로 Stage B를 Simscape 스위칭 모델로 교체하고, Stage A는 스위칭 ODE 결과와 대조할 수 있는 Simscape 위상 모델을 추가한다. 충전기 접속·해제, 150 kW 전력상한, 375 A 전류상한, 모듈 투입, 보조버스 조정, 회생 전환, 적분기 초기화와 무충격 전환을 포함한다. 완료 기준은 150 kW(또는 375 A 제한) 충전과 25 kW 보조부하 동시 운전에서 보조버스 400±8 V와 포트 정격을 만족하고, 모드 전환 중 경로전류가 100 A 이하인 것이다.</w:t>
      </w:r>
    </w:p>
    <w:p>
      <w:pPr>
        <w:pStyle w:val="Heading2"/>
      </w:pPr>
      <w:r>
        <w:t xml:space="preserve">8.5 Stage C 5 kW 재설계</w:t>
      </w:r>
    </w:p>
    <w:p>
      <w:pPr>
        <w:jc w:val="both"/>
      </w:pPr>
      <w:r>
        <w:t xml:space="preserve">48 V 3 kW와 12 V 1.5 kW 동시부하를 충족하도록 공진탱크와 변압기를 재설계한다. 정류 손실, 자화전류, ZVS, 경부하 운전, 열설계와 48 V 회생 전류 폐루프를 검증한다. 완료 기준은 8.1절에서 확정한 입력전압 범위, 48 V와 12 V 동시 최대부하 및 회생 조건에서 48 V 출력 편차 ±2 % 이내이고 소자 정격과 온도 요구를 만족하는 것이다.</w:t>
      </w:r>
    </w:p>
    <w:p>
      <w:pPr>
        <w:pStyle w:val="Heading2"/>
      </w:pPr>
      <w:r>
        <w:t xml:space="preserve">8.6 SALS의 인과적 구현과 서비스 평가</w:t>
      </w:r>
    </w:p>
    <w:p>
      <w:pPr>
        <w:jc w:val="both"/>
      </w:pPr>
      <w:r>
        <w:t xml:space="preserve">(1) 부하 등급과 등급별 최대 지연을 반영하고, 부하 측 ECU가 승인 후 기동하는 절차를 구현한다. (2) 정적 예산을 6.6절의 과도 허용 전력 지도처럼 배터리 전압과 현재 부하에 따른 동적 여유로 확장하되, 공차·지연 여유를 차감한 보수 값을 쓴다. (3) 인과성 문제만 분리한 반례를 다시 구성한다. (4) 부하 관리 없음, 반응형 제한, 단일 시점 우선순위 승인, 창 기반 승인, 동적 여유 기반 승인과 하드웨어 정격 증대안을 같은 전기모델과 같은 서비스 조건에서 비교한다. 완료 기준은 표 15의 H4 기준과 함께 난방, 제상, 배터리 예열의 미공급 수요가 허용범위 안에 있는 것이다.</w:t>
      </w:r>
    </w:p>
    <w:p>
      <w:pPr>
        <w:pStyle w:val="Heading2"/>
      </w:pPr>
      <w:r>
        <w:t xml:space="preserve">8.7 기준 구조 비교, 신규성 검증과 하드웨어 실증</w:t>
      </w:r>
    </w:p>
    <w:p>
      <w:pPr>
        <w:jc w:val="both"/>
      </w:pPr>
      <w:r>
        <w:t xml:space="preserve">동일한 반도체 기술, 절연, 냉각, 온도와 부하 프로파일에서 다음 네 구조를 비교한다. ① 전전력 승압기와 별도 보조전원모듈, ② 고정비 변환기와 별도 전전력 조정기, ③ PRISM-Hub 후보, ④ 비조정 고정비 V_A에 400 V 부하를 직접 연결하고 광입력 저전압 변환기를 쓰는 구조(2.5절의 산업계 구조)다. ④는 가장 단순한 경쟁 구조이므로, PRISM-Hub가 ④보다 이점을 보이지 못하면 보조버스 조정의 필요성(3.2절)과 Stage B의 가치는 성립하지 않는다.</w:t>
      </w:r>
    </w:p>
    <w:p>
      <w:pPr>
        <w:jc w:val="both"/>
      </w:pPr>
      <w:r>
        <w:t xml:space="preserve">1차 비교는 평균모델과 손실 모델 수준에서 P0 과제로 먼저 수행하고, 같은 배터리 전압범위, 충전전력, 보조부하 프로파일과 서비스 요구에서 효율지도, 처리전력, 정격 VA, 부품 수를 평가한다. 예상 신규성은 표 15의 기준으로 채택하거나 기각하며, 특허 가능성은 기술 비교와 별도로 기능·구성요소·연결관계의 청구항 대조표로 판단한다. HIL, 축소전력 시제품, 목표 정격 시제품과 차량 운전 시나리오 시험은 이 단계의 결과로 가설이 유지될 때 후속 단계에서 수행한다.</w:t>
      </w:r>
    </w:p>
    <w:p>
      <w:pPr>
        <w:pStyle w:val="Heading2"/>
      </w:pPr>
      <w:r>
        <w:t xml:space="preserve">8.8 남은 기간의 우선순위와 일정</w:t>
      </w:r>
    </w:p>
    <w:p>
      <w:pPr>
        <w:jc w:val="both"/>
      </w:pPr>
      <w:r>
        <w:t xml:space="preserve">1차 보고 검토 결과에 따라 요구사항·수락 기준 확정을 첫 과제로 추가하고, 기준 구조 비교를 앞당겨 P0로 올렸다(표 16).</w:t>
      </w:r>
    </w:p>
    <w:p>
      <w:pPr>
        <w:pStyle w:val="Caption"/>
        <w:keepNext/>
        <w:keepLines/>
        <w:jc w:val="center"/>
      </w:pPr>
      <w:r>
        <w:t xml:space="preserve">표 16. 남은 기간의 우선순위와 일정</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2058"/>
        <w:gridCol w:w="791"/>
        <w:gridCol w:w="3483"/>
        <w:gridCol w:w="2694"/>
      </w:tblGrid>
      <w:tr>
        <w:trPr>
          <w:cantSplit/>
          <w:tblHeader/>
        </w:trPr>
        <w:tc>
          <w:tcPr>
            <w:tcW w:type="dxa" w:w="2058"/>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기간</w:t>
            </w:r>
          </w:p>
        </w:tc>
        <w:tc>
          <w:tcPr>
            <w:tcW w:type="dxa" w:w="791"/>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우선순위</w:t>
            </w:r>
          </w:p>
        </w:tc>
        <w:tc>
          <w:tcPr>
            <w:tcW w:type="dxa" w:w="348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주요 작업</w:t>
            </w:r>
          </w:p>
        </w:tc>
        <w:tc>
          <w:tcPr>
            <w:tcW w:type="dxa" w:w="2694"/>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완료 판단</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9월 26일–10월 9일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P0</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요구사항·부하 등급·수락 기준 확정, 전류·지연 여유 목표의 제어기 재설계</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표 2·5·15 확정, 전류 여유와 지연 예산 제시</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10월 10일–30일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P0</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Stage B Simscape 스위칭·보호·프리차지 모델</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스위칭 리플 포함 포트 정격 통과</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10월 31일–11월 20일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P0</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충전기–Stage A–B 통합과 모드 전환, Stage A Simscape 위상 모델</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충전·보조부하 동시 운전 재현(H3)</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11월 21일–12월 4일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P0</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기준 구조 ①·④ 대비 1차 비교(평균모델·손실 모델)</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동일 경계의 정량 비교표(H5 1차 판정)</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12월 5일–18일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P1</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Stage C 5 kW 재설계</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48 V·12 V 동시 최대부하 통과</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12월 19일–1월 1일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P1</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SALS 동적 여유 기반 승인과 서비스 품질 평가</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H4 기준 판정</w:t>
            </w:r>
          </w:p>
        </w:tc>
      </w:tr>
      <w:tr>
        <w:trPr>
          <w:cantSplit/>
        </w:trPr>
        <w:tc>
          <w:tcPr>
            <w:tcW w:type="dxa" w:w="2058"/>
            <w:tcMar>
              <w:top w:type="dxa" w:w="50"/>
              <w:left w:type="dxa" w:w="90"/>
              <w:bottom w:type="dxa" w:w="50"/>
              <w:right w:type="dxa" w:w="90"/>
            </w:tcMar>
            <w:vAlign w:val="center"/>
          </w:tcPr>
          <w:p>
            <w:pPr>
              <w:spacing w:after="0" w:before="0" w:line="260"/>
              <w:jc w:val="left"/>
            </w:pPr>
            <w:r>
              <w:rPr>
                <w:sz w:val="16"/>
                <w:szCs w:val="16"/>
              </w:rPr>
              <w:t xml:space="preserve">1월 2일–8일</w:t>
            </w:r>
          </w:p>
        </w:tc>
        <w:tc>
          <w:tcPr>
            <w:tcW w:type="dxa" w:w="791"/>
            <w:tcMar>
              <w:top w:type="dxa" w:w="50"/>
              <w:left w:type="dxa" w:w="90"/>
              <w:bottom w:type="dxa" w:w="50"/>
              <w:right w:type="dxa" w:w="90"/>
            </w:tcMar>
            <w:vAlign w:val="center"/>
          </w:tcPr>
          <w:p>
            <w:pPr>
              <w:spacing w:after="0" w:before="0" w:line="260"/>
              <w:jc w:val="left"/>
            </w:pPr>
            <w:r>
              <w:rPr>
                <w:sz w:val="16"/>
                <w:szCs w:val="16"/>
              </w:rPr>
              <w:t xml:space="preserve">P0</w:t>
            </w:r>
          </w:p>
        </w:tc>
        <w:tc>
          <w:tcPr>
            <w:tcW w:type="dxa" w:w="3483"/>
            <w:tcMar>
              <w:top w:type="dxa" w:w="50"/>
              <w:left w:type="dxa" w:w="90"/>
              <w:bottom w:type="dxa" w:w="50"/>
              <w:right w:type="dxa" w:w="90"/>
            </w:tcMar>
            <w:vAlign w:val="center"/>
          </w:tcPr>
          <w:p>
            <w:pPr>
              <w:spacing w:after="0" w:before="0" w:line="260"/>
              <w:jc w:val="left"/>
            </w:pPr>
            <w:r>
              <w:rPr>
                <w:sz w:val="16"/>
                <w:szCs w:val="16"/>
              </w:rPr>
              <w:t xml:space="preserve">재현성 점검과 최종 보고서</w:t>
            </w:r>
          </w:p>
        </w:tc>
        <w:tc>
          <w:tcPr>
            <w:tcW w:type="dxa" w:w="2694"/>
            <w:tcMar>
              <w:top w:type="dxa" w:w="50"/>
              <w:left w:type="dxa" w:w="90"/>
              <w:bottom w:type="dxa" w:w="50"/>
              <w:right w:type="dxa" w:w="90"/>
            </w:tcMar>
            <w:vAlign w:val="center"/>
          </w:tcPr>
          <w:p>
            <w:pPr>
              <w:spacing w:after="0" w:before="0" w:line="260"/>
              <w:jc w:val="left"/>
            </w:pPr>
            <w:r>
              <w:rPr>
                <w:sz w:val="16"/>
                <w:szCs w:val="16"/>
              </w:rPr>
              <w:t xml:space="preserve">결과·코드·근거 파일 상호 일치</w:t>
            </w:r>
          </w:p>
        </w:tc>
      </w:tr>
    </w:tbl>
    <w:p>
      <w:pPr>
        <w:pStyle w:val="SourceNote"/>
      </w:pPr>
      <w:r>
        <w:t xml:space="preserve">자료: 저자 작성.</w:t>
      </w:r>
    </w:p>
    <w:p>
      <w:pPr>
        <w:jc w:val="both"/>
      </w:pPr>
      <w:r>
        <w:t xml:space="preserve">P0는 다음 단계 진행에 필요한 필수 과제이며, P1은 시스템 성능의 완결에 필요한 과제다. HIL과 시제품 제작은 부품·장비 확보 일정에 따라 18주 계획 이후의 후속 실증으로 이어진다.</w:t>
      </w:r>
    </w:p>
    <w:p>
      <w:pPr>
        <w:pStyle w:val="Heading1"/>
      </w:pPr>
      <w:r>
        <w:t xml:space="preserve">9. 결론</w:t>
      </w:r>
    </w:p>
    <w:p>
      <w:pPr>
        <w:jc w:val="both"/>
      </w:pPr>
      <w:r>
        <w:t xml:space="preserve">PRISM-Hub는 고정비 대전력 경로와 부분전력 직렬 조정을 결합해 800 V 차량의 충전 호환과 다중 전압 보조전원을 하나의 직류 전력 구조로 다루는 아키텍처다. 개별 원리에는 선행연구와 특허가 있으므로, 프로젝트의 가치는 이 원리들을 차량 운전조건에 배치하고 포트 정격과 실패 경계를 재현 가능한 체계에서 정량화하는 데 있다.</w:t>
      </w:r>
    </w:p>
    <w:p>
      <w:pPr>
        <w:jc w:val="both"/>
      </w:pPr>
      <w:r>
        <w:t xml:space="preserve">세 연구 질문에 대한 현재의 답은 다음과 같다. Q1(정격 분리)은 평균모델 수준에서 부분적으로 긍정적이다. 25 kW 보조버스에서 Stage B 처리전력은 최대 6.44 kW(25.7 %)였고 충전전류는 조정단을 지나지 않지만, 충전 중 동시 운전은 검증되지 않았다. Q2(강건 제어와 부하 승인)는 공칭 조건에서만 성립한다. 고정 제어기는 공칭 지연에서 정상·단일 공차 시험을 통과했으나 640 V 코너의 전류 여유가 약 2 A, 지연 여유가 1.5–2.5 µs에 그친다. 부하 승인은 정적 예산 단계이며, 현재 스트레스 부하 정의에서는 비지연 부하만으로 예산을 넘는다. Q3(기준 구조 대비 이점)은 아직 평가하지 않았고, 특히 조정 없는 고정비 버스 구조와의 비교가 보조버스 조정의 필요성을 결정한다.</w:t>
      </w:r>
    </w:p>
    <w:p>
      <w:pPr>
        <w:jc w:val="both"/>
      </w:pPr>
      <w:r>
        <w:t xml:space="preserve">따라서 다음 단계는 요구사항과 수락 기준을 먼저 확정하고, 전류·지연 여유를 확보한 제어기, 스위칭 수준의 Stage B, 충전·보조전원 통합과 기준 구조 비교를 거쳐 예상 신규성을 검증된 기여로 전환하거나 기각하는 것이다.</w:t>
      </w:r>
    </w:p>
    <w:p>
      <w:r>
        <w:br w:type="page"/>
      </w:r>
    </w:p>
    <w:p>
      <w:pPr>
        <w:pStyle w:val="Heading1"/>
      </w:pPr>
      <w:r>
        <w:t xml:space="preserve">부록 A. 주요 약어 및 용어</w:t>
      </w:r>
    </w:p>
    <w:p>
      <w:pPr>
        <w:pStyle w:val="Caption"/>
        <w:keepNext/>
        <w:keepLines/>
        <w:jc w:val="center"/>
      </w:pPr>
      <w:r>
        <w:t xml:space="preserve">표 A-1. 주요 약어 및 용어</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1583"/>
        <w:gridCol w:w="7443"/>
      </w:tblGrid>
      <w:tr>
        <w:trPr>
          <w:cantSplit/>
          <w:tblHeader/>
        </w:trPr>
        <w:tc>
          <w:tcPr>
            <w:tcW w:type="dxa" w:w="158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약어</w:t>
            </w:r>
          </w:p>
        </w:tc>
        <w:tc>
          <w:tcPr>
            <w:tcW w:type="dxa" w:w="7443"/>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뜻</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APM</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Auxiliary Power Module. 고전압 배터리에서 48 V 또는 12 V 전원을 공급하는 보조전원모듈</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ARL</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Anticipatory Regulation Layer. 초기 계획의 학습 기반 선행 조정 계층(폐기)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BMS</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Battery Management System. 배터리 상태를 감시하고 충전 한계를 결정하는 관리 시스템</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CC/CV</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Constant Current / Constant Voltage. 정전류·정전압 충전 방식</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CLLC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변압기 양쪽에 인덕터와 커패시터 공진망을 두는 양방향 절연 공진형 변환기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DAB</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Dual-Active-Bridge. 변압기 양쪽의 능동 브리지를 이용하는 절연형 양방향 직류-직류 변환기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ECU</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Electronic Control Unit. 차량 부하 또는 기능을 제어하고 상태를 통신하는 전자제어기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EMI</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Electromagnetic Interference. 전자기 간섭</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HIL</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Hardware-in-the-Loop. 실제 제어기와 실시간 시뮬레이터를 연결하는 검증 방식</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LC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Inductor-Capacitor. 인덕터와 커패시터로 구성한 필터 또는 공진망</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ODE</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Ordinary Differential Equation. 시간에 따른 회로 상태를 표현하는 상미분방정식</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PPP</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Partial Power Processing. 전체 전력 중 조정에 필요한 일부만 변환하는 부분전력처리 원리</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PPRC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Partial-Power Regulating Converter. 직렬 보상전압을 만들어 버스전압을 조정하는 부분전력 조정 변환기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PTC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Positive Temperature Coefficient. 온도가 오르면 저항이 증가하는 정온도계수 특성 또는 이를 이용한 히터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PWM</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Pulse-Width Modulation. 스위치의 켜짐 시간을 조절해 평균전압을 제어하는 펄스폭변조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RSC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Resonant Switched-Capacitor Converter. 공진전류와 스위치드 커패시터를 이용하는 고정비 변환기</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SALS</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Saturation-Aware Anticipatory Load Shaping. 조정단의 정격을 고려해 지연 가능한 부하를 승인·제한하는 상위 계층</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SPS</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Single-Phase Shift. DAB 양쪽 브리지의 위상차로 전력을 조절하는 단일 위상천이 방식</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STC</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Switched-Tank Converter. 공진 탱크와 커패시터 연결을 이용하는 고정비 변환기 계열의 명칭</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V_A</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Stage A의 2:1 고정비 출력과 400 V급 충전기가 접속하는 내부 직류 노드</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WP</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Work Package. 작업패키지</w:t>
            </w:r>
          </w:p>
        </w:tc>
      </w:tr>
      <w:tr>
        <w:trPr>
          <w:cantSplit/>
        </w:trPr>
        <w:tc>
          <w:tcPr>
            <w:tcW w:type="dxa" w:w="1583"/>
            <w:tcMar>
              <w:top w:type="dxa" w:w="50"/>
              <w:left w:type="dxa" w:w="90"/>
              <w:bottom w:type="dxa" w:w="50"/>
              <w:right w:type="dxa" w:w="90"/>
            </w:tcMar>
            <w:vAlign w:val="center"/>
          </w:tcPr>
          <w:p>
            <w:pPr>
              <w:spacing w:after="0" w:before="0" w:line="260"/>
              <w:jc w:val="left"/>
            </w:pPr>
            <w:r>
              <w:rPr>
                <w:sz w:val="16"/>
                <w:szCs w:val="16"/>
              </w:rPr>
              <w:t xml:space="preserve">ZCS / ZVS</w:t>
            </w:r>
          </w:p>
        </w:tc>
        <w:tc>
          <w:tcPr>
            <w:tcW w:type="dxa" w:w="7443"/>
            <w:tcMar>
              <w:top w:type="dxa" w:w="50"/>
              <w:left w:type="dxa" w:w="90"/>
              <w:bottom w:type="dxa" w:w="50"/>
              <w:right w:type="dxa" w:w="90"/>
            </w:tcMar>
            <w:vAlign w:val="center"/>
          </w:tcPr>
          <w:p>
            <w:pPr>
              <w:spacing w:after="0" w:before="0" w:line="260"/>
              <w:jc w:val="left"/>
            </w:pPr>
            <w:r>
              <w:rPr>
                <w:sz w:val="16"/>
                <w:szCs w:val="16"/>
              </w:rPr>
              <w:t xml:space="preserve">Zero-Current / Zero-Voltage Switching. 스위치 전환 시 전류 또는 전압을 0에 가깝게 만드는 소프트 스위칭</w:t>
            </w:r>
          </w:p>
        </w:tc>
      </w:tr>
    </w:tbl>
    <w:p>
      <w:pPr>
        <w:pStyle w:val="SourceNote"/>
      </w:pPr>
    </w:p>
    <w:p>
      <w:pPr>
        <w:pStyle w:val="Heading1"/>
      </w:pPr>
      <w:r>
        <w:t xml:space="preserve">부록 B. 참고문헌</w:t>
      </w:r>
    </w:p>
    <w:p>
      <w:pPr>
        <w:tabs>
          <w:tab w:val="left" w:pos="567"/>
        </w:tabs>
        <w:spacing w:after="80" w:line="270"/>
        <w:ind w:left="567" w:hanging="567"/>
      </w:pPr>
      <w:r>
        <w:rPr>
          <w:sz w:val="18"/>
          <w:szCs w:val="18"/>
        </w:rPr>
        <w:t xml:space="preserve">[1]	</w:t>
      </w:r>
      <w:r>
        <w:rPr>
          <w:sz w:val="18"/>
          <w:szCs w:val="18"/>
        </w:rPr>
        <w:t xml:space="preserve">I. Aghabali, J. Bauman, P. J. Kollmeyer, Y. Wang, B. Bilgin, A. Emadi, “800-V Electric Vehicle Powertrains: Review and Analysis of Benefits, Challenges, and Future Trends,” IEEE Transactions on Transportation Electrification, vol. 7, no. 3, pp. 927–948, 2021. DOI: 10.1109/TTE.2020.3044938.</w:t>
      </w:r>
    </w:p>
    <w:p>
      <w:pPr>
        <w:tabs>
          <w:tab w:val="left" w:pos="567"/>
        </w:tabs>
        <w:spacing w:after="80" w:line="270"/>
        <w:ind w:left="567" w:hanging="567"/>
      </w:pPr>
      <w:r>
        <w:rPr>
          <w:sz w:val="18"/>
          <w:szCs w:val="18"/>
        </w:rPr>
        <w:t xml:space="preserve">[2]	</w:t>
      </w:r>
      <w:r>
        <w:rPr>
          <w:sz w:val="18"/>
          <w:szCs w:val="18"/>
        </w:rPr>
        <w:t xml:space="preserve">B. Zhao, Q. Song, W. Liu, Y. Sun, “Overview of Dual-Active-Bridge Isolated Bidirectional DC–DC Converter for High-Frequency-Link Power-Conversion System,” IEEE Transactions on Power Electronics, vol. 29, no. 8, pp. 4091–4106, 2014. DOI: 10.1109/TPEL.2013.2289913.</w:t>
      </w:r>
    </w:p>
    <w:p>
      <w:pPr>
        <w:tabs>
          <w:tab w:val="left" w:pos="567"/>
        </w:tabs>
        <w:spacing w:after="80" w:line="270"/>
        <w:ind w:left="567" w:hanging="567"/>
      </w:pPr>
      <w:r>
        <w:rPr>
          <w:sz w:val="18"/>
          <w:szCs w:val="18"/>
        </w:rPr>
        <w:t xml:space="preserve">[3]	</w:t>
      </w:r>
      <w:r>
        <w:rPr>
          <w:sz w:val="18"/>
          <w:szCs w:val="18"/>
        </w:rPr>
        <w:t xml:space="preserve">Z. Ni, Y. Li, C. Liu, M. Wei, D. Cao, “A 100-kW SiC Switched Tank Converter for Transportation Electrification,” IEEE Transactions on Power Electronics, vol. 35, no. 6, pp. 5770–5784, 2020. DOI: 10.1109/TPEL.2019.2954801.</w:t>
      </w:r>
    </w:p>
    <w:p>
      <w:pPr>
        <w:tabs>
          <w:tab w:val="left" w:pos="567"/>
        </w:tabs>
        <w:spacing w:after="80" w:line="270"/>
        <w:ind w:left="567" w:hanging="567"/>
      </w:pPr>
      <w:r>
        <w:rPr>
          <w:sz w:val="18"/>
          <w:szCs w:val="18"/>
        </w:rPr>
        <w:t xml:space="preserve">[4]	</w:t>
      </w:r>
      <w:r>
        <w:rPr>
          <w:sz w:val="18"/>
          <w:szCs w:val="18"/>
        </w:rPr>
        <w:t xml:space="preserve">X. Liu, M. Wei, M. Qiu, K. Hobbs, A. Dahneem, D. Cao, “500 kW 3-Phase Interleaved SiC Switched Tank Converter for Transportation Electrification,” IEEE APEC, pp. 1017–1023, 2023. DOI: 10.1109/APEC43580.2023.10131540.</w:t>
      </w:r>
    </w:p>
    <w:p>
      <w:pPr>
        <w:tabs>
          <w:tab w:val="left" w:pos="567"/>
        </w:tabs>
        <w:spacing w:after="80" w:line="270"/>
        <w:ind w:left="567" w:hanging="567"/>
      </w:pPr>
      <w:r>
        <w:rPr>
          <w:sz w:val="18"/>
          <w:szCs w:val="18"/>
        </w:rPr>
        <w:t xml:space="preserve">[5]	</w:t>
      </w:r>
      <w:r>
        <w:rPr>
          <w:sz w:val="18"/>
          <w:szCs w:val="18"/>
        </w:rPr>
        <w:t xml:space="preserve">X. Liu, M. Qiu, K. Hobbs, A. Dahneem, H. Meng, D. Cao, “Experimental Verification of 500kW Resonant Switched-Capacitor Converter for Electric Trucks and Electric Aircraft Application,” IEEE APEC, pp. 830–837, 2024. DOI: 10.1109/APEC48139.2024.10509275.</w:t>
      </w:r>
    </w:p>
    <w:p>
      <w:pPr>
        <w:tabs>
          <w:tab w:val="left" w:pos="567"/>
        </w:tabs>
        <w:spacing w:after="80" w:line="270"/>
        <w:ind w:left="567" w:hanging="567"/>
      </w:pPr>
      <w:r>
        <w:rPr>
          <w:sz w:val="18"/>
          <w:szCs w:val="18"/>
        </w:rPr>
        <w:t xml:space="preserve">[6]	</w:t>
      </w:r>
      <w:r>
        <w:rPr>
          <w:sz w:val="18"/>
          <w:szCs w:val="18"/>
        </w:rPr>
        <w:t xml:space="preserve">Y. He, S. Jiang, C. Nan, “Switched Tank Converter Based Partial Power Architecture for Voltage Regulation Applications,” IEEE APEC, pp. 91–97, 2018. DOI: 10.1109/APEC.2018.8340993.</w:t>
      </w:r>
    </w:p>
    <w:p>
      <w:pPr>
        <w:tabs>
          <w:tab w:val="left" w:pos="567"/>
        </w:tabs>
        <w:spacing w:after="80" w:line="270"/>
        <w:ind w:left="567" w:hanging="567"/>
      </w:pPr>
      <w:r>
        <w:rPr>
          <w:sz w:val="18"/>
          <w:szCs w:val="18"/>
        </w:rPr>
        <w:t xml:space="preserve">[7]	</w:t>
      </w:r>
      <w:r>
        <w:rPr>
          <w:sz w:val="18"/>
          <w:szCs w:val="18"/>
        </w:rPr>
        <w:t xml:space="preserve">Z. Ni, Y. Li, J. Johnson, M. Wei, C. Liu, X. Lyu, D. Cao, “A GaN Switched Tank Converter with Partial Power Voltage Regulation for Electric Vehicle Applications,” IEEE APEC, pp. 1682–1689, 2019. DOI: 10.1109/APEC.2019.8722301.</w:t>
      </w:r>
    </w:p>
    <w:p>
      <w:pPr>
        <w:tabs>
          <w:tab w:val="left" w:pos="567"/>
        </w:tabs>
        <w:spacing w:after="80" w:line="270"/>
        <w:ind w:left="567" w:hanging="567"/>
      </w:pPr>
      <w:r>
        <w:rPr>
          <w:sz w:val="18"/>
          <w:szCs w:val="18"/>
        </w:rPr>
        <w:t xml:space="preserve">[8]	</w:t>
      </w:r>
      <w:r>
        <w:rPr>
          <w:sz w:val="18"/>
          <w:szCs w:val="18"/>
        </w:rPr>
        <w:t xml:space="preserve">P. Wang, M. Chen, “Analysis and Design of Series Voltage Compensator for Differential Power Processing,” IEEE Journal of Emerging and Selected Topics in Power Electronics, vol. 10, no. 6, pp. 7890–7903, 2022. DOI: 10.1109/JESTPE.2021.3116091.</w:t>
      </w:r>
    </w:p>
    <w:p>
      <w:pPr>
        <w:tabs>
          <w:tab w:val="left" w:pos="567"/>
        </w:tabs>
        <w:spacing w:after="80" w:line="270"/>
        <w:ind w:left="567" w:hanging="567"/>
      </w:pPr>
      <w:r>
        <w:rPr>
          <w:sz w:val="18"/>
          <w:szCs w:val="18"/>
        </w:rPr>
        <w:t xml:space="preserve">[9]	</w:t>
      </w:r>
      <w:r>
        <w:rPr>
          <w:sz w:val="18"/>
          <w:szCs w:val="18"/>
        </w:rPr>
        <w:t xml:space="preserve">N. Hassanpour, A. Chub, A. Blinov, D. Vinnikov, “Soft-Switching Bidirectional Step-Up/Down Partial Power Converter With Reduced Components Stress,” IEEE Transactions on Power Electronics, vol. 38, no. 11, pp. 14166–14177, 2023. DOI: 10.1109/TPEL.2023.3289061.</w:t>
      </w:r>
    </w:p>
    <w:p>
      <w:pPr>
        <w:tabs>
          <w:tab w:val="left" w:pos="567"/>
        </w:tabs>
        <w:spacing w:after="80" w:line="270"/>
        <w:ind w:left="567" w:hanging="567"/>
      </w:pPr>
      <w:r>
        <w:rPr>
          <w:sz w:val="18"/>
          <w:szCs w:val="18"/>
        </w:rPr>
        <w:t xml:space="preserve">[10]	</w:t>
      </w:r>
      <w:r>
        <w:rPr>
          <w:sz w:val="18"/>
          <w:szCs w:val="18"/>
        </w:rPr>
        <w:t xml:space="preserve">Y. Li, X. Lyu, Z. Ni, D. Cao, C. Nan, S. Jiang, “Adaptive On-Time Control for High Efficiency Switched-Tank Converter,” IEEE WiPDA Asia, pp. 169–175, 2018. DOI: 10.1109/WiPDAAsia.2018.8734623.</w:t>
      </w:r>
    </w:p>
    <w:p>
      <w:pPr>
        <w:tabs>
          <w:tab w:val="left" w:pos="567"/>
        </w:tabs>
        <w:spacing w:after="80" w:line="270"/>
        <w:ind w:left="567" w:hanging="567"/>
      </w:pPr>
      <w:r>
        <w:rPr>
          <w:sz w:val="18"/>
          <w:szCs w:val="18"/>
        </w:rPr>
        <w:t xml:space="preserve">[11]	</w:t>
      </w:r>
      <w:r>
        <w:rPr>
          <w:sz w:val="18"/>
          <w:szCs w:val="18"/>
        </w:rPr>
        <w:t xml:space="preserve">H. Chen, H. Kim, R. W. Erickson, D. Maksimović, “Electrified Automotive Powertrain Architecture Using Composite DC–DC Converters,” IEEE Transactions on Power Electronics, vol. 32, no. 1, pp. 98–116, 2017. DOI: 10.1109/TPEL.2016.2533347.</w:t>
      </w:r>
    </w:p>
    <w:p>
      <w:pPr>
        <w:tabs>
          <w:tab w:val="left" w:pos="567"/>
        </w:tabs>
        <w:spacing w:after="80" w:line="270"/>
        <w:ind w:left="567" w:hanging="567"/>
      </w:pPr>
      <w:r>
        <w:rPr>
          <w:sz w:val="18"/>
          <w:szCs w:val="18"/>
        </w:rPr>
        <w:t xml:space="preserve">[12]	</w:t>
      </w:r>
      <w:r>
        <w:rPr>
          <w:sz w:val="18"/>
          <w:szCs w:val="18"/>
        </w:rPr>
        <w:t xml:space="preserve">Vicor Corp., “Case study: Powering 400V accessory loads” (NBM9280, 2024), https://automotive.vicorpower.com/en_US/resources/case-study-powering-400v-accessory-loads; M. Jenks, “Adapting 400V and 800V architectures – bidirectional conversion,” SAE WCX 2023 presentation, https://www.vicorpower.com/press-room/wcx-2023-event (accessed 2026-09-24). 제조사 공개자료.</w:t>
      </w:r>
    </w:p>
    <w:p>
      <w:pPr>
        <w:tabs>
          <w:tab w:val="left" w:pos="567"/>
        </w:tabs>
        <w:spacing w:after="80" w:line="270"/>
        <w:ind w:left="567" w:hanging="567"/>
      </w:pPr>
      <w:r>
        <w:rPr>
          <w:sz w:val="18"/>
          <w:szCs w:val="18"/>
        </w:rPr>
        <w:t xml:space="preserve">[13]	</w:t>
      </w:r>
      <w:r>
        <w:rPr>
          <w:sz w:val="18"/>
          <w:szCs w:val="18"/>
        </w:rPr>
        <w:t xml:space="preserve">Preh GmbH, “Combo Box – Highly Integrated Power Electronics,” manufacturer product information, https://www.preh.com/en/products/e-mobility/combo-box/en (accessed 2026-09-24). 제조사 공개자료.</w:t>
      </w:r>
    </w:p>
    <w:p>
      <w:pPr>
        <w:tabs>
          <w:tab w:val="left" w:pos="567"/>
        </w:tabs>
        <w:spacing w:after="80" w:line="270"/>
        <w:ind w:left="567" w:hanging="567"/>
      </w:pPr>
      <w:r>
        <w:rPr>
          <w:sz w:val="18"/>
          <w:szCs w:val="18"/>
        </w:rPr>
        <w:t xml:space="preserve">[14]	</w:t>
      </w:r>
      <w:r>
        <w:rPr>
          <w:sz w:val="18"/>
          <w:szCs w:val="18"/>
        </w:rPr>
        <w:t xml:space="preserve">NIO USA Inc. (original assignee; inventors M. Shen and F. Guo), “Systems and Methods for Regulating Charging of Electric Vehicles,” US10363828B1, 2019; US10632863B2, 2020.</w:t>
      </w:r>
    </w:p>
    <w:p>
      <w:pPr>
        <w:tabs>
          <w:tab w:val="left" w:pos="567"/>
        </w:tabs>
        <w:spacing w:after="80" w:line="270"/>
        <w:ind w:left="567" w:hanging="567"/>
      </w:pPr>
      <w:r>
        <w:rPr>
          <w:sz w:val="18"/>
          <w:szCs w:val="18"/>
        </w:rPr>
        <w:t xml:space="preserve">[15]	</w:t>
      </w:r>
      <w:r>
        <w:rPr>
          <w:sz w:val="18"/>
          <w:szCs w:val="18"/>
        </w:rPr>
        <w:t xml:space="preserve">Karma Automotive LLC (original assignee), “Combined Converter Circuit,” US11235676B2, 2022; WO2020257534A1; EP3987646A1/A4.</w:t>
      </w:r>
    </w:p>
    <w:p>
      <w:pPr>
        <w:tabs>
          <w:tab w:val="left" w:pos="567"/>
        </w:tabs>
        <w:spacing w:after="80" w:line="270"/>
        <w:ind w:left="567" w:hanging="567"/>
      </w:pPr>
      <w:r>
        <w:rPr>
          <w:sz w:val="18"/>
          <w:szCs w:val="18"/>
        </w:rPr>
        <w:t xml:space="preserve">[16]	</w:t>
      </w:r>
      <w:r>
        <w:rPr>
          <w:sz w:val="18"/>
          <w:szCs w:val="18"/>
        </w:rPr>
        <w:t xml:space="preserve">Jaguar Land Rover Ltd., “Electrical Load Management Method and Apparatus,” US20190023203A1, 2019; US10829067B2, 2020.</w:t>
      </w:r>
    </w:p>
    <w:p>
      <w:pPr>
        <w:tabs>
          <w:tab w:val="left" w:pos="567"/>
        </w:tabs>
        <w:spacing w:after="80" w:line="270"/>
        <w:ind w:left="567" w:hanging="567"/>
      </w:pPr>
      <w:r>
        <w:rPr>
          <w:sz w:val="18"/>
          <w:szCs w:val="18"/>
        </w:rPr>
        <w:t xml:space="preserve">[17]	</w:t>
      </w:r>
      <w:r>
        <w:rPr>
          <w:sz w:val="18"/>
          <w:szCs w:val="18"/>
        </w:rPr>
        <w:t xml:space="preserve">Robert Bosch GmbH, “Method and Device for Controlling Electric Consumers in a Motor Vehicle,” EP1053129A1, 2000.</w:t>
      </w:r>
    </w:p>
    <w:p>
      <w:pPr>
        <w:tabs>
          <w:tab w:val="left" w:pos="567"/>
        </w:tabs>
        <w:spacing w:after="80" w:line="270"/>
        <w:ind w:left="567" w:hanging="567"/>
      </w:pPr>
      <w:r>
        <w:rPr>
          <w:sz w:val="18"/>
          <w:szCs w:val="18"/>
        </w:rPr>
        <w:t xml:space="preserve">[18]	</w:t>
      </w:r>
      <w:r>
        <w:rPr>
          <w:sz w:val="18"/>
          <w:szCs w:val="18"/>
        </w:rPr>
        <w:t xml:space="preserve">I. Kolmanovsky, E. Garone, S. Di Cairano, “Reference and Command Governors: A Tutorial on Their Theory and Automotive Applications,” American Control Conference, pp. 226–241, 2014. DOI: 10.1109/ACC.2014.6859176.</w:t>
      </w:r>
    </w:p>
    <w:p>
      <w:pPr>
        <w:pStyle w:val="Heading1"/>
      </w:pPr>
      <w:r>
        <w:t xml:space="preserve">부록 C. 검증 근거 파일</w:t>
      </w:r>
    </w:p>
    <w:p>
      <w:pPr>
        <w:pStyle w:val="Caption"/>
        <w:keepNext/>
        <w:keepLines/>
        <w:jc w:val="center"/>
      </w:pPr>
      <w:r>
        <w:t xml:space="preserve">표 C-1. 검증 근거 파일</w:t>
      </w:r>
    </w:p>
    <w:tbl>
      <w:tblPr>
        <w:tblW w:type="dxa" w:w="9026"/>
        <w:tblBorders>
          <w:top w:val="single" w:color="404040" w:sz="8"/>
          <w:left w:val="single" w:color="A6A6A6" w:sz="2"/>
          <w:bottom w:val="single" w:color="404040" w:sz="8"/>
          <w:right w:val="single" w:color="A6A6A6" w:sz="2"/>
          <w:insideH w:val="single" w:color="A6A6A6" w:sz="2"/>
          <w:insideV w:val="single" w:color="A6A6A6" w:sz="2"/>
        </w:tblBorders>
      </w:tblPr>
      <w:tblGrid>
        <w:gridCol w:w="3958"/>
        <w:gridCol w:w="3642"/>
        <w:gridCol w:w="1426"/>
      </w:tblGrid>
      <w:tr>
        <w:trPr>
          <w:cantSplit/>
          <w:tblHeader/>
        </w:trPr>
        <w:tc>
          <w:tcPr>
            <w:tcW w:type="dxa" w:w="3958"/>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파일·폴더</w:t>
            </w:r>
          </w:p>
        </w:tc>
        <w:tc>
          <w:tcPr>
            <w:tcW w:type="dxa" w:w="3642"/>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내용</w:t>
            </w:r>
          </w:p>
        </w:tc>
        <w:tc>
          <w:tcPr>
            <w:tcW w:type="dxa" w:w="1426"/>
            <w:shd w:fill="D9E2F3" w:color="auto" w:val="clear"/>
            <w:tcMar>
              <w:top w:type="dxa" w:w="50"/>
              <w:left w:type="dxa" w:w="90"/>
              <w:bottom w:type="dxa" w:w="50"/>
              <w:right w:type="dxa" w:w="90"/>
            </w:tcMar>
            <w:vAlign w:val="center"/>
          </w:tcPr>
          <w:p>
            <w:pPr>
              <w:spacing w:after="0" w:before="0" w:line="260"/>
              <w:jc w:val="center"/>
            </w:pPr>
            <w:r>
              <w:rPr>
                <w:b/>
                <w:bCs/>
                <w:sz w:val="16"/>
                <w:szCs w:val="16"/>
              </w:rPr>
              <w:t xml:space="preserve">기준</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docs/10_검토대응_통합개발.md</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유한 링크 2단 PPRC 모델, SALS 인과성 검토, 선행기술 정정</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docs/11_공통제어기_60A_검증.md</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공통 고정이득 제어기, 60 A 상당 부하, 공차와 지연 시험</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validation/2026-09-22-integration/</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2단 평균모델, 에너지 수지, 정상상태, SALS 계약, Python/MATLAB 대조</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validation/2026-09-22-fixed-control/</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80개 시험조건, 공차·민감도, Python/MATLAB 대조, delay_sweep.json</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validation/2026-09-22/</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Simulink 4상태 평균모델(prism_pprc_average_tb.slx), Stage A 실행 결과</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docs/reviews/2026-09-21/</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독립 엔지니어링 검토, 분야별 재현자료와 선행기술 분석</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v1.0-interim</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python/report_final_analysis.py, validation/2026-09-25-final-report/</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정상상태 스윕, 640 V 코너 여유, 과도 허용 전력(Python)</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본 보고서 추가</w:t>
            </w:r>
          </w:p>
        </w:tc>
      </w:tr>
      <w:tr>
        <w:trPr>
          <w:cantSplit/>
        </w:trPr>
        <w:tc>
          <w:tcPr>
            <w:tcW w:type="dxa" w:w="3958"/>
            <w:tcMar>
              <w:top w:type="dxa" w:w="50"/>
              <w:left w:type="dxa" w:w="90"/>
              <w:bottom w:type="dxa" w:w="50"/>
              <w:right w:type="dxa" w:w="90"/>
            </w:tcMar>
            <w:vAlign w:val="center"/>
          </w:tcPr>
          <w:p>
            <w:pPr>
              <w:spacing w:after="0" w:before="0" w:line="260"/>
              <w:jc w:val="left"/>
            </w:pPr>
            <w:r>
              <w:rPr>
                <w:sz w:val="16"/>
                <w:szCs w:val="16"/>
              </w:rPr>
              <w:t xml:space="preserve">python/report_figures.py, docs/fig/report/</w:t>
            </w:r>
          </w:p>
        </w:tc>
        <w:tc>
          <w:tcPr>
            <w:tcW w:type="dxa" w:w="3642"/>
            <w:tcMar>
              <w:top w:type="dxa" w:w="50"/>
              <w:left w:type="dxa" w:w="90"/>
              <w:bottom w:type="dxa" w:w="50"/>
              <w:right w:type="dxa" w:w="90"/>
            </w:tcMar>
            <w:vAlign w:val="center"/>
          </w:tcPr>
          <w:p>
            <w:pPr>
              <w:spacing w:after="0" w:before="0" w:line="260"/>
              <w:jc w:val="left"/>
            </w:pPr>
            <w:r>
              <w:rPr>
                <w:sz w:val="16"/>
                <w:szCs w:val="16"/>
              </w:rPr>
              <w:t xml:space="preserve">본 보고서 그림 1–8 생성 스크립트와 그림 파일</w:t>
            </w:r>
          </w:p>
        </w:tc>
        <w:tc>
          <w:tcPr>
            <w:tcW w:type="dxa" w:w="1426"/>
            <w:tcMar>
              <w:top w:type="dxa" w:w="50"/>
              <w:left w:type="dxa" w:w="90"/>
              <w:bottom w:type="dxa" w:w="50"/>
              <w:right w:type="dxa" w:w="90"/>
            </w:tcMar>
            <w:vAlign w:val="center"/>
          </w:tcPr>
          <w:p>
            <w:pPr>
              <w:spacing w:after="0" w:before="0" w:line="260"/>
              <w:jc w:val="left"/>
            </w:pPr>
            <w:r>
              <w:rPr>
                <w:sz w:val="16"/>
                <w:szCs w:val="16"/>
              </w:rPr>
              <w:t xml:space="preserve">본 보고서 추가</w:t>
            </w:r>
          </w:p>
        </w:tc>
      </w:tr>
    </w:tbl>
    <w:p>
      <w:pPr>
        <w:pStyle w:val="SourceNote"/>
      </w:pPr>
      <w:r>
        <w:t xml:space="preserve">자료: 저자 작성. “본 보고서 추가” 항목은 이 보고서와 함께 저장소에 반영한다.</w:t>
      </w:r>
    </w:p>
    <w:p>
      <w:pPr>
        <w:jc w:val="both"/>
      </w:pPr>
      <w:r>
        <w:t xml:space="preserve">재현 절차(저장소 루트에서 실행):</w:t>
      </w:r>
    </w:p>
    <w:p>
      <w:pPr>
        <w:pStyle w:val="ListParagraph"/>
        <w:numPr>
          <w:ilvl w:val="0"/>
          <w:numId w:val="2"/>
        </w:numPr>
        <w:spacing w:after="60"/>
        <w:jc w:val="left"/>
      </w:pPr>
      <w:r>
        <w:t xml:space="preserve">python python/validate_fixed_control.py — 공통 고정이득 제어기 80개 시험조건</w:t>
      </w:r>
    </w:p>
    <w:p>
      <w:pPr>
        <w:pStyle w:val="ListParagraph"/>
        <w:numPr>
          <w:ilvl w:val="0"/>
          <w:numId w:val="2"/>
        </w:numPr>
        <w:spacing w:after="60"/>
        <w:jc w:val="left"/>
      </w:pPr>
      <w:r>
        <w:t xml:space="preserve">python python/validate_sals_contract.py — SALS 반례와 정적 승인 조건</w:t>
      </w:r>
    </w:p>
    <w:p>
      <w:pPr>
        <w:pStyle w:val="ListParagraph"/>
        <w:numPr>
          <w:ilvl w:val="0"/>
          <w:numId w:val="2"/>
        </w:numPr>
        <w:spacing w:after="60"/>
        <w:jc w:val="left"/>
      </w:pPr>
      <w:r>
        <w:t xml:space="preserve">python python/report_final_analysis.py — 본 보고서 추가 분석(정상상태 스윕, 코너 여유, 과도 허용 전력)</w:t>
      </w:r>
    </w:p>
    <w:p>
      <w:pPr>
        <w:pStyle w:val="ListParagraph"/>
        <w:numPr>
          <w:ilvl w:val="0"/>
          <w:numId w:val="2"/>
        </w:numPr>
        <w:spacing w:after="60"/>
        <w:jc w:val="left"/>
      </w:pPr>
      <w:r>
        <w:t xml:space="preserve">python python/report_figures.py — 본 보고서 그림 1–8</w:t>
      </w:r>
    </w:p>
    <w:p>
      <w:pPr>
        <w:pStyle w:val="ListParagraph"/>
        <w:numPr>
          <w:ilvl w:val="0"/>
          <w:numId w:val="2"/>
        </w:numPr>
        <w:spacing w:after="60"/>
        <w:jc w:val="left"/>
      </w:pPr>
      <w:r>
        <w:t xml:space="preserve">MATLAB: matlab/validate_fixed_control.m, validate_two_stage.m — Python 결과와의 교차검증</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 </w:t>
    </w:r>
    <w:r>
      <w:rPr>
        <w:color w:val="7F7F7F"/>
        <w:sz w:val="18"/>
        <w:szCs w:val="18"/>
      </w:rPr>
      <w:fldChar w:fldCharType="begin"/>
      <w:instrText xml:space="preserve">PAGE</w:instrText>
      <w:fldChar w:fldCharType="separate"/>
      <w:fldChar w:fldCharType="end"/>
    </w:r>
    <w:r>
      <w:rPr>
        <w:color w:val="7F7F7F"/>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7F7F7F"/>
        <w:sz w:val="16"/>
        <w:szCs w:val="16"/>
      </w:rPr>
      <w:t xml:space="preserve">PRISM-Hub 중간 연구 진행 보고서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pPr>
        <w:spacing w:after="11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2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keepNext/>
      <w:spacing w:after="120" w:before="280"/>
      <w:outlineLvl w:val="1"/>
    </w:pPr>
    <w:rPr>
      <w:rFonts w:ascii="Malgun Gothic" w:cs="Malgun Gothic" w:eastAsia="Malgun Gothic" w:hAnsi="Malgun Gothic"/>
      <w:b/>
      <w:bCs/>
      <w:color w:val="1F3864"/>
      <w:sz w:val="24"/>
      <w:szCs w:val="24"/>
    </w:rPr>
  </w:style>
  <w:style w:type="paragraph" w:styleId="Caption">
    <w:name w:val="Caption"/>
    <w:basedOn w:val="Normal"/>
    <w:next w:val="Normal"/>
    <w:qFormat/>
    <w:pPr>
      <w:spacing w:after="80" w:before="160"/>
    </w:pPr>
    <w:rPr>
      <w:rFonts w:ascii="Malgun Gothic" w:cs="Malgun Gothic" w:eastAsia="Malgun Gothic" w:hAnsi="Malgun Gothic"/>
      <w:b/>
      <w:bCs/>
      <w:sz w:val="19"/>
      <w:szCs w:val="19"/>
    </w:rPr>
  </w:style>
  <w:style w:type="paragraph" w:styleId="TOC1">
    <w:name w:val="toc 1"/>
    <w:basedOn w:val="Normal"/>
    <w:next w:val="Normal"/>
    <w:pPr>
      <w:spacing w:after="40" w:before="100" w:line="260"/>
    </w:pPr>
    <w:rPr>
      <w:rFonts w:ascii="Malgun Gothic" w:cs="Malgun Gothic" w:eastAsia="Malgun Gothic" w:hAnsi="Malgun Gothic"/>
      <w:b/>
      <w:bCs/>
      <w:sz w:val="21"/>
      <w:szCs w:val="21"/>
    </w:rPr>
  </w:style>
  <w:style w:type="paragraph" w:styleId="TOC2">
    <w:name w:val="toc 2"/>
    <w:basedOn w:val="Normal"/>
    <w:next w:val="Normal"/>
    <w:pPr>
      <w:spacing w:after="30" w:before="0" w:line="250"/>
      <w:ind w:left="440"/>
    </w:pPr>
    <w:rPr>
      <w:rFonts w:ascii="Malgun Gothic" w:cs="Malgun Gothic" w:eastAsia="Malgun Gothic" w:hAnsi="Malgun Gothic"/>
      <w:sz w:val="20"/>
      <w:szCs w:val="20"/>
    </w:rPr>
  </w:style>
  <w:style w:type="paragraph" w:styleId="SourceNote">
    <w:name w:val="Source Note"/>
    <w:basedOn w:val="Normal"/>
    <w:next w:val="Normal"/>
    <w:qFormat/>
    <w:pPr>
      <w:spacing w:after="240" w:before="60" w:line="250"/>
    </w:pPr>
    <w:rPr>
      <w:rFonts w:ascii="Malgun Gothic" w:cs="Malgun Gothic" w:eastAsia="Malgun Gothic" w:hAnsi="Malgun Gothic"/>
      <w:color w:val="40404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eefebaf3e9e11a99212954ae7b97d7e5b5e3aa1.png"/><Relationship Id="rId12" Type="http://schemas.openxmlformats.org/officeDocument/2006/relationships/image" Target="media/1c80a8217377277e7f52e7b0fcb84558cb01aca5.png"/><Relationship Id="rId13" Type="http://schemas.openxmlformats.org/officeDocument/2006/relationships/image" Target="media/fdff5de84bc5051b134442a6bb40c20bf7c25ebf.png"/><Relationship Id="rId14" Type="http://schemas.openxmlformats.org/officeDocument/2006/relationships/image" Target="media/f4dd8b2adff50930c2e8871db33ffe02c4e894e8.png"/><Relationship Id="rId15" Type="http://schemas.openxmlformats.org/officeDocument/2006/relationships/image" Target="media/84624de61d3af552e8fb31f512f8580b583f073a.png"/><Relationship Id="rId16" Type="http://schemas.openxmlformats.org/officeDocument/2006/relationships/image" Target="media/43f32849f298672440cd8dd40f7ead6a38ade0ce.png"/><Relationship Id="rId17" Type="http://schemas.openxmlformats.org/officeDocument/2006/relationships/image" Target="media/7baa118ac71f77af6ac2022651607223be0e3731.png"/><Relationship Id="rId18" Type="http://schemas.openxmlformats.org/officeDocument/2006/relationships/image" Target="media/2477ed1812d82e8c1d6d27dd3c18d04f1a32238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PRISM-Hub 프로젝트 기술 개요 및 연구 진행 상황 보고서</dc:title>
  <dc:creator>PRISM-Hub 프로젝트팀</dc:creator>
  <dc:description>PRISM-Hub 1차 중간 연구 진행 보고서(최종본 v1.1)</dc:description>
  <cp:lastModifiedBy>Un-named</cp:lastModifiedBy>
  <cp:revision>1</cp:revision>
  <dcterms:created xsi:type="dcterms:W3CDTF">2026-09-28T04:16:34.378Z</dcterms:created>
  <dcterms:modified xsi:type="dcterms:W3CDTF">2026-09-28T04:16:34.388Z</dcterms:modified>
</cp:coreProperties>
</file>

<file path=docProps/custom.xml><?xml version="1.0" encoding="utf-8"?>
<Properties xmlns="http://schemas.openxmlformats.org/officeDocument/2006/custom-properties" xmlns:vt="http://schemas.openxmlformats.org/officeDocument/2006/docPropsVTypes"/>
</file>