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87BE" w14:textId="77777777" w:rsidR="007F040F" w:rsidRDefault="007F040F" w:rsidP="00C72C46">
      <w:pPr>
        <w:spacing w:after="240" w:line="240" w:lineRule="auto"/>
        <w:ind w:firstLine="720"/>
        <w:rPr>
          <w:rFonts w:ascii="Times New Roman" w:hAnsi="Times New Roman" w:cs="Times New Roman"/>
        </w:rPr>
      </w:pPr>
    </w:p>
    <w:p w14:paraId="54D9501F" w14:textId="77777777" w:rsidR="007F040F" w:rsidRDefault="007F040F" w:rsidP="00C72C46">
      <w:pPr>
        <w:spacing w:after="240" w:line="240" w:lineRule="auto"/>
        <w:ind w:firstLine="720"/>
        <w:rPr>
          <w:rFonts w:ascii="Times New Roman" w:hAnsi="Times New Roman" w:cs="Times New Roman"/>
        </w:rPr>
      </w:pPr>
    </w:p>
    <w:p w14:paraId="4A349040" w14:textId="77777777" w:rsidR="007F040F" w:rsidRDefault="007F040F" w:rsidP="00C72C46">
      <w:pPr>
        <w:spacing w:after="240" w:line="240" w:lineRule="auto"/>
        <w:ind w:firstLine="720"/>
        <w:rPr>
          <w:rFonts w:ascii="Times New Roman" w:hAnsi="Times New Roman" w:cs="Times New Roman"/>
        </w:rPr>
      </w:pPr>
    </w:p>
    <w:p w14:paraId="4B77FFA9" w14:textId="77777777" w:rsidR="007F040F" w:rsidRDefault="007F040F" w:rsidP="00C72C46">
      <w:pPr>
        <w:spacing w:after="240" w:line="240" w:lineRule="auto"/>
        <w:ind w:firstLine="720"/>
        <w:rPr>
          <w:rFonts w:ascii="Times New Roman" w:hAnsi="Times New Roman" w:cs="Times New Roman"/>
        </w:rPr>
      </w:pPr>
    </w:p>
    <w:p w14:paraId="3DAECD5D" w14:textId="77777777" w:rsidR="007F040F" w:rsidRDefault="007F040F" w:rsidP="00C72C46">
      <w:pPr>
        <w:spacing w:after="240" w:line="240" w:lineRule="auto"/>
        <w:ind w:firstLine="720"/>
        <w:rPr>
          <w:rFonts w:ascii="Times New Roman" w:hAnsi="Times New Roman" w:cs="Times New Roman"/>
        </w:rPr>
      </w:pPr>
    </w:p>
    <w:p w14:paraId="5C030928" w14:textId="77777777" w:rsidR="007F040F" w:rsidRDefault="007F040F" w:rsidP="007F040F">
      <w:pPr>
        <w:spacing w:after="240" w:line="240" w:lineRule="auto"/>
        <w:ind w:firstLine="720"/>
        <w:jc w:val="center"/>
        <w:rPr>
          <w:rFonts w:ascii="Times New Roman" w:hAnsi="Times New Roman" w:cs="Times New Roman"/>
        </w:rPr>
      </w:pPr>
    </w:p>
    <w:p w14:paraId="74886373" w14:textId="25E40D44" w:rsidR="007F040F" w:rsidRDefault="007F040F" w:rsidP="007F040F">
      <w:pPr>
        <w:spacing w:after="240" w:line="240" w:lineRule="auto"/>
        <w:jc w:val="center"/>
        <w:rPr>
          <w:rFonts w:ascii="Times New Roman" w:hAnsi="Times New Roman" w:cs="Times New Roman"/>
          <w:b/>
          <w:bCs/>
        </w:rPr>
      </w:pPr>
      <w:r w:rsidRPr="007F040F">
        <w:rPr>
          <w:rFonts w:ascii="Times New Roman" w:hAnsi="Times New Roman" w:cs="Times New Roman"/>
          <w:b/>
          <w:bCs/>
        </w:rPr>
        <w:t>Michigan Health Information Network Shared Services (</w:t>
      </w:r>
      <w:proofErr w:type="spellStart"/>
      <w:r w:rsidRPr="007F040F">
        <w:rPr>
          <w:rFonts w:ascii="Times New Roman" w:hAnsi="Times New Roman" w:cs="Times New Roman"/>
          <w:b/>
          <w:bCs/>
        </w:rPr>
        <w:t>MiHIN</w:t>
      </w:r>
      <w:proofErr w:type="spellEnd"/>
      <w:r w:rsidRPr="007F040F">
        <w:rPr>
          <w:rFonts w:ascii="Times New Roman" w:hAnsi="Times New Roman" w:cs="Times New Roman"/>
          <w:b/>
          <w:bCs/>
        </w:rPr>
        <w:t>)</w:t>
      </w:r>
    </w:p>
    <w:p w14:paraId="107FEA19" w14:textId="77777777" w:rsidR="007F040F" w:rsidRDefault="007F040F" w:rsidP="007F040F">
      <w:pPr>
        <w:spacing w:after="240" w:line="240" w:lineRule="auto"/>
        <w:rPr>
          <w:rFonts w:ascii="Times New Roman" w:hAnsi="Times New Roman" w:cs="Times New Roman"/>
          <w:b/>
          <w:bCs/>
        </w:rPr>
      </w:pPr>
    </w:p>
    <w:p w14:paraId="5D8B7681" w14:textId="6B245D42" w:rsidR="007F040F" w:rsidRPr="007F040F" w:rsidRDefault="007F040F" w:rsidP="007F040F">
      <w:pPr>
        <w:spacing w:after="240" w:line="240" w:lineRule="auto"/>
        <w:jc w:val="center"/>
        <w:rPr>
          <w:rFonts w:ascii="Times New Roman" w:hAnsi="Times New Roman" w:cs="Times New Roman"/>
        </w:rPr>
      </w:pPr>
      <w:r w:rsidRPr="007F040F">
        <w:rPr>
          <w:rFonts w:ascii="Times New Roman" w:hAnsi="Times New Roman" w:cs="Times New Roman"/>
        </w:rPr>
        <w:t>Allie C. Garner</w:t>
      </w:r>
    </w:p>
    <w:p w14:paraId="423EEA84" w14:textId="02B2075E" w:rsidR="007F040F" w:rsidRPr="007F040F" w:rsidRDefault="007F040F" w:rsidP="007F040F">
      <w:pPr>
        <w:spacing w:after="240" w:line="240" w:lineRule="auto"/>
        <w:jc w:val="center"/>
        <w:rPr>
          <w:rFonts w:ascii="Times New Roman" w:hAnsi="Times New Roman" w:cs="Times New Roman"/>
        </w:rPr>
      </w:pPr>
      <w:r w:rsidRPr="007F040F">
        <w:rPr>
          <w:rFonts w:ascii="Times New Roman" w:hAnsi="Times New Roman" w:cs="Times New Roman"/>
        </w:rPr>
        <w:t>School of Health Professionals</w:t>
      </w:r>
    </w:p>
    <w:p w14:paraId="33A84FCD" w14:textId="6D1AAC94" w:rsidR="007F040F" w:rsidRPr="007F040F" w:rsidRDefault="007F040F" w:rsidP="007F040F">
      <w:pPr>
        <w:spacing w:after="240" w:line="240" w:lineRule="auto"/>
        <w:jc w:val="center"/>
        <w:rPr>
          <w:rFonts w:ascii="Times New Roman" w:hAnsi="Times New Roman" w:cs="Times New Roman"/>
        </w:rPr>
      </w:pPr>
      <w:r w:rsidRPr="007F040F">
        <w:rPr>
          <w:rFonts w:ascii="Times New Roman" w:hAnsi="Times New Roman" w:cs="Times New Roman"/>
        </w:rPr>
        <w:t>The University of Alabama at Birmingham</w:t>
      </w:r>
    </w:p>
    <w:p w14:paraId="0E4806A4" w14:textId="468F0F59" w:rsidR="007F040F" w:rsidRPr="007F040F" w:rsidRDefault="007F040F" w:rsidP="007F040F">
      <w:pPr>
        <w:spacing w:after="240" w:line="240" w:lineRule="auto"/>
        <w:jc w:val="center"/>
        <w:rPr>
          <w:rFonts w:ascii="Times New Roman" w:hAnsi="Times New Roman" w:cs="Times New Roman"/>
        </w:rPr>
      </w:pPr>
      <w:r w:rsidRPr="007F040F">
        <w:rPr>
          <w:rFonts w:ascii="Times New Roman" w:hAnsi="Times New Roman" w:cs="Times New Roman"/>
        </w:rPr>
        <w:t>HI 617: Principles in Health Informatics</w:t>
      </w:r>
    </w:p>
    <w:p w14:paraId="66E0D995" w14:textId="335B907E" w:rsidR="007F040F" w:rsidRPr="000827D1" w:rsidRDefault="007F040F" w:rsidP="007F040F">
      <w:pPr>
        <w:spacing w:after="240" w:line="240" w:lineRule="auto"/>
        <w:jc w:val="center"/>
        <w:rPr>
          <w:rFonts w:ascii="Times New Roman" w:hAnsi="Times New Roman" w:cs="Times New Roman"/>
        </w:rPr>
      </w:pPr>
      <w:r w:rsidRPr="000827D1">
        <w:rPr>
          <w:rFonts w:ascii="Times New Roman" w:hAnsi="Times New Roman" w:cs="Times New Roman"/>
        </w:rPr>
        <w:t>Information Exchange Analysis</w:t>
      </w:r>
    </w:p>
    <w:p w14:paraId="162F7B37" w14:textId="53037785" w:rsidR="007F040F" w:rsidRPr="000827D1" w:rsidRDefault="007F040F" w:rsidP="007F040F">
      <w:pPr>
        <w:spacing w:after="240" w:line="240" w:lineRule="auto"/>
        <w:jc w:val="center"/>
        <w:rPr>
          <w:rFonts w:ascii="Times New Roman" w:hAnsi="Times New Roman" w:cs="Times New Roman"/>
        </w:rPr>
      </w:pPr>
      <w:r w:rsidRPr="000827D1">
        <w:rPr>
          <w:rFonts w:ascii="Times New Roman" w:hAnsi="Times New Roman" w:cs="Times New Roman"/>
        </w:rPr>
        <w:t>Larissa Pierce, MD, MSHI</w:t>
      </w:r>
    </w:p>
    <w:p w14:paraId="04C8533A" w14:textId="26C5EE48" w:rsidR="007F040F" w:rsidRPr="007F040F" w:rsidRDefault="007F040F" w:rsidP="007F040F">
      <w:pPr>
        <w:spacing w:after="240" w:line="240" w:lineRule="auto"/>
        <w:jc w:val="center"/>
        <w:rPr>
          <w:rFonts w:ascii="Times New Roman" w:hAnsi="Times New Roman" w:cs="Times New Roman"/>
        </w:rPr>
      </w:pPr>
      <w:r w:rsidRPr="007F040F">
        <w:rPr>
          <w:rFonts w:ascii="Times New Roman" w:hAnsi="Times New Roman" w:cs="Times New Roman"/>
        </w:rPr>
        <w:t>March 13</w:t>
      </w:r>
      <w:r w:rsidRPr="007F040F">
        <w:rPr>
          <w:rFonts w:ascii="Times New Roman" w:hAnsi="Times New Roman" w:cs="Times New Roman"/>
          <w:vertAlign w:val="superscript"/>
        </w:rPr>
        <w:t>th</w:t>
      </w:r>
      <w:r w:rsidRPr="007F040F">
        <w:rPr>
          <w:rFonts w:ascii="Times New Roman" w:hAnsi="Times New Roman" w:cs="Times New Roman"/>
        </w:rPr>
        <w:t>, 2025</w:t>
      </w:r>
    </w:p>
    <w:p w14:paraId="7F3957A2" w14:textId="77777777" w:rsidR="007F040F" w:rsidRDefault="007F040F" w:rsidP="00C72C46">
      <w:pPr>
        <w:spacing w:after="240" w:line="240" w:lineRule="auto"/>
        <w:ind w:firstLine="720"/>
        <w:rPr>
          <w:rFonts w:ascii="Times New Roman" w:hAnsi="Times New Roman" w:cs="Times New Roman"/>
        </w:rPr>
      </w:pPr>
    </w:p>
    <w:p w14:paraId="22F0DE6C" w14:textId="77777777" w:rsidR="007F040F" w:rsidRDefault="007F040F" w:rsidP="00C72C46">
      <w:pPr>
        <w:spacing w:after="240" w:line="240" w:lineRule="auto"/>
        <w:ind w:firstLine="720"/>
        <w:rPr>
          <w:rFonts w:ascii="Times New Roman" w:hAnsi="Times New Roman" w:cs="Times New Roman"/>
        </w:rPr>
      </w:pPr>
    </w:p>
    <w:p w14:paraId="2760EFD0" w14:textId="77777777" w:rsidR="007F040F" w:rsidRDefault="007F040F" w:rsidP="00C72C46">
      <w:pPr>
        <w:spacing w:after="240" w:line="240" w:lineRule="auto"/>
        <w:ind w:firstLine="720"/>
        <w:rPr>
          <w:rFonts w:ascii="Times New Roman" w:hAnsi="Times New Roman" w:cs="Times New Roman"/>
        </w:rPr>
      </w:pPr>
    </w:p>
    <w:p w14:paraId="4A6D5261" w14:textId="77777777" w:rsidR="007F040F" w:rsidRDefault="007F040F" w:rsidP="00C72C46">
      <w:pPr>
        <w:spacing w:after="240" w:line="240" w:lineRule="auto"/>
        <w:ind w:firstLine="720"/>
        <w:rPr>
          <w:rFonts w:ascii="Times New Roman" w:hAnsi="Times New Roman" w:cs="Times New Roman"/>
        </w:rPr>
      </w:pPr>
    </w:p>
    <w:p w14:paraId="5B6423C9" w14:textId="77777777" w:rsidR="007F040F" w:rsidRDefault="007F040F" w:rsidP="00C72C46">
      <w:pPr>
        <w:spacing w:after="240" w:line="240" w:lineRule="auto"/>
        <w:ind w:firstLine="720"/>
        <w:rPr>
          <w:rFonts w:ascii="Times New Roman" w:hAnsi="Times New Roman" w:cs="Times New Roman"/>
        </w:rPr>
      </w:pPr>
    </w:p>
    <w:p w14:paraId="28C828CF" w14:textId="77777777" w:rsidR="007F040F" w:rsidRDefault="007F040F" w:rsidP="00C72C46">
      <w:pPr>
        <w:spacing w:after="240" w:line="240" w:lineRule="auto"/>
        <w:ind w:firstLine="720"/>
        <w:rPr>
          <w:rFonts w:ascii="Times New Roman" w:hAnsi="Times New Roman" w:cs="Times New Roman"/>
        </w:rPr>
      </w:pPr>
    </w:p>
    <w:p w14:paraId="1D3579EC" w14:textId="77777777" w:rsidR="007F040F" w:rsidRDefault="007F040F" w:rsidP="00C72C46">
      <w:pPr>
        <w:spacing w:after="240" w:line="240" w:lineRule="auto"/>
        <w:ind w:firstLine="720"/>
        <w:rPr>
          <w:rFonts w:ascii="Times New Roman" w:hAnsi="Times New Roman" w:cs="Times New Roman"/>
        </w:rPr>
      </w:pPr>
    </w:p>
    <w:p w14:paraId="51C3505C" w14:textId="77777777" w:rsidR="007F040F" w:rsidRDefault="007F040F" w:rsidP="00C72C46">
      <w:pPr>
        <w:spacing w:after="240" w:line="240" w:lineRule="auto"/>
        <w:ind w:firstLine="720"/>
        <w:rPr>
          <w:rFonts w:ascii="Times New Roman" w:hAnsi="Times New Roman" w:cs="Times New Roman"/>
        </w:rPr>
      </w:pPr>
    </w:p>
    <w:p w14:paraId="0022D7B1" w14:textId="77777777" w:rsidR="007F040F" w:rsidRDefault="007F040F" w:rsidP="00C72C46">
      <w:pPr>
        <w:spacing w:after="240" w:line="240" w:lineRule="auto"/>
        <w:ind w:firstLine="720"/>
        <w:rPr>
          <w:rFonts w:ascii="Times New Roman" w:hAnsi="Times New Roman" w:cs="Times New Roman"/>
        </w:rPr>
      </w:pPr>
    </w:p>
    <w:p w14:paraId="688F2FDA" w14:textId="77777777" w:rsidR="007F040F" w:rsidRDefault="007F040F" w:rsidP="007F040F">
      <w:pPr>
        <w:spacing w:after="240" w:line="240" w:lineRule="auto"/>
        <w:rPr>
          <w:rFonts w:ascii="Times New Roman" w:hAnsi="Times New Roman" w:cs="Times New Roman"/>
        </w:rPr>
      </w:pPr>
    </w:p>
    <w:p w14:paraId="4C6FBF7F" w14:textId="176A6AC8" w:rsidR="00C72C46" w:rsidRPr="007D3657" w:rsidRDefault="00C72C46" w:rsidP="007F040F">
      <w:pPr>
        <w:spacing w:after="240" w:line="240" w:lineRule="auto"/>
        <w:ind w:firstLine="720"/>
        <w:rPr>
          <w:rFonts w:ascii="Times New Roman" w:hAnsi="Times New Roman" w:cs="Times New Roman"/>
        </w:rPr>
      </w:pPr>
      <w:r w:rsidRPr="007D3657">
        <w:rPr>
          <w:rFonts w:ascii="Times New Roman" w:hAnsi="Times New Roman" w:cs="Times New Roman"/>
        </w:rPr>
        <w:lastRenderedPageBreak/>
        <w:t>The Michigan Health Information Network Shared Services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is Michigan's state-designated health information exchange (HIE) (MHINSS, 2025c). Before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Michigan faced interoperability barriers and care inefficiencies due to healthcare organizations using a variety of electronic health record (EHR) software (MHINSS, 2025c).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was initiated in 2005 when Michigan's governor directed state agencies to collaborate with stakeholders to use health information technology (HIT) and HIE to improve health quality and reduce costs in Michigan (MDHHS, 2010). In response, over 200 stakeholders contributed to developing a statewide HIE plan called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Conduit to Care". This plan outlined Michigan's incremental approach to HIE and aimed to ensure that HIE would occur statewide, including in underserved areas (MDHHS, 2010). In 2010, Michigan received approximately $14 million under the Health Information Technology for Economic and Clinical Health (HITECH) Act to aid in developing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(MDHHS, 2010; MHINSS, 2025c).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adopted a unique, hybrid governance model, with a public/private partnership between the Health Information Technology (HIT) Commission and the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Board of Directors (MHINSS, 2025c). Under this model, the HIT Commission is responsible for setting statewide policies and overseeing HIE activities, while the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Board of Directors is responsible for governing HIE infrastructure, operational plans, and financial strategies (MHINSS, 2025c; O'Toole et al., 2013).</w:t>
      </w:r>
    </w:p>
    <w:p w14:paraId="76123F21" w14:textId="77777777" w:rsidR="00C72C46" w:rsidRPr="007D3657" w:rsidRDefault="00C72C46" w:rsidP="00C72C46">
      <w:pPr>
        <w:spacing w:before="240" w:after="240" w:line="240" w:lineRule="auto"/>
        <w:ind w:firstLine="720"/>
        <w:rPr>
          <w:rFonts w:ascii="Times New Roman" w:hAnsi="Times New Roman" w:cs="Times New Roman"/>
        </w:rPr>
      </w:pP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connects 665 outpatient facilities, 298 nursing facilities, 148 hospitals, and 44 physician organizations, enabling continuity of care to Michigan's population (MHINSS, 2025b). Primary care clinics, laboratories, radiology centers, home health agencies, behavioral health clinics, and pharmacies are also within the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network (MHINSS, 2025b). Not only does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improve the quality of individual patient care, but it also aids public health initiatives by sharing health data, including immunization records and syndromic surveillance data, with the Michigan Department of Health and Human Services and local health departments (MHINSS, 2024d). Additionally, federal agencies collaborate with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to ensure compliance with national healthcare initiatives (MHINSS, 2025b). Overall,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routes information for more than 13 million patients across 5,637 care entities (MHINSS, 2025b). </w:t>
      </w: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mission has remained essentially unchanged since its development: to improve the healthcare experience, increase quality, and reduce costs for Michigan residents by facilitating health information exchange and ensuring data is accessible at the point of care (MHINSS, 2024a).</w:t>
      </w:r>
    </w:p>
    <w:p w14:paraId="350CC695" w14:textId="77777777" w:rsidR="00C72C46" w:rsidRPr="007D3657" w:rsidRDefault="00C72C46" w:rsidP="00C72C46">
      <w:pPr>
        <w:spacing w:before="240" w:after="240" w:line="240" w:lineRule="auto"/>
        <w:ind w:firstLine="720"/>
        <w:rPr>
          <w:rFonts w:ascii="Times New Roman" w:hAnsi="Times New Roman" w:cs="Times New Roman"/>
        </w:rPr>
      </w:pP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offers a variety of tools for information exchange, including </w:t>
      </w:r>
      <w:proofErr w:type="spellStart"/>
      <w:r w:rsidRPr="007D3657">
        <w:rPr>
          <w:rFonts w:ascii="Times New Roman" w:hAnsi="Times New Roman" w:cs="Times New Roman"/>
        </w:rPr>
        <w:t>MIGateway</w:t>
      </w:r>
      <w:proofErr w:type="spellEnd"/>
      <w:r w:rsidRPr="007D3657">
        <w:rPr>
          <w:rFonts w:ascii="Times New Roman" w:hAnsi="Times New Roman" w:cs="Times New Roman"/>
        </w:rPr>
        <w:t xml:space="preserve">, </w:t>
      </w:r>
      <w:proofErr w:type="spellStart"/>
      <w:r w:rsidRPr="007D3657">
        <w:rPr>
          <w:rFonts w:ascii="Times New Roman" w:hAnsi="Times New Roman" w:cs="Times New Roman"/>
        </w:rPr>
        <w:t>Diretto</w:t>
      </w:r>
      <w:proofErr w:type="spellEnd"/>
      <w:r w:rsidRPr="007D3657">
        <w:rPr>
          <w:rFonts w:ascii="Times New Roman" w:hAnsi="Times New Roman" w:cs="Times New Roman"/>
        </w:rPr>
        <w:t xml:space="preserve">, Care Convene, and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(MHINSS, 2024c). The Medical Information Gateway, or </w:t>
      </w:r>
      <w:proofErr w:type="spellStart"/>
      <w:r w:rsidRPr="007D3657">
        <w:rPr>
          <w:rFonts w:ascii="Times New Roman" w:hAnsi="Times New Roman" w:cs="Times New Roman"/>
        </w:rPr>
        <w:t>MIGateway</w:t>
      </w:r>
      <w:proofErr w:type="spellEnd"/>
      <w:r w:rsidRPr="007D3657">
        <w:rPr>
          <w:rFonts w:ascii="Times New Roman" w:hAnsi="Times New Roman" w:cs="Times New Roman"/>
        </w:rPr>
        <w:t xml:space="preserve">, is the platform for healthcare providers, allowing them to access Continuity of Care Documents (CCDs), receive Admission, Discharge, Transfer (ADT) notifications, and view unified patient records with data aggregated from the entire network (MHINSS, 2024f). Additionally, </w:t>
      </w:r>
      <w:proofErr w:type="spellStart"/>
      <w:r w:rsidRPr="007D3657">
        <w:rPr>
          <w:rFonts w:ascii="Times New Roman" w:hAnsi="Times New Roman" w:cs="Times New Roman"/>
        </w:rPr>
        <w:t>MIGateway</w:t>
      </w:r>
      <w:proofErr w:type="spellEnd"/>
      <w:r w:rsidRPr="007D3657">
        <w:rPr>
          <w:rFonts w:ascii="Times New Roman" w:hAnsi="Times New Roman" w:cs="Times New Roman"/>
        </w:rPr>
        <w:t xml:space="preserve"> allows providers to retrieve contact information for other providers of a patient's care team, improving care coordination (MHINSS, 2024f). </w:t>
      </w:r>
      <w:proofErr w:type="spellStart"/>
      <w:r w:rsidRPr="007D3657">
        <w:rPr>
          <w:rFonts w:ascii="Times New Roman" w:hAnsi="Times New Roman" w:cs="Times New Roman"/>
        </w:rPr>
        <w:t>Diretto</w:t>
      </w:r>
      <w:proofErr w:type="spellEnd"/>
      <w:r w:rsidRPr="007D3657">
        <w:rPr>
          <w:rFonts w:ascii="Times New Roman" w:hAnsi="Times New Roman" w:cs="Times New Roman"/>
        </w:rPr>
        <w:t xml:space="preserve">, a direct messaging software, can be used as a standalone tool or within </w:t>
      </w:r>
      <w:proofErr w:type="spellStart"/>
      <w:r w:rsidRPr="007D3657">
        <w:rPr>
          <w:rFonts w:ascii="Times New Roman" w:hAnsi="Times New Roman" w:cs="Times New Roman"/>
        </w:rPr>
        <w:t>MIGateway</w:t>
      </w:r>
      <w:proofErr w:type="spellEnd"/>
      <w:r w:rsidRPr="007D3657">
        <w:rPr>
          <w:rFonts w:ascii="Times New Roman" w:hAnsi="Times New Roman" w:cs="Times New Roman"/>
        </w:rPr>
        <w:t xml:space="preserve"> for secure messaging between providers and patients (MHINSS, 2025a). </w:t>
      </w:r>
      <w:proofErr w:type="spellStart"/>
      <w:r w:rsidRPr="007D3657">
        <w:rPr>
          <w:rFonts w:ascii="Times New Roman" w:hAnsi="Times New Roman" w:cs="Times New Roman"/>
        </w:rPr>
        <w:t>MIGateway</w:t>
      </w:r>
      <w:proofErr w:type="spellEnd"/>
      <w:r w:rsidRPr="007D3657">
        <w:rPr>
          <w:rFonts w:ascii="Times New Roman" w:hAnsi="Times New Roman" w:cs="Times New Roman"/>
        </w:rPr>
        <w:t xml:space="preserve"> uses Health Level Seven's Version 2 (HL7 V2) messaging standard and HL7's Consolidated Clinical Document Architecture (C-CDA) for information exchange (MHINSS, 2020a; MHINSS, 2020b; MHINSS, 2024b). Specifically, HL7 V2 is the messaging standard for transmitting ADT notifications and longitudinal records, while CCDs are exchanged using the C-CDA standard in XML format (MHINSS, 2020a; MHINSS, 2020b; MHINSS, 2024b).</w:t>
      </w:r>
    </w:p>
    <w:p w14:paraId="462B03B1" w14:textId="2CD2B089" w:rsidR="00C72C46" w:rsidRDefault="00C72C46" w:rsidP="00C72C46">
      <w:pPr>
        <w:spacing w:before="240" w:after="240" w:line="240" w:lineRule="auto"/>
        <w:ind w:firstLine="720"/>
        <w:rPr>
          <w:rFonts w:ascii="Times New Roman" w:hAnsi="Times New Roman" w:cs="Times New Roman"/>
        </w:rPr>
      </w:pPr>
      <w:r w:rsidRPr="007D3657">
        <w:rPr>
          <w:rFonts w:ascii="Times New Roman" w:hAnsi="Times New Roman" w:cs="Times New Roman"/>
        </w:rPr>
        <w:lastRenderedPageBreak/>
        <w:t xml:space="preserve">For example, when a patient is admitted to a hospital, an ADT notification is generated by the hospital's EHR system (MHINSS, 2024b). This notification, specifically an "ADT_A01" HL7 V2 message indicating a patient admission, is sent to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(MHINSS, 2024b; </w:t>
      </w:r>
      <w:proofErr w:type="spellStart"/>
      <w:r w:rsidRPr="007D3657">
        <w:rPr>
          <w:rFonts w:ascii="Times New Roman" w:hAnsi="Times New Roman" w:cs="Times New Roman"/>
        </w:rPr>
        <w:t>Caristix</w:t>
      </w:r>
      <w:proofErr w:type="spellEnd"/>
      <w:r w:rsidRPr="007D3657">
        <w:rPr>
          <w:rFonts w:ascii="Times New Roman" w:hAnsi="Times New Roman" w:cs="Times New Roman"/>
        </w:rPr>
        <w:t xml:space="preserve">, 2025). Upon receiving the ADT message,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analyzes the message and, in this case, adds additional important information to the message</w:t>
      </w:r>
      <w:r w:rsidR="00327C89">
        <w:rPr>
          <w:rFonts w:ascii="Times New Roman" w:hAnsi="Times New Roman" w:cs="Times New Roman"/>
        </w:rPr>
        <w:t>’s custom segment, called the</w:t>
      </w:r>
      <w:r w:rsidRPr="007D3657">
        <w:rPr>
          <w:rFonts w:ascii="Times New Roman" w:hAnsi="Times New Roman" w:cs="Times New Roman"/>
        </w:rPr>
        <w:t xml:space="preserve"> </w:t>
      </w:r>
      <w:r w:rsidR="00327C89">
        <w:rPr>
          <w:rFonts w:ascii="Times New Roman" w:hAnsi="Times New Roman" w:cs="Times New Roman"/>
        </w:rPr>
        <w:t>“</w:t>
      </w:r>
      <w:r w:rsidRPr="007D3657">
        <w:rPr>
          <w:rFonts w:ascii="Times New Roman" w:hAnsi="Times New Roman" w:cs="Times New Roman"/>
        </w:rPr>
        <w:t>z-segment</w:t>
      </w:r>
      <w:r w:rsidR="00327C89">
        <w:rPr>
          <w:rFonts w:ascii="Times New Roman" w:hAnsi="Times New Roman" w:cs="Times New Roman"/>
        </w:rPr>
        <w:t xml:space="preserve">” </w:t>
      </w:r>
      <w:r w:rsidRPr="007D3657">
        <w:rPr>
          <w:rFonts w:ascii="Times New Roman" w:hAnsi="Times New Roman" w:cs="Times New Roman"/>
        </w:rPr>
        <w:t xml:space="preserve">(MHINSS, 2024b).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then uses its Active Care Relationship Service (ACRS) to identify the patient's care team, including a primary care physician and specialty clinicians. It retrieves contact and delivery preference information from its Health Directory.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then forwards the updated ADT notification to the care team. Now, the patient's care team is aware of this event that may impact their care plan (MHINSS, 2024b).</w:t>
      </w:r>
    </w:p>
    <w:p w14:paraId="130EDA03" w14:textId="29CB3609" w:rsidR="00C72C46" w:rsidRDefault="00327C89" w:rsidP="00C72C46">
      <w:pPr>
        <w:spacing w:before="240" w:after="240" w:line="240" w:lineRule="auto"/>
        <w:ind w:firstLine="72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30F34C25" wp14:editId="38DD9E87">
            <wp:simplePos x="0" y="0"/>
            <wp:positionH relativeFrom="column">
              <wp:posOffset>359923</wp:posOffset>
            </wp:positionH>
            <wp:positionV relativeFrom="paragraph">
              <wp:posOffset>1270</wp:posOffset>
            </wp:positionV>
            <wp:extent cx="4924414" cy="3774332"/>
            <wp:effectExtent l="0" t="0" r="3810" b="0"/>
            <wp:wrapNone/>
            <wp:docPr id="2016437001" name="Picture 1" descr="A diagram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7001" name="Picture 1" descr="A diagram of a message&#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24414" cy="3774332"/>
                    </a:xfrm>
                    <a:prstGeom prst="rect">
                      <a:avLst/>
                    </a:prstGeom>
                  </pic:spPr>
                </pic:pic>
              </a:graphicData>
            </a:graphic>
            <wp14:sizeRelH relativeFrom="page">
              <wp14:pctWidth>0</wp14:pctWidth>
            </wp14:sizeRelH>
            <wp14:sizeRelV relativeFrom="page">
              <wp14:pctHeight>0</wp14:pctHeight>
            </wp14:sizeRelV>
          </wp:anchor>
        </w:drawing>
      </w:r>
    </w:p>
    <w:p w14:paraId="7792B40D" w14:textId="77777777" w:rsidR="00C72C46" w:rsidRDefault="00C72C46" w:rsidP="00C72C46">
      <w:pPr>
        <w:spacing w:before="240" w:after="240" w:line="240" w:lineRule="auto"/>
        <w:ind w:firstLine="720"/>
        <w:rPr>
          <w:rFonts w:ascii="Times New Roman" w:hAnsi="Times New Roman" w:cs="Times New Roman"/>
        </w:rPr>
      </w:pPr>
    </w:p>
    <w:p w14:paraId="2178B80F" w14:textId="77777777" w:rsidR="00C72C46" w:rsidRDefault="00C72C46" w:rsidP="00C72C46">
      <w:pPr>
        <w:spacing w:before="240" w:after="240" w:line="240" w:lineRule="auto"/>
        <w:ind w:firstLine="720"/>
        <w:rPr>
          <w:rFonts w:ascii="Times New Roman" w:hAnsi="Times New Roman" w:cs="Times New Roman"/>
        </w:rPr>
      </w:pPr>
    </w:p>
    <w:p w14:paraId="5897C758" w14:textId="77777777" w:rsidR="00C72C46" w:rsidRDefault="00C72C46" w:rsidP="00C72C46">
      <w:pPr>
        <w:spacing w:before="240" w:after="240" w:line="240" w:lineRule="auto"/>
        <w:ind w:firstLine="720"/>
        <w:rPr>
          <w:rFonts w:ascii="Times New Roman" w:hAnsi="Times New Roman" w:cs="Times New Roman"/>
        </w:rPr>
      </w:pPr>
    </w:p>
    <w:p w14:paraId="690A23FA" w14:textId="77777777" w:rsidR="00C72C46" w:rsidRDefault="00C72C46" w:rsidP="00C72C46">
      <w:pPr>
        <w:spacing w:before="240" w:after="240" w:line="240" w:lineRule="auto"/>
        <w:ind w:firstLine="720"/>
        <w:rPr>
          <w:rFonts w:ascii="Times New Roman" w:hAnsi="Times New Roman" w:cs="Times New Roman"/>
        </w:rPr>
      </w:pPr>
    </w:p>
    <w:p w14:paraId="0BB40F89" w14:textId="77777777" w:rsidR="00C72C46" w:rsidRDefault="00C72C46" w:rsidP="00C72C46">
      <w:pPr>
        <w:spacing w:before="240" w:after="240" w:line="240" w:lineRule="auto"/>
        <w:ind w:firstLine="720"/>
        <w:rPr>
          <w:rFonts w:ascii="Times New Roman" w:hAnsi="Times New Roman" w:cs="Times New Roman"/>
        </w:rPr>
      </w:pPr>
    </w:p>
    <w:p w14:paraId="3793BF15" w14:textId="77777777" w:rsidR="00C72C46" w:rsidRDefault="00C72C46" w:rsidP="00C72C46">
      <w:pPr>
        <w:spacing w:before="240" w:after="240" w:line="240" w:lineRule="auto"/>
        <w:ind w:firstLine="720"/>
        <w:rPr>
          <w:rFonts w:ascii="Times New Roman" w:hAnsi="Times New Roman" w:cs="Times New Roman"/>
        </w:rPr>
      </w:pPr>
    </w:p>
    <w:p w14:paraId="06CC92C8" w14:textId="77777777" w:rsidR="00C72C46" w:rsidRDefault="00C72C46" w:rsidP="00C72C46">
      <w:pPr>
        <w:spacing w:before="240" w:after="240" w:line="240" w:lineRule="auto"/>
        <w:ind w:firstLine="720"/>
        <w:rPr>
          <w:rFonts w:ascii="Times New Roman" w:hAnsi="Times New Roman" w:cs="Times New Roman"/>
        </w:rPr>
      </w:pPr>
    </w:p>
    <w:p w14:paraId="18EB05E7" w14:textId="77777777" w:rsidR="00C72C46" w:rsidRDefault="00C72C46" w:rsidP="00C72C46">
      <w:pPr>
        <w:spacing w:before="240" w:after="240" w:line="240" w:lineRule="auto"/>
        <w:ind w:firstLine="720"/>
        <w:rPr>
          <w:rFonts w:ascii="Times New Roman" w:hAnsi="Times New Roman" w:cs="Times New Roman"/>
        </w:rPr>
      </w:pPr>
    </w:p>
    <w:p w14:paraId="4E6ADB4C" w14:textId="77777777" w:rsidR="00C72C46" w:rsidRDefault="00C72C46" w:rsidP="00C72C46">
      <w:pPr>
        <w:spacing w:before="240" w:after="240" w:line="240" w:lineRule="auto"/>
        <w:ind w:firstLine="720"/>
        <w:rPr>
          <w:rFonts w:ascii="Times New Roman" w:hAnsi="Times New Roman" w:cs="Times New Roman"/>
        </w:rPr>
      </w:pPr>
    </w:p>
    <w:p w14:paraId="65027B4B" w14:textId="77777777" w:rsidR="00C72C46" w:rsidRDefault="00C72C46" w:rsidP="00C72C46">
      <w:pPr>
        <w:spacing w:before="240" w:after="240" w:line="240" w:lineRule="auto"/>
        <w:ind w:firstLine="720"/>
        <w:rPr>
          <w:rFonts w:ascii="Times New Roman" w:hAnsi="Times New Roman" w:cs="Times New Roman"/>
        </w:rPr>
      </w:pPr>
    </w:p>
    <w:p w14:paraId="73A7D5DD" w14:textId="77777777" w:rsidR="00C72C46" w:rsidRPr="007D3657" w:rsidRDefault="00C72C46" w:rsidP="00C72C46">
      <w:pPr>
        <w:spacing w:before="240" w:after="240" w:line="240" w:lineRule="auto"/>
        <w:ind w:firstLine="720"/>
        <w:rPr>
          <w:rFonts w:ascii="Times New Roman" w:hAnsi="Times New Roman" w:cs="Times New Roman"/>
        </w:rPr>
      </w:pPr>
    </w:p>
    <w:p w14:paraId="7B3974AA" w14:textId="77777777" w:rsidR="00C72C46" w:rsidRPr="007D3657" w:rsidRDefault="00C72C46" w:rsidP="00C72C46">
      <w:pPr>
        <w:spacing w:before="240" w:after="240" w:line="240" w:lineRule="auto"/>
        <w:ind w:firstLine="720"/>
        <w:rPr>
          <w:rFonts w:ascii="Times New Roman" w:hAnsi="Times New Roman" w:cs="Times New Roman"/>
        </w:rPr>
      </w:pPr>
      <w:r w:rsidRPr="007D3657">
        <w:rPr>
          <w:rFonts w:ascii="Times New Roman" w:hAnsi="Times New Roman" w:cs="Times New Roman"/>
        </w:rPr>
        <w:t xml:space="preserve">Care Convene and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are </w:t>
      </w: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patient-facing platforms (MHINSS, 2024e; MHINSS, 2023). Care Convene is a virtual health platform that allows patients to conduct on-demand acute virtual visits with physicians and participate in post-surgical follow-up virtual visits (MHINSS, 2024e). Additionally, it provides health reminders and chronic disease management tools, encouraging patients to take an active role in their care (MHINSS, 2024e).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enables patients to access their health data from multiple sources while also serving as a platform for authorized payers to exchange historical data with each other (MHINSS, 2023). It is </w:t>
      </w: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first tool to use HL7's Fast Healthcare Interoperability Resources (FHIR) standard for information exchange. This allows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to intake various clinical and claims data types and convert them to FHIR resources within a cohesive, cloud-based environment (MHINSS, 2023).</w:t>
      </w:r>
    </w:p>
    <w:p w14:paraId="663D9604" w14:textId="77777777" w:rsidR="00C72C46" w:rsidRPr="007D3657" w:rsidRDefault="00C72C46" w:rsidP="00C72C46">
      <w:pPr>
        <w:spacing w:before="240" w:after="240" w:line="240" w:lineRule="auto"/>
        <w:ind w:firstLine="720"/>
        <w:rPr>
          <w:rFonts w:ascii="Times New Roman" w:hAnsi="Times New Roman" w:cs="Times New Roman"/>
        </w:rPr>
      </w:pPr>
      <w:r w:rsidRPr="007D3657">
        <w:rPr>
          <w:rFonts w:ascii="Times New Roman" w:hAnsi="Times New Roman" w:cs="Times New Roman"/>
        </w:rPr>
        <w:lastRenderedPageBreak/>
        <w:t xml:space="preserve">Using the SWOT analysis method, </w:t>
      </w: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strengths include its role as a strong state HIE with a broad network of providers from 5,637 care entities. Its numerous information exchange tools support patients, providers, payers, and government agencies, improving care coordination and enabling strong public health support.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uses FHIR, which uses RESTful APIs to enable efficient data sharing through modular, web-based standards (HL7, 2025). FHIR is cost-effective, easy to implement, and integrates well with EHRs, mobile apps, and cloud platforms (HL7, 2025). It also meets interoperability requirements set by the 21st Century Cures Act (MHINSS, 2023). FHIR is considered an advancement over previous HL7 standards, combining the best features of HL7 V2, HL7 V3, and CDA (HL7, 2025). Therefore, </w:t>
      </w: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continued reliance on HL7 V2 for </w:t>
      </w:r>
      <w:proofErr w:type="spellStart"/>
      <w:r w:rsidRPr="007D3657">
        <w:rPr>
          <w:rFonts w:ascii="Times New Roman" w:hAnsi="Times New Roman" w:cs="Times New Roman"/>
        </w:rPr>
        <w:t>MIGateway</w:t>
      </w:r>
      <w:proofErr w:type="spellEnd"/>
      <w:r w:rsidRPr="007D3657">
        <w:rPr>
          <w:rFonts w:ascii="Times New Roman" w:hAnsi="Times New Roman" w:cs="Times New Roman"/>
        </w:rPr>
        <w:t xml:space="preserve"> could be seen as a weakness. Another potential weakness for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is the challenge of coordinating governance between public and private stakeholders, which could slow decision-making.</w:t>
      </w:r>
    </w:p>
    <w:p w14:paraId="63B105D2" w14:textId="2645E097" w:rsidR="00C72C46" w:rsidRPr="007D3657" w:rsidRDefault="00C72C46" w:rsidP="00C72C46">
      <w:pPr>
        <w:spacing w:before="240" w:after="240" w:line="240" w:lineRule="auto"/>
        <w:ind w:firstLine="720"/>
        <w:rPr>
          <w:rFonts w:ascii="Times New Roman" w:hAnsi="Times New Roman" w:cs="Times New Roman"/>
        </w:rPr>
      </w:pP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use of FHIR with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creates an opportunity to expand FHIR-based information exchange across its platforms. Previous experience would make implementing FHIR in other platforms more efficient and reduce potential challenges. Another opportunity for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is to collaborate with academic institutions in Michigan to support health research through data sharing. A threat to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is the Qualified Health </w:t>
      </w:r>
      <w:r w:rsidR="00A01E50">
        <w:rPr>
          <w:rFonts w:ascii="Times New Roman" w:hAnsi="Times New Roman" w:cs="Times New Roman"/>
        </w:rPr>
        <w:t xml:space="preserve">Information </w:t>
      </w:r>
      <w:r w:rsidRPr="007D3657">
        <w:rPr>
          <w:rFonts w:ascii="Times New Roman" w:hAnsi="Times New Roman" w:cs="Times New Roman"/>
        </w:rPr>
        <w:t>Networks (QHINs) under The Trusted Exchange Framework and Common Agreement (TEFCA). TEFCA's goal is to establish a unified, nationwide framework for HIE by designating interconnected organizations, or QHINs (</w:t>
      </w:r>
      <w:proofErr w:type="spellStart"/>
      <w:r w:rsidRPr="007D3657">
        <w:rPr>
          <w:rFonts w:ascii="Times New Roman" w:hAnsi="Times New Roman" w:cs="Times New Roman"/>
        </w:rPr>
        <w:t>CommonWell</w:t>
      </w:r>
      <w:proofErr w:type="spellEnd"/>
      <w:r w:rsidRPr="007D3657">
        <w:rPr>
          <w:rFonts w:ascii="Times New Roman" w:hAnsi="Times New Roman" w:cs="Times New Roman"/>
        </w:rPr>
        <w:t xml:space="preserve"> Health Alliance, 2024). As of February 2024, seven organizations, including </w:t>
      </w:r>
      <w:proofErr w:type="spellStart"/>
      <w:r w:rsidRPr="007D3657">
        <w:rPr>
          <w:rFonts w:ascii="Times New Roman" w:hAnsi="Times New Roman" w:cs="Times New Roman"/>
        </w:rPr>
        <w:t>CommonWell</w:t>
      </w:r>
      <w:proofErr w:type="spellEnd"/>
      <w:r w:rsidRPr="007D3657">
        <w:rPr>
          <w:rFonts w:ascii="Times New Roman" w:hAnsi="Times New Roman" w:cs="Times New Roman"/>
        </w:rPr>
        <w:t xml:space="preserve"> and Epic, have been officially designated QHINs (Raths, 2024). The national reach of QHINs may attract healthcare providers seeking broader interoperability, potentially diminishing </w:t>
      </w: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role within Michigan. Epic, one of the most widely used EHR systems in U.S. hospitals, joining TEFCA further strengthens the appeal of QHINs, increasing competition for state-level HIEs like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w:t>
      </w:r>
      <w:proofErr w:type="spellStart"/>
      <w:r w:rsidRPr="007D3657">
        <w:rPr>
          <w:rFonts w:ascii="Times New Roman" w:hAnsi="Times New Roman" w:cs="Times New Roman"/>
        </w:rPr>
        <w:t>Tieché</w:t>
      </w:r>
      <w:proofErr w:type="spellEnd"/>
      <w:r w:rsidRPr="007D3657">
        <w:rPr>
          <w:rFonts w:ascii="Times New Roman" w:hAnsi="Times New Roman" w:cs="Times New Roman"/>
        </w:rPr>
        <w:t xml:space="preserve">, 2024). Another threat to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is cybersecurity risks. Since FHIR operates in a cloud-based environment, </w:t>
      </w:r>
      <w:proofErr w:type="spellStart"/>
      <w:r w:rsidRPr="007D3657">
        <w:rPr>
          <w:rFonts w:ascii="Times New Roman" w:hAnsi="Times New Roman" w:cs="Times New Roman"/>
        </w:rPr>
        <w:t>InterOp</w:t>
      </w:r>
      <w:proofErr w:type="spellEnd"/>
      <w:r w:rsidRPr="007D3657">
        <w:rPr>
          <w:rFonts w:ascii="Times New Roman" w:hAnsi="Times New Roman" w:cs="Times New Roman"/>
        </w:rPr>
        <w:t xml:space="preserve"> Station is vulnerable to ransomware attacks and breaches caused by cloud misconfigurations (Eddy, 2024).</w:t>
      </w:r>
    </w:p>
    <w:p w14:paraId="1939387C" w14:textId="34733020" w:rsidR="00C72C46" w:rsidRPr="007D3657" w:rsidRDefault="00C72C46" w:rsidP="00C72C46">
      <w:pPr>
        <w:spacing w:before="240" w:after="240" w:line="240" w:lineRule="auto"/>
        <w:ind w:firstLine="720"/>
        <w:rPr>
          <w:rFonts w:ascii="Times New Roman" w:hAnsi="Times New Roman" w:cs="Times New Roman"/>
        </w:rPr>
      </w:pPr>
      <w:proofErr w:type="spellStart"/>
      <w:r w:rsidRPr="007D3657">
        <w:rPr>
          <w:rFonts w:ascii="Times New Roman" w:hAnsi="Times New Roman" w:cs="Times New Roman"/>
        </w:rPr>
        <w:t>MiHIN's</w:t>
      </w:r>
      <w:proofErr w:type="spellEnd"/>
      <w:r w:rsidRPr="007D3657">
        <w:rPr>
          <w:rFonts w:ascii="Times New Roman" w:hAnsi="Times New Roman" w:cs="Times New Roman"/>
        </w:rPr>
        <w:t xml:space="preserve"> 2024-2028 strategic plan is centered around four goals: improving capabilities to support comprehensive data needs, providing excellent services to patients and providers, building an innovative and diverse workforce, and supporting behavioral, public, and population health initiatives (MHINSS, 2024a). To align with these goals,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can further expand FHIR-based information exchange to </w:t>
      </w:r>
      <w:proofErr w:type="spellStart"/>
      <w:r w:rsidRPr="007D3657">
        <w:rPr>
          <w:rFonts w:ascii="Times New Roman" w:hAnsi="Times New Roman" w:cs="Times New Roman"/>
        </w:rPr>
        <w:t>MIGateway</w:t>
      </w:r>
      <w:proofErr w:type="spellEnd"/>
      <w:r w:rsidRPr="007D3657">
        <w:rPr>
          <w:rFonts w:ascii="Times New Roman" w:hAnsi="Times New Roman" w:cs="Times New Roman"/>
        </w:rPr>
        <w:t>. This advancement would extend FH</w:t>
      </w:r>
      <w:r w:rsidR="00785B1D">
        <w:rPr>
          <w:rFonts w:ascii="Times New Roman" w:hAnsi="Times New Roman" w:cs="Times New Roman"/>
        </w:rPr>
        <w:t>I</w:t>
      </w:r>
      <w:r w:rsidRPr="007D3657">
        <w:rPr>
          <w:rFonts w:ascii="Times New Roman" w:hAnsi="Times New Roman" w:cs="Times New Roman"/>
        </w:rPr>
        <w:t xml:space="preserve">R's benefits to providers, improving clinical workflows and provider access to consistent, up-to-date patient data (HL7, 2025).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should also establish formal partnerships with Michigan universities and research centers, providing de-identified patient data for medical research, public health initiatives, and population health analytics. To address cybersecurity risks,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should invest in AI-driven threat detection and establish strong cloud security protocols.</w:t>
      </w:r>
    </w:p>
    <w:p w14:paraId="4338B5CD" w14:textId="77777777" w:rsidR="00C72C46" w:rsidRDefault="00C72C46" w:rsidP="00C72C46">
      <w:pPr>
        <w:spacing w:before="240" w:after="240" w:line="240" w:lineRule="auto"/>
        <w:ind w:firstLine="720"/>
        <w:rPr>
          <w:rFonts w:ascii="Times New Roman" w:hAnsi="Times New Roman" w:cs="Times New Roman"/>
        </w:rPr>
      </w:pP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has established itself as a vital HIE in Michigan, reaching a broad network of providers and offering a variety of data exchange tools.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has embraced new advancements in health IT, such as integrating FHIR into one of its platforms. Expanding its capabilities and strengthening its network will ensure that </w:t>
      </w:r>
      <w:proofErr w:type="spellStart"/>
      <w:r w:rsidRPr="007D3657">
        <w:rPr>
          <w:rFonts w:ascii="Times New Roman" w:hAnsi="Times New Roman" w:cs="Times New Roman"/>
        </w:rPr>
        <w:t>MiHIN</w:t>
      </w:r>
      <w:proofErr w:type="spellEnd"/>
      <w:r w:rsidRPr="007D3657">
        <w:rPr>
          <w:rFonts w:ascii="Times New Roman" w:hAnsi="Times New Roman" w:cs="Times New Roman"/>
        </w:rPr>
        <w:t xml:space="preserve"> remains a relevant and effective HIE in the evolving healthcare landscape.</w:t>
      </w:r>
    </w:p>
    <w:p w14:paraId="3DCD1809" w14:textId="77777777" w:rsidR="00A01E50" w:rsidRDefault="00A01E50" w:rsidP="00A01E50">
      <w:pPr>
        <w:spacing w:after="0" w:line="240" w:lineRule="auto"/>
        <w:rPr>
          <w:rFonts w:ascii="Times New Roman" w:hAnsi="Times New Roman" w:cs="Times New Roman"/>
        </w:rPr>
      </w:pPr>
    </w:p>
    <w:p w14:paraId="4015FD07" w14:textId="148B446F" w:rsidR="003A597E" w:rsidRPr="003A597E" w:rsidRDefault="003A597E" w:rsidP="00A01E50">
      <w:pPr>
        <w:spacing w:after="0" w:line="240" w:lineRule="auto"/>
        <w:jc w:val="center"/>
        <w:rPr>
          <w:rFonts w:ascii="Times New Roman" w:hAnsi="Times New Roman"/>
          <w:b/>
          <w:bCs/>
        </w:rPr>
      </w:pPr>
      <w:r w:rsidRPr="003A597E">
        <w:rPr>
          <w:rFonts w:ascii="Times New Roman" w:hAnsi="Times New Roman"/>
          <w:b/>
          <w:bCs/>
        </w:rPr>
        <w:lastRenderedPageBreak/>
        <w:t>References</w:t>
      </w:r>
    </w:p>
    <w:p w14:paraId="2698BC47" w14:textId="77777777" w:rsidR="003A597E" w:rsidRDefault="003A597E" w:rsidP="003A59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Menlo"/>
          <w:color w:val="404040"/>
          <w:szCs w:val="18"/>
        </w:rPr>
      </w:pPr>
    </w:p>
    <w:p w14:paraId="4C7BB540" w14:textId="79F3123F" w:rsidR="003A597E" w:rsidRDefault="003A597E" w:rsidP="003A597E">
      <w:pPr>
        <w:spacing w:after="0" w:line="240" w:lineRule="auto"/>
        <w:ind w:left="720" w:hanging="720"/>
      </w:pPr>
      <w:proofErr w:type="spellStart"/>
      <w:r>
        <w:rPr>
          <w:rFonts w:ascii="Times New Roman" w:hAnsi="Times New Roman" w:cs="Times New Roman"/>
        </w:rPr>
        <w:t>Caristix</w:t>
      </w:r>
      <w:proofErr w:type="spellEnd"/>
      <w:r>
        <w:rPr>
          <w:rFonts w:ascii="Times New Roman" w:hAnsi="Times New Roman" w:cs="Times New Roman"/>
        </w:rPr>
        <w:t xml:space="preserve">. (2025). </w:t>
      </w:r>
      <w:r>
        <w:rPr>
          <w:rFonts w:ascii="Times New Roman" w:hAnsi="Times New Roman" w:cs="Times New Roman"/>
          <w:i/>
        </w:rPr>
        <w:t>HL7 Standard Message / Trigger Event List (HL7 v2.3)</w:t>
      </w:r>
      <w:r>
        <w:rPr>
          <w:rFonts w:ascii="Times New Roman" w:hAnsi="Times New Roman" w:cs="Times New Roman"/>
        </w:rPr>
        <w:t xml:space="preserve">. </w:t>
      </w:r>
      <w:proofErr w:type="spellStart"/>
      <w:proofErr w:type="gramStart"/>
      <w:r>
        <w:rPr>
          <w:rFonts w:ascii="Times New Roman" w:hAnsi="Times New Roman" w:cs="Times New Roman"/>
        </w:rPr>
        <w:t>Caristix</w:t>
      </w:r>
      <w:proofErr w:type="spellEnd"/>
      <w:r>
        <w:rPr>
          <w:rFonts w:ascii="Times New Roman" w:hAnsi="Times New Roman" w:cs="Times New Roman"/>
        </w:rPr>
        <w:t xml:space="preserve"> .</w:t>
      </w:r>
      <w:proofErr w:type="gramEnd"/>
      <w:r>
        <w:rPr>
          <w:rFonts w:ascii="Times New Roman" w:hAnsi="Times New Roman" w:cs="Times New Roman"/>
        </w:rPr>
        <w:t xml:space="preserve"> https://hl7-definition.caristix.com/v2/HL7v2.3/TriggerEvents </w:t>
      </w:r>
    </w:p>
    <w:p w14:paraId="40E540B3" w14:textId="77777777" w:rsidR="003A597E" w:rsidRDefault="003A597E" w:rsidP="003A597E">
      <w:pPr>
        <w:spacing w:after="0" w:line="240" w:lineRule="auto"/>
        <w:ind w:left="720" w:hanging="720"/>
      </w:pPr>
      <w:proofErr w:type="spellStart"/>
      <w:r>
        <w:rPr>
          <w:rFonts w:ascii="Times New Roman" w:hAnsi="Times New Roman" w:cs="Times New Roman"/>
        </w:rPr>
        <w:t>CommonWell</w:t>
      </w:r>
      <w:proofErr w:type="spellEnd"/>
      <w:r>
        <w:rPr>
          <w:rFonts w:ascii="Times New Roman" w:hAnsi="Times New Roman" w:cs="Times New Roman"/>
        </w:rPr>
        <w:t xml:space="preserve"> Health Alliance. (2024, December 11). </w:t>
      </w:r>
      <w:r>
        <w:rPr>
          <w:rFonts w:ascii="Times New Roman" w:hAnsi="Times New Roman" w:cs="Times New Roman"/>
          <w:i/>
        </w:rPr>
        <w:t>TEFCA</w:t>
      </w:r>
      <w:r>
        <w:rPr>
          <w:rFonts w:ascii="Times New Roman" w:hAnsi="Times New Roman" w:cs="Times New Roman"/>
        </w:rPr>
        <w:t xml:space="preserve">. </w:t>
      </w:r>
      <w:proofErr w:type="spellStart"/>
      <w:r>
        <w:rPr>
          <w:rFonts w:ascii="Times New Roman" w:hAnsi="Times New Roman" w:cs="Times New Roman"/>
        </w:rPr>
        <w:t>CommonWell</w:t>
      </w:r>
      <w:proofErr w:type="spellEnd"/>
      <w:r>
        <w:rPr>
          <w:rFonts w:ascii="Times New Roman" w:hAnsi="Times New Roman" w:cs="Times New Roman"/>
        </w:rPr>
        <w:t xml:space="preserve"> Health Alliance. https://www.commonwellalliance.org/tefca/ </w:t>
      </w:r>
    </w:p>
    <w:p w14:paraId="35EFF4CF" w14:textId="77777777" w:rsidR="003A597E" w:rsidRDefault="003A597E" w:rsidP="003A597E">
      <w:pPr>
        <w:spacing w:after="0" w:line="240" w:lineRule="auto"/>
        <w:ind w:left="720" w:hanging="720"/>
      </w:pPr>
      <w:r>
        <w:rPr>
          <w:rFonts w:ascii="Times New Roman" w:hAnsi="Times New Roman" w:cs="Times New Roman"/>
        </w:rPr>
        <w:t xml:space="preserve">Eddy, N. (2024, June 24). </w:t>
      </w:r>
      <w:r>
        <w:rPr>
          <w:rFonts w:ascii="Times New Roman" w:hAnsi="Times New Roman" w:cs="Times New Roman"/>
          <w:i/>
        </w:rPr>
        <w:t>2025’s Biggest Healthcare Cybersecurity Threats</w:t>
      </w:r>
      <w:r>
        <w:rPr>
          <w:rFonts w:ascii="Times New Roman" w:hAnsi="Times New Roman" w:cs="Times New Roman"/>
        </w:rPr>
        <w:t xml:space="preserve">. </w:t>
      </w:r>
      <w:proofErr w:type="spellStart"/>
      <w:r>
        <w:rPr>
          <w:rFonts w:ascii="Times New Roman" w:hAnsi="Times New Roman" w:cs="Times New Roman"/>
        </w:rPr>
        <w:t>HealthTech</w:t>
      </w:r>
      <w:proofErr w:type="spellEnd"/>
      <w:r>
        <w:rPr>
          <w:rFonts w:ascii="Times New Roman" w:hAnsi="Times New Roman" w:cs="Times New Roman"/>
        </w:rPr>
        <w:t xml:space="preserve">. https://healthtechmagazine.net/article/2025/01/healthcare-cybersecurity-threats-2025-perfcon#:~:text=The%20top%20threats%20facing%20healthcare,AI%20and%20large%20language%20models </w:t>
      </w:r>
    </w:p>
    <w:p w14:paraId="518F849C" w14:textId="77777777" w:rsidR="003A597E" w:rsidRDefault="003A597E" w:rsidP="003A597E">
      <w:pPr>
        <w:spacing w:after="0" w:line="240" w:lineRule="auto"/>
        <w:ind w:left="720" w:hanging="720"/>
      </w:pPr>
      <w:r>
        <w:rPr>
          <w:rFonts w:ascii="Times New Roman" w:hAnsi="Times New Roman" w:cs="Times New Roman"/>
        </w:rPr>
        <w:t xml:space="preserve">HL7. (2025). </w:t>
      </w:r>
      <w:r>
        <w:rPr>
          <w:rFonts w:ascii="Times New Roman" w:hAnsi="Times New Roman" w:cs="Times New Roman"/>
          <w:i/>
        </w:rPr>
        <w:t>2.1.20 Introducing HL7 FHIR</w:t>
      </w:r>
      <w:r>
        <w:rPr>
          <w:rFonts w:ascii="Times New Roman" w:hAnsi="Times New Roman" w:cs="Times New Roman"/>
        </w:rPr>
        <w:t xml:space="preserve">. HL7.org. https://hl7.org/fhir/summary.html </w:t>
      </w:r>
    </w:p>
    <w:p w14:paraId="09DF4598" w14:textId="77777777" w:rsidR="003A597E" w:rsidRDefault="003A597E" w:rsidP="003A597E">
      <w:pPr>
        <w:spacing w:after="0" w:line="240" w:lineRule="auto"/>
        <w:ind w:left="720" w:hanging="720"/>
      </w:pPr>
      <w:r>
        <w:rPr>
          <w:rFonts w:ascii="Times New Roman" w:hAnsi="Times New Roman" w:cs="Times New Roman"/>
        </w:rPr>
        <w:t xml:space="preserve">Michigan Department of Health and Human </w:t>
      </w:r>
      <w:proofErr w:type="gramStart"/>
      <w:r>
        <w:rPr>
          <w:rFonts w:ascii="Times New Roman" w:hAnsi="Times New Roman" w:cs="Times New Roman"/>
        </w:rPr>
        <w:t>Services .</w:t>
      </w:r>
      <w:proofErr w:type="gramEnd"/>
      <w:r>
        <w:rPr>
          <w:rFonts w:ascii="Times New Roman" w:hAnsi="Times New Roman" w:cs="Times New Roman"/>
        </w:rPr>
        <w:t xml:space="preserve"> (2010, April 30). </w:t>
      </w:r>
      <w:r>
        <w:rPr>
          <w:rFonts w:ascii="Times New Roman" w:hAnsi="Times New Roman" w:cs="Times New Roman"/>
          <w:i/>
        </w:rPr>
        <w:t xml:space="preserve">State of Michigan </w:t>
      </w:r>
      <w:proofErr w:type="spellStart"/>
      <w:r>
        <w:rPr>
          <w:rFonts w:ascii="Times New Roman" w:hAnsi="Times New Roman" w:cs="Times New Roman"/>
          <w:i/>
        </w:rPr>
        <w:t>MiHIN</w:t>
      </w:r>
      <w:proofErr w:type="spellEnd"/>
      <w:r>
        <w:rPr>
          <w:rFonts w:ascii="Times New Roman" w:hAnsi="Times New Roman" w:cs="Times New Roman"/>
          <w:i/>
        </w:rPr>
        <w:t xml:space="preserve"> Shared Services Strategic Plan</w:t>
      </w:r>
      <w:r>
        <w:rPr>
          <w:rFonts w:ascii="Times New Roman" w:hAnsi="Times New Roman" w:cs="Times New Roman"/>
        </w:rPr>
        <w:t xml:space="preserve">. michigan.gov. https://www.michigan.gov/mdhhs/-/media/Project/Websites/mdhhs/Doing-Business-with-MDHHS/Boards-and-Commissions/Health-Information-Technology-Commission/HIT-Annual-Reports/MiHIN_Shared_Services_Strategic_Plan_4-30-10_320156_7.pdf?rev=4215de343d384e248dc7d76f8b1f1543&amp;hash=074D2E4D22F741D4F94A4EB10D9950B2 </w:t>
      </w:r>
    </w:p>
    <w:p w14:paraId="557D816E"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w:t>
      </w:r>
      <w:proofErr w:type="gramStart"/>
      <w:r>
        <w:rPr>
          <w:rFonts w:ascii="Times New Roman" w:hAnsi="Times New Roman" w:cs="Times New Roman"/>
        </w:rPr>
        <w:t>Services .</w:t>
      </w:r>
      <w:proofErr w:type="gramEnd"/>
      <w:r>
        <w:rPr>
          <w:rFonts w:ascii="Times New Roman" w:hAnsi="Times New Roman" w:cs="Times New Roman"/>
        </w:rPr>
        <w:t xml:space="preserve"> (2023, June 5). </w:t>
      </w:r>
      <w:proofErr w:type="spellStart"/>
      <w:r>
        <w:rPr>
          <w:rFonts w:ascii="Times New Roman" w:hAnsi="Times New Roman" w:cs="Times New Roman"/>
          <w:i/>
        </w:rPr>
        <w:t>InterOp</w:t>
      </w:r>
      <w:proofErr w:type="spellEnd"/>
      <w:r>
        <w:rPr>
          <w:rFonts w:ascii="Times New Roman" w:hAnsi="Times New Roman" w:cs="Times New Roman"/>
          <w:i/>
        </w:rPr>
        <w:t xml:space="preserve"> Station</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https://mihin.org/interop-station-2/ </w:t>
      </w:r>
    </w:p>
    <w:p w14:paraId="4ADB2F0E"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w:t>
      </w:r>
      <w:proofErr w:type="gramStart"/>
      <w:r>
        <w:rPr>
          <w:rFonts w:ascii="Times New Roman" w:hAnsi="Times New Roman" w:cs="Times New Roman"/>
        </w:rPr>
        <w:t>Services .</w:t>
      </w:r>
      <w:proofErr w:type="gramEnd"/>
      <w:r>
        <w:rPr>
          <w:rFonts w:ascii="Times New Roman" w:hAnsi="Times New Roman" w:cs="Times New Roman"/>
        </w:rPr>
        <w:t xml:space="preserve"> (2024f, November 14). </w:t>
      </w:r>
      <w:proofErr w:type="spellStart"/>
      <w:r>
        <w:rPr>
          <w:rFonts w:ascii="Times New Roman" w:hAnsi="Times New Roman" w:cs="Times New Roman"/>
          <w:i/>
        </w:rPr>
        <w:t>MIGateway</w:t>
      </w:r>
      <w:proofErr w:type="spellEnd"/>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https://mihin.org/migateway/ </w:t>
      </w:r>
    </w:p>
    <w:p w14:paraId="55A8FA9C"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(2020a, July 10). </w:t>
      </w:r>
      <w:r>
        <w:rPr>
          <w:rFonts w:ascii="Times New Roman" w:hAnsi="Times New Roman" w:cs="Times New Roman"/>
          <w:i/>
        </w:rPr>
        <w:t>Longitudinal Record Implementation Guide</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https://mihin.org/wp-content/uploads/2020/07/MiHIN-UCIG-Longitudinal-Record_v7_7-10-2020.pdf </w:t>
      </w:r>
    </w:p>
    <w:p w14:paraId="4EA31A4C"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(2020b, October 7). </w:t>
      </w:r>
      <w:r>
        <w:rPr>
          <w:rFonts w:ascii="Times New Roman" w:hAnsi="Times New Roman" w:cs="Times New Roman"/>
          <w:i/>
        </w:rPr>
        <w:t>Summary of Care Implementation Guide</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https://mihin.org/wp-content/uploads/2020/10/MiHIN-UCIG-Ambulatory-Summary-v8-10-07-2020.pdf </w:t>
      </w:r>
    </w:p>
    <w:p w14:paraId="6234B777"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(2024a, April 17). </w:t>
      </w:r>
      <w:r>
        <w:rPr>
          <w:rFonts w:ascii="Times New Roman" w:hAnsi="Times New Roman" w:cs="Times New Roman"/>
          <w:i/>
        </w:rPr>
        <w:t>Strategic Plan</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https://mihin.org/strategicplan/ </w:t>
      </w:r>
    </w:p>
    <w:p w14:paraId="1B6F329D"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(2024b, May 1). </w:t>
      </w:r>
      <w:r>
        <w:rPr>
          <w:rFonts w:ascii="Times New Roman" w:hAnsi="Times New Roman" w:cs="Times New Roman"/>
          <w:i/>
        </w:rPr>
        <w:t>Admission, Discharge, Transfer Notifications Implementation Guide</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https://mihin.org/wp-content/uploads/2024/08/MIHIN-UCIG-ADT-Notifications-05-01-2024.pdf </w:t>
      </w:r>
    </w:p>
    <w:p w14:paraId="13F57779"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(2024c, July 30). </w:t>
      </w:r>
      <w:r>
        <w:rPr>
          <w:rFonts w:ascii="Times New Roman" w:hAnsi="Times New Roman" w:cs="Times New Roman"/>
          <w:i/>
        </w:rPr>
        <w:t>Products and Use Cases</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https://mihin.org/products-list/ </w:t>
      </w:r>
    </w:p>
    <w:p w14:paraId="4AF5068B"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(2024d, November 11). </w:t>
      </w:r>
      <w:r>
        <w:rPr>
          <w:rFonts w:ascii="Times New Roman" w:hAnsi="Times New Roman" w:cs="Times New Roman"/>
          <w:i/>
        </w:rPr>
        <w:t>Health information for the State</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https://mihin.org/health-information-for-the-state-use-case/ </w:t>
      </w:r>
    </w:p>
    <w:p w14:paraId="3508D511"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(2024e, November 15). </w:t>
      </w:r>
      <w:r>
        <w:rPr>
          <w:rFonts w:ascii="Times New Roman" w:hAnsi="Times New Roman" w:cs="Times New Roman"/>
          <w:i/>
        </w:rPr>
        <w:t>Care Convene</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https://mihin.org/careconvene/ </w:t>
      </w:r>
    </w:p>
    <w:p w14:paraId="2EE2CD76"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(2025a, February 3). </w:t>
      </w:r>
      <w:r>
        <w:rPr>
          <w:rFonts w:ascii="Times New Roman" w:hAnsi="Times New Roman" w:cs="Times New Roman"/>
          <w:i/>
        </w:rPr>
        <w:t>Direct Secure Messaging</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https://mihin.org/diretto/ </w:t>
      </w:r>
    </w:p>
    <w:p w14:paraId="4DF0EB01"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(2025b, February 14). </w:t>
      </w:r>
      <w:r>
        <w:rPr>
          <w:rFonts w:ascii="Times New Roman" w:hAnsi="Times New Roman" w:cs="Times New Roman"/>
          <w:i/>
        </w:rPr>
        <w:t>Our Network</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https://mihin.org/our-network-v22/ </w:t>
      </w:r>
    </w:p>
    <w:p w14:paraId="2E74559D" w14:textId="77777777" w:rsidR="003A597E" w:rsidRDefault="003A597E" w:rsidP="003A597E">
      <w:pPr>
        <w:spacing w:after="0" w:line="240" w:lineRule="auto"/>
        <w:ind w:left="720" w:hanging="720"/>
      </w:pPr>
      <w:r>
        <w:rPr>
          <w:rFonts w:ascii="Times New Roman" w:hAnsi="Times New Roman" w:cs="Times New Roman"/>
        </w:rPr>
        <w:t xml:space="preserve">Michigan Health Information Network Shared Services. (2025c, February 14). </w:t>
      </w:r>
      <w:r>
        <w:rPr>
          <w:rFonts w:ascii="Times New Roman" w:hAnsi="Times New Roman" w:cs="Times New Roman"/>
          <w:i/>
        </w:rPr>
        <w:t>Who We Are</w:t>
      </w:r>
      <w:r>
        <w:rPr>
          <w:rFonts w:ascii="Times New Roman" w:hAnsi="Times New Roman" w:cs="Times New Roman"/>
        </w:rPr>
        <w:t xml:space="preserve">. </w:t>
      </w:r>
      <w:proofErr w:type="spellStart"/>
      <w:r>
        <w:rPr>
          <w:rFonts w:ascii="Times New Roman" w:hAnsi="Times New Roman" w:cs="Times New Roman"/>
        </w:rPr>
        <w:t>MiHIN</w:t>
      </w:r>
      <w:proofErr w:type="spellEnd"/>
      <w:r>
        <w:rPr>
          <w:rFonts w:ascii="Times New Roman" w:hAnsi="Times New Roman" w:cs="Times New Roman"/>
        </w:rPr>
        <w:t xml:space="preserve">. https://mihin.org/who-we-are-v22/ </w:t>
      </w:r>
    </w:p>
    <w:p w14:paraId="4005301E" w14:textId="77777777" w:rsidR="003A597E" w:rsidRDefault="003A597E" w:rsidP="003A597E">
      <w:pPr>
        <w:spacing w:after="0" w:line="240" w:lineRule="auto"/>
        <w:ind w:left="720" w:hanging="720"/>
      </w:pPr>
      <w:r>
        <w:rPr>
          <w:rFonts w:ascii="Times New Roman" w:hAnsi="Times New Roman" w:cs="Times New Roman"/>
        </w:rPr>
        <w:lastRenderedPageBreak/>
        <w:t>O’Toole, D., O’Toole, S., &amp; Steely, L. (2013). Michigan Health Information Network (</w:t>
      </w:r>
      <w:proofErr w:type="spellStart"/>
      <w:r>
        <w:rPr>
          <w:rFonts w:ascii="Times New Roman" w:hAnsi="Times New Roman" w:cs="Times New Roman"/>
        </w:rPr>
        <w:t>MiHIN</w:t>
      </w:r>
      <w:proofErr w:type="spellEnd"/>
      <w:r>
        <w:rPr>
          <w:rFonts w:ascii="Times New Roman" w:hAnsi="Times New Roman" w:cs="Times New Roman"/>
        </w:rPr>
        <w:t xml:space="preserve">) Shared Services vs. the HIE Shared Services in Other States vs. the HIE Shared Services in Other States. </w:t>
      </w:r>
      <w:r>
        <w:rPr>
          <w:rFonts w:ascii="Times New Roman" w:hAnsi="Times New Roman" w:cs="Times New Roman"/>
          <w:i/>
        </w:rPr>
        <w:t>Transactions of the International Conference on Health Information Technology Advancement</w:t>
      </w:r>
      <w:r>
        <w:rPr>
          <w:rFonts w:ascii="Times New Roman" w:hAnsi="Times New Roman" w:cs="Times New Roman"/>
        </w:rPr>
        <w:t xml:space="preserve">, </w:t>
      </w:r>
      <w:r>
        <w:rPr>
          <w:rFonts w:ascii="Times New Roman" w:hAnsi="Times New Roman" w:cs="Times New Roman"/>
          <w:i/>
        </w:rPr>
        <w:t>39</w:t>
      </w:r>
      <w:r>
        <w:rPr>
          <w:rFonts w:ascii="Times New Roman" w:hAnsi="Times New Roman" w:cs="Times New Roman"/>
        </w:rPr>
        <w:t xml:space="preserve">. </w:t>
      </w:r>
    </w:p>
    <w:p w14:paraId="2213BEB3" w14:textId="77777777" w:rsidR="003A597E" w:rsidRDefault="003A597E" w:rsidP="003A597E">
      <w:pPr>
        <w:spacing w:after="0" w:line="240" w:lineRule="auto"/>
        <w:ind w:left="720" w:hanging="720"/>
      </w:pPr>
      <w:r>
        <w:rPr>
          <w:rFonts w:ascii="Times New Roman" w:hAnsi="Times New Roman" w:cs="Times New Roman"/>
        </w:rPr>
        <w:t xml:space="preserve">Raths, D. (2024, February 12). </w:t>
      </w:r>
      <w:r>
        <w:rPr>
          <w:rFonts w:ascii="Times New Roman" w:hAnsi="Times New Roman" w:cs="Times New Roman"/>
          <w:i/>
        </w:rPr>
        <w:t>List of TEFCA QHINs Grows to Seven</w:t>
      </w:r>
      <w:r>
        <w:rPr>
          <w:rFonts w:ascii="Times New Roman" w:hAnsi="Times New Roman" w:cs="Times New Roman"/>
        </w:rPr>
        <w:t xml:space="preserve">. Healthcare Innovation. https://www.hcinnovationgroup.com/interoperability-hie/trusted-exchange-framework-and-common-agreement-tefca/news/53096295/list-of-tefca-qhins-grows-to-seven </w:t>
      </w:r>
    </w:p>
    <w:p w14:paraId="6A879DA9" w14:textId="77777777" w:rsidR="003A597E" w:rsidRDefault="003A597E" w:rsidP="003A597E">
      <w:pPr>
        <w:spacing w:after="0" w:line="240" w:lineRule="auto"/>
        <w:ind w:left="720" w:hanging="720"/>
      </w:pPr>
      <w:proofErr w:type="spellStart"/>
      <w:r>
        <w:rPr>
          <w:rFonts w:ascii="Times New Roman" w:hAnsi="Times New Roman" w:cs="Times New Roman"/>
        </w:rPr>
        <w:t>Tieché</w:t>
      </w:r>
      <w:proofErr w:type="spellEnd"/>
      <w:r>
        <w:rPr>
          <w:rFonts w:ascii="Times New Roman" w:hAnsi="Times New Roman" w:cs="Times New Roman"/>
        </w:rPr>
        <w:t xml:space="preserve">, M. (2024, January 10). </w:t>
      </w:r>
      <w:r>
        <w:rPr>
          <w:rFonts w:ascii="Times New Roman" w:hAnsi="Times New Roman" w:cs="Times New Roman"/>
          <w:i/>
        </w:rPr>
        <w:t>Most common hospital EHR Systems by market share</w:t>
      </w:r>
      <w:r>
        <w:rPr>
          <w:rFonts w:ascii="Times New Roman" w:hAnsi="Times New Roman" w:cs="Times New Roman"/>
        </w:rPr>
        <w:t xml:space="preserve">. Definitive Healthcare. https://www.definitivehc.com/blog/most-common-inpatient-ehr-systems </w:t>
      </w:r>
    </w:p>
    <w:p w14:paraId="65E50DAC" w14:textId="77777777" w:rsidR="003A597E" w:rsidRPr="007D3657" w:rsidRDefault="003A597E" w:rsidP="00C72C46">
      <w:pPr>
        <w:spacing w:before="240" w:after="240" w:line="240" w:lineRule="auto"/>
        <w:ind w:firstLine="720"/>
        <w:rPr>
          <w:rFonts w:ascii="Times New Roman" w:hAnsi="Times New Roman" w:cs="Times New Roman"/>
        </w:rPr>
      </w:pPr>
    </w:p>
    <w:p w14:paraId="36A3FEB9" w14:textId="77777777" w:rsidR="00C72C46" w:rsidRPr="000412B9" w:rsidRDefault="00C72C46" w:rsidP="00653161">
      <w:pPr>
        <w:ind w:firstLine="720"/>
        <w:rPr>
          <w:rFonts w:ascii="Times New Roman" w:hAnsi="Times New Roman" w:cs="Times New Roman"/>
        </w:rPr>
      </w:pPr>
    </w:p>
    <w:sectPr w:rsidR="00C72C46" w:rsidRPr="0004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swiss"/>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C1"/>
    <w:rsid w:val="000412B9"/>
    <w:rsid w:val="00051BC4"/>
    <w:rsid w:val="0007504C"/>
    <w:rsid w:val="000827D1"/>
    <w:rsid w:val="000A0F9E"/>
    <w:rsid w:val="000A68C1"/>
    <w:rsid w:val="000C1D09"/>
    <w:rsid w:val="000D7579"/>
    <w:rsid w:val="000E3A8E"/>
    <w:rsid w:val="00147C69"/>
    <w:rsid w:val="00182565"/>
    <w:rsid w:val="00184725"/>
    <w:rsid w:val="001A6771"/>
    <w:rsid w:val="001D124E"/>
    <w:rsid w:val="00220DF5"/>
    <w:rsid w:val="00232527"/>
    <w:rsid w:val="00252145"/>
    <w:rsid w:val="002A1EAB"/>
    <w:rsid w:val="002C4AAA"/>
    <w:rsid w:val="00300C42"/>
    <w:rsid w:val="003139D1"/>
    <w:rsid w:val="003211F8"/>
    <w:rsid w:val="00323B6C"/>
    <w:rsid w:val="00327C89"/>
    <w:rsid w:val="00343B80"/>
    <w:rsid w:val="0034594A"/>
    <w:rsid w:val="00384912"/>
    <w:rsid w:val="0038711E"/>
    <w:rsid w:val="003A597E"/>
    <w:rsid w:val="003E0A07"/>
    <w:rsid w:val="003F36EB"/>
    <w:rsid w:val="0040591B"/>
    <w:rsid w:val="00417A5C"/>
    <w:rsid w:val="00430DFC"/>
    <w:rsid w:val="00431C0B"/>
    <w:rsid w:val="00441604"/>
    <w:rsid w:val="004429E5"/>
    <w:rsid w:val="004649F7"/>
    <w:rsid w:val="00467151"/>
    <w:rsid w:val="00493167"/>
    <w:rsid w:val="00494EE0"/>
    <w:rsid w:val="004D1AA9"/>
    <w:rsid w:val="00521DD0"/>
    <w:rsid w:val="00526BBC"/>
    <w:rsid w:val="00547188"/>
    <w:rsid w:val="00551B69"/>
    <w:rsid w:val="00562558"/>
    <w:rsid w:val="00562A71"/>
    <w:rsid w:val="005B2648"/>
    <w:rsid w:val="00610BF2"/>
    <w:rsid w:val="00646815"/>
    <w:rsid w:val="00653161"/>
    <w:rsid w:val="00661E88"/>
    <w:rsid w:val="006655BB"/>
    <w:rsid w:val="00671C4E"/>
    <w:rsid w:val="006A21D6"/>
    <w:rsid w:val="006A6078"/>
    <w:rsid w:val="006C4C51"/>
    <w:rsid w:val="00707467"/>
    <w:rsid w:val="00785805"/>
    <w:rsid w:val="00785B1D"/>
    <w:rsid w:val="007A5C23"/>
    <w:rsid w:val="007B2C74"/>
    <w:rsid w:val="007D3ECB"/>
    <w:rsid w:val="007D6BFF"/>
    <w:rsid w:val="007F040F"/>
    <w:rsid w:val="0080520B"/>
    <w:rsid w:val="008077E2"/>
    <w:rsid w:val="00835B51"/>
    <w:rsid w:val="00841F45"/>
    <w:rsid w:val="00865874"/>
    <w:rsid w:val="008D4287"/>
    <w:rsid w:val="008D5C68"/>
    <w:rsid w:val="008F1411"/>
    <w:rsid w:val="008F494E"/>
    <w:rsid w:val="00941515"/>
    <w:rsid w:val="00972F24"/>
    <w:rsid w:val="009E2A8B"/>
    <w:rsid w:val="00A01E50"/>
    <w:rsid w:val="00A02628"/>
    <w:rsid w:val="00A11B57"/>
    <w:rsid w:val="00A3645A"/>
    <w:rsid w:val="00A655B7"/>
    <w:rsid w:val="00A66834"/>
    <w:rsid w:val="00AC0A30"/>
    <w:rsid w:val="00AC5BBD"/>
    <w:rsid w:val="00B82570"/>
    <w:rsid w:val="00B8669C"/>
    <w:rsid w:val="00BE40AB"/>
    <w:rsid w:val="00C3330E"/>
    <w:rsid w:val="00C35F83"/>
    <w:rsid w:val="00C72C46"/>
    <w:rsid w:val="00C76039"/>
    <w:rsid w:val="00CA3E6A"/>
    <w:rsid w:val="00D242A7"/>
    <w:rsid w:val="00D30028"/>
    <w:rsid w:val="00D326F0"/>
    <w:rsid w:val="00D44C54"/>
    <w:rsid w:val="00D51A44"/>
    <w:rsid w:val="00D57881"/>
    <w:rsid w:val="00D913F8"/>
    <w:rsid w:val="00E00F23"/>
    <w:rsid w:val="00E836F3"/>
    <w:rsid w:val="00ED5E31"/>
    <w:rsid w:val="00F10CEE"/>
    <w:rsid w:val="00F32033"/>
    <w:rsid w:val="00F60499"/>
    <w:rsid w:val="00F92179"/>
    <w:rsid w:val="00FA5640"/>
    <w:rsid w:val="00FE0077"/>
    <w:rsid w:val="00FF1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73A7"/>
  <w15:chartTrackingRefBased/>
  <w15:docId w15:val="{FDCB8DAC-C3B5-BD43-A94C-82F37119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C1"/>
    <w:rPr>
      <w:rFonts w:eastAsiaTheme="majorEastAsia" w:cstheme="majorBidi"/>
      <w:color w:val="272727" w:themeColor="text1" w:themeTint="D8"/>
    </w:rPr>
  </w:style>
  <w:style w:type="paragraph" w:styleId="Title">
    <w:name w:val="Title"/>
    <w:basedOn w:val="Normal"/>
    <w:next w:val="Normal"/>
    <w:link w:val="TitleChar"/>
    <w:uiPriority w:val="10"/>
    <w:qFormat/>
    <w:rsid w:val="000A6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C1"/>
    <w:pPr>
      <w:spacing w:before="160"/>
      <w:jc w:val="center"/>
    </w:pPr>
    <w:rPr>
      <w:i/>
      <w:iCs/>
      <w:color w:val="404040" w:themeColor="text1" w:themeTint="BF"/>
    </w:rPr>
  </w:style>
  <w:style w:type="character" w:customStyle="1" w:styleId="QuoteChar">
    <w:name w:val="Quote Char"/>
    <w:basedOn w:val="DefaultParagraphFont"/>
    <w:link w:val="Quote"/>
    <w:uiPriority w:val="29"/>
    <w:rsid w:val="000A68C1"/>
    <w:rPr>
      <w:i/>
      <w:iCs/>
      <w:color w:val="404040" w:themeColor="text1" w:themeTint="BF"/>
    </w:rPr>
  </w:style>
  <w:style w:type="paragraph" w:styleId="ListParagraph">
    <w:name w:val="List Paragraph"/>
    <w:basedOn w:val="Normal"/>
    <w:uiPriority w:val="34"/>
    <w:qFormat/>
    <w:rsid w:val="000A68C1"/>
    <w:pPr>
      <w:ind w:left="720"/>
      <w:contextualSpacing/>
    </w:pPr>
  </w:style>
  <w:style w:type="character" w:styleId="IntenseEmphasis">
    <w:name w:val="Intense Emphasis"/>
    <w:basedOn w:val="DefaultParagraphFont"/>
    <w:uiPriority w:val="21"/>
    <w:qFormat/>
    <w:rsid w:val="000A68C1"/>
    <w:rPr>
      <w:i/>
      <w:iCs/>
      <w:color w:val="0F4761" w:themeColor="accent1" w:themeShade="BF"/>
    </w:rPr>
  </w:style>
  <w:style w:type="paragraph" w:styleId="IntenseQuote">
    <w:name w:val="Intense Quote"/>
    <w:basedOn w:val="Normal"/>
    <w:next w:val="Normal"/>
    <w:link w:val="IntenseQuoteChar"/>
    <w:uiPriority w:val="30"/>
    <w:qFormat/>
    <w:rsid w:val="000A6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8C1"/>
    <w:rPr>
      <w:i/>
      <w:iCs/>
      <w:color w:val="0F4761" w:themeColor="accent1" w:themeShade="BF"/>
    </w:rPr>
  </w:style>
  <w:style w:type="character" w:styleId="IntenseReference">
    <w:name w:val="Intense Reference"/>
    <w:basedOn w:val="DefaultParagraphFont"/>
    <w:uiPriority w:val="32"/>
    <w:qFormat/>
    <w:rsid w:val="000A68C1"/>
    <w:rPr>
      <w:b/>
      <w:bCs/>
      <w:smallCaps/>
      <w:color w:val="0F4761" w:themeColor="accent1" w:themeShade="BF"/>
      <w:spacing w:val="5"/>
    </w:rPr>
  </w:style>
  <w:style w:type="character" w:styleId="Hyperlink">
    <w:name w:val="Hyperlink"/>
    <w:basedOn w:val="DefaultParagraphFont"/>
    <w:uiPriority w:val="99"/>
    <w:unhideWhenUsed/>
    <w:rsid w:val="00E00F23"/>
    <w:rPr>
      <w:color w:val="467886" w:themeColor="hyperlink"/>
      <w:u w:val="single"/>
    </w:rPr>
  </w:style>
  <w:style w:type="character" w:styleId="UnresolvedMention">
    <w:name w:val="Unresolved Mention"/>
    <w:basedOn w:val="DefaultParagraphFont"/>
    <w:uiPriority w:val="99"/>
    <w:semiHidden/>
    <w:unhideWhenUsed/>
    <w:rsid w:val="00E00F23"/>
    <w:rPr>
      <w:color w:val="605E5C"/>
      <w:shd w:val="clear" w:color="auto" w:fill="E1DFDD"/>
    </w:rPr>
  </w:style>
  <w:style w:type="character" w:styleId="FollowedHyperlink">
    <w:name w:val="FollowedHyperlink"/>
    <w:basedOn w:val="DefaultParagraphFont"/>
    <w:uiPriority w:val="99"/>
    <w:semiHidden/>
    <w:unhideWhenUsed/>
    <w:rsid w:val="00661E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1997</Words>
  <Characters>11388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Garner, Claire</dc:creator>
  <cp:keywords/>
  <dc:description/>
  <cp:lastModifiedBy>Garner, Claire</cp:lastModifiedBy>
  <cp:revision>2</cp:revision>
  <dcterms:created xsi:type="dcterms:W3CDTF">2025-03-14T01:14:00Z</dcterms:created>
  <dcterms:modified xsi:type="dcterms:W3CDTF">2025-03-14T01:14:00Z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2025-03-10T22:15:59Z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dda35b7b-2c2a-4d29-9d6e-b27365c45108</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