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63"/>
          <w:sz w:val="48"/>
        </w:rPr>
        <w:t>Example Peer Recovery Services, Inc.</w:t>
      </w:r>
    </w:p>
    <w:p>
      <w:pPr>
        <w:jc w:val="center"/>
      </w:pPr>
      <w:r>
        <w:rPr>
          <w:b/>
          <w:sz w:val="36"/>
        </w:rPr>
        <w:t>Manual Verification Worksheet</w:t>
      </w:r>
    </w:p>
    <w:p>
      <w:pPr>
        <w:jc w:val="center"/>
      </w:pPr>
      <w:r>
        <w:rPr>
          <w:color w:val="555555"/>
          <w:sz w:val="24"/>
        </w:rPr>
        <w:t>Check this packet's section map against your purchased 2026 manual</w:t>
      </w:r>
    </w:p>
    <w:p/>
    <w:p>
      <w:pPr>
        <w:jc w:val="center"/>
      </w:pPr>
      <w:r>
        <w:rPr>
          <w:b/>
          <w:color w:val="A81C1C"/>
          <w:sz w:val="22"/>
        </w:rPr>
        <w:t>DRAFT - the CARF section map behind this document has NOT been checked against the purchased manual. Set manual_verified: true before use.</w:t>
      </w:r>
    </w:p>
    <w:p/>
    <w:p/>
    <w:p/>
    <w:p>
      <w:pPr>
        <w:jc w:val="center"/>
      </w:pPr>
      <w:r>
        <w:rPr>
          <w:color w:val="555555"/>
          <w:sz w:val="20"/>
        </w:rPr>
        <w:t>Program: Community Integration</w:t>
      </w:r>
    </w:p>
    <w:p>
      <w:pPr>
        <w:jc w:val="center"/>
      </w:pPr>
      <w:r>
        <w:rPr>
          <w:color w:val="555555"/>
          <w:sz w:val="20"/>
        </w:rPr>
        <w:t>Completing this is what clears the DRAFT stamp</w:t>
      </w:r>
    </w:p>
    <w:p>
      <w:pPr>
        <w:jc w:val="center"/>
      </w:pPr>
      <w:r>
        <w:rPr>
          <w:color w:val="555555"/>
          <w:sz w:val="20"/>
        </w:rPr>
        <w:t>Generated 2026-09-05</w:t>
      </w:r>
    </w:p>
    <w:p>
      <w:r>
        <w:br w:type="page"/>
      </w:r>
    </w:p>
    <w:p>
      <w:pPr>
        <w:keepNext/>
        <w:spacing w:before="280" w:after="80"/>
      </w:pPr>
      <w:r>
        <w:rPr>
          <w:b/>
          <w:color w:val="1F3B63"/>
          <w:sz w:val="32"/>
        </w:rPr>
        <w:t>Why this worksheet exists</w:t>
      </w:r>
    </w:p>
    <w:p>
      <w:pPr>
        <w:pBdr>
          <w:bottom w:val="single" w:sz="6" w:color="1F3B63"/>
        </w:pBdr>
      </w:pPr>
    </w:p>
    <w:p>
      <w:r>
        <w:rPr>
          <w:b w:val="0"/>
        </w:rPr>
        <w:t xml:space="preserve">Nobody who built this packet has read your CARF manual. CARF's standards are copyrighted and sold only by CARF, so </w:t>
      </w:r>
      <w:r>
        <w:rPr>
          <w:b/>
        </w:rPr>
        <w:t>this packet contains no CARF standard text</w:t>
      </w:r>
      <w:r>
        <w:rPr>
          <w:b w:val="0"/>
        </w:rPr>
        <w:t xml:space="preserve"> — it is organized to the manual's long-standing outline and written from scratch.</w:t>
      </w:r>
    </w:p>
    <w:p>
      <w:r>
        <w:rPr>
          <w:b w:val="0"/>
        </w:rPr>
        <w:t xml:space="preserve">That outline has been stable for years and is very probably right. </w:t>
      </w:r>
      <w:r>
        <w:rPr>
          <w:b/>
        </w:rPr>
        <w:t>Probably is not good enough to build an accreditation on.</w:t>
      </w:r>
      <w:r>
        <w:rPr>
          <w:b w:val="0"/>
        </w:rPr>
        <w:t xml:space="preserve"> This worksheet is how a human with the real manual open turns an assumption into a checked fact.</w:t>
      </w:r>
    </w:p>
    <w:p>
      <w:pPr>
        <w:spacing w:before="120"/>
      </w:pPr>
      <w:r>
        <w:rPr>
          <w:b/>
          <w:color w:val="A81C1C"/>
          <w:sz w:val="21"/>
        </w:rPr>
        <w:t>ONE RULE WHILE YOU WORK: DO NOT COPY TEXT OUT OF THE MANUAL INTO THIS SHEET.</w:t>
      </w:r>
    </w:p>
    <w:p>
      <w:r>
        <w:rPr>
          <w:b w:val="0"/>
        </w:rPr>
        <w:t xml:space="preserve">Write the </w:t>
      </w:r>
      <w:r>
        <w:rPr>
          <w:b/>
        </w:rPr>
        <w:t>standard number</w:t>
      </w:r>
      <w:r>
        <w:rPr>
          <w:b w:val="0"/>
        </w:rPr>
        <w:t xml:space="preserve"> and </w:t>
      </w:r>
      <w:r>
        <w:rPr>
          <w:b/>
        </w:rPr>
        <w:t>your own few words</w:t>
      </w:r>
      <w:r>
        <w:rPr>
          <w:b w:val="0"/>
        </w:rPr>
        <w:t xml:space="preserve"> about what it requires. Copying CARF's wording into a document you then circulate is a copyright problem, and it is not necessary — a number and a short note is all anyone needs to act on.</w:t>
      </w:r>
    </w:p>
    <w:p>
      <w:pPr>
        <w:keepNext/>
        <w:spacing w:before="200" w:after="80"/>
      </w:pPr>
      <w:r>
        <w:rPr>
          <w:b/>
          <w:color w:val="1F3B63"/>
          <w:sz w:val="26"/>
        </w:rPr>
        <w:t>How to do it</w:t>
      </w:r>
    </w:p>
    <w:p>
      <w:pPr>
        <w:spacing w:after="40"/>
        <w:ind w:left="432"/>
      </w:pPr>
      <w:r>
        <w:rPr>
          <w:b w:val="0"/>
        </w:rPr>
        <w:t>1. Open the purchased manual at its contents pages, and open `_engine/content/meta/standards_map.json` beside it.</w:t>
      </w:r>
    </w:p>
    <w:p>
      <w:pPr>
        <w:spacing w:after="40"/>
        <w:ind w:left="432"/>
      </w:pPr>
      <w:r>
        <w:rPr>
          <w:b w:val="0"/>
        </w:rPr>
        <w:t>2. Work the section check below, then one page per area. Expect it to take an hour or two.</w:t>
      </w:r>
    </w:p>
    <w:p>
      <w:pPr>
        <w:spacing w:after="40"/>
        <w:ind w:left="432"/>
      </w:pPr>
      <w:r>
        <w:rPr>
          <w:b w:val="0"/>
        </w:rPr>
        <w:t>3. Where a letter or a name differs, write what the manual actually says, then correct `standards_map.json` to match. The whole packet re-labels itself on the next build.</w:t>
      </w:r>
    </w:p>
    <w:p>
      <w:pPr>
        <w:spacing w:after="40"/>
        <w:ind w:left="432"/>
      </w:pPr>
      <w:r>
        <w:rPr>
          <w:b w:val="0"/>
        </w:rPr>
        <w:t>4. Where you find a standard the bundled policies do not cover, write it in box 5 of that page. Those go straight onto the self-study checklist as gaps.</w:t>
      </w:r>
    </w:p>
    <w:p>
      <w:pPr>
        <w:spacing w:after="40"/>
        <w:ind w:left="432"/>
      </w:pPr>
      <w:r>
        <w:rPr>
          <w:b w:val="0"/>
        </w:rPr>
        <w:t>5. Sign the last page, set `manual_verified: true` in `provider.json`, and rebuild. The DRAFT stamp disappears.</w:t>
      </w:r>
    </w:p>
    <w:p>
      <w:r>
        <w:rPr>
          <w:b/>
        </w:rPr>
        <w:t>Do not sign the last page unless you actually did every page.</w:t>
      </w:r>
      <w:r>
        <w:rPr>
          <w:b w:val="0"/>
        </w:rPr>
        <w:t xml:space="preserve"> The DRAFT stamp is a protection, not an inconvenience: it stops a document going to a surveyor claiming an alignment nobody confirmed.</w:t>
      </w:r>
    </w:p>
    <w:p>
      <w:r>
        <w:br w:type="page"/>
      </w:r>
    </w:p>
    <w:p>
      <w:pPr>
        <w:keepNext/>
        <w:spacing w:before="280" w:after="80"/>
      </w:pPr>
      <w:r>
        <w:rPr>
          <w:b/>
          <w:color w:val="1F3B63"/>
          <w:sz w:val="32"/>
        </w:rPr>
        <w:t>Part 1 — The three sections</w:t>
      </w:r>
    </w:p>
    <w:p>
      <w:pPr>
        <w:pBdr>
          <w:bottom w:val="single" w:sz="6" w:color="1F3B63"/>
        </w:pBdr>
      </w:pPr>
    </w:p>
    <w:p>
      <w:r>
        <w:rPr>
          <w:b w:val="0"/>
        </w:rPr>
        <w:t>Before the areas, confirm the top-level structure.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What this packet assumes</w:t>
            </w:r>
          </w:p>
        </w:tc>
        <w:tc>
          <w:tcPr>
            <w:tcW w:type="dxa" w:w="1987"/>
            <w:shd w:val="clear" w:fill="E8EDF5"/>
          </w:tcPr>
          <w:p>
            <w:pPr>
              <w:spacing w:after="20"/>
            </w:pPr>
            <w:r>
              <w:rPr>
                <w:b/>
                <w:sz w:val="17"/>
              </w:rPr>
            </w:r>
            <w:r>
              <w:rPr>
                <w:b/>
                <w:sz w:val="17"/>
              </w:rPr>
              <w:t>Correct in your manual?</w:t>
            </w:r>
          </w:p>
        </w:tc>
        <w:tc>
          <w:tcPr>
            <w:tcW w:type="dxa" w:w="1987"/>
            <w:shd w:val="clear" w:fill="E8EDF5"/>
          </w:tcPr>
          <w:p>
            <w:pPr>
              <w:spacing w:after="20"/>
            </w:pPr>
            <w:r>
              <w:rPr>
                <w:b/>
                <w:sz w:val="17"/>
              </w:rPr>
            </w:r>
            <w:r>
              <w:rPr>
                <w:b/>
                <w:sz w:val="17"/>
              </w:rPr>
              <w:t>If different, what it says</w:t>
            </w:r>
          </w:p>
        </w:tc>
        <w:tc>
          <w:tcPr>
            <w:tcW w:type="dxa" w:w="1987"/>
            <w:shd w:val="clear" w:fill="E8EDF5"/>
          </w:tcPr>
          <w:p>
            <w:pPr>
              <w:spacing w:after="20"/>
            </w:pPr>
            <w:r>
              <w:rPr>
                <w:b/>
                <w:sz w:val="17"/>
              </w:rPr>
            </w:r>
            <w:r>
              <w:rPr>
                <w:b/>
                <w:sz w:val="17"/>
              </w:rPr>
              <w:t>Manual page</w:t>
            </w:r>
          </w:p>
        </w:tc>
      </w:tr>
      <w:tr>
        <w:tc>
          <w:tcPr>
            <w:tcW w:type="dxa" w:w="1987"/>
          </w:tcPr>
          <w:p>
            <w:pPr>
              <w:spacing w:after="20"/>
            </w:pPr>
            <w:r>
              <w:rPr>
                <w:sz w:val="17"/>
              </w:rPr>
            </w:r>
            <w:r>
              <w:rPr>
                <w:b w:val="0"/>
                <w:sz w:val="17"/>
              </w:rPr>
              <w:t>Section 1</w:t>
            </w:r>
          </w:p>
        </w:tc>
        <w:tc>
          <w:tcPr>
            <w:tcW w:type="dxa" w:w="1987"/>
          </w:tcPr>
          <w:p>
            <w:pPr>
              <w:spacing w:after="20"/>
            </w:pPr>
            <w:r>
              <w:rPr>
                <w:sz w:val="17"/>
              </w:rPr>
            </w:r>
            <w:r>
              <w:rPr>
                <w:b w:val="0"/>
                <w:sz w:val="17"/>
              </w:rPr>
              <w:t>ASPIRE to Excellence — applies to: Every CARF-accredited organization, every program.</w:t>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Section 2</w:t>
            </w:r>
          </w:p>
        </w:tc>
        <w:tc>
          <w:tcPr>
            <w:tcW w:type="dxa" w:w="1987"/>
          </w:tcPr>
          <w:p>
            <w:pPr>
              <w:spacing w:after="20"/>
            </w:pPr>
            <w:r>
              <w:rPr>
                <w:sz w:val="17"/>
              </w:rPr>
            </w:r>
            <w:r>
              <w:rPr>
                <w:b w:val="0"/>
                <w:sz w:val="17"/>
              </w:rPr>
              <w:t>General Program Standards — applies to: Every behavioral health program the organization seeks to accredit.</w:t>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Section 3</w:t>
            </w:r>
          </w:p>
        </w:tc>
        <w:tc>
          <w:tcPr>
            <w:tcW w:type="dxa" w:w="1987"/>
          </w:tcPr>
          <w:p>
            <w:pPr>
              <w:spacing w:after="20"/>
            </w:pPr>
            <w:r>
              <w:rPr>
                <w:sz w:val="17"/>
              </w:rPr>
            </w:r>
            <w:r>
              <w:rPr>
                <w:b w:val="0"/>
                <w:sz w:val="17"/>
              </w:rPr>
              <w:t>Core Treatment Program Standards — applies to: Only the treatment program(s) named on the survey application. Community Integration is 3.C, page 185.</w:t>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Section 4</w:t>
            </w:r>
          </w:p>
        </w:tc>
        <w:tc>
          <w:tcPr>
            <w:tcW w:type="dxa" w:w="1987"/>
          </w:tcPr>
          <w:p>
            <w:pPr>
              <w:spacing w:after="20"/>
            </w:pPr>
            <w:r>
              <w:rPr>
                <w:sz w:val="17"/>
              </w:rPr>
            </w:r>
            <w:r>
              <w:rPr>
                <w:b w:val="0"/>
                <w:sz w:val="17"/>
              </w:rPr>
              <w:t>Core Support Program Standards — applies to: Support programs - assessment and referral, community housing, prevention, supported living and others. Not applicable unless one is on the application.</w:t>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Section 5</w:t>
            </w:r>
          </w:p>
        </w:tc>
        <w:tc>
          <w:tcPr>
            <w:tcW w:type="dxa" w:w="1987"/>
          </w:tcPr>
          <w:p>
            <w:pPr>
              <w:spacing w:after="20"/>
            </w:pPr>
            <w:r>
              <w:rPr>
                <w:sz w:val="17"/>
              </w:rPr>
            </w:r>
            <w:r>
              <w:rPr>
                <w:b w:val="0"/>
                <w:sz w:val="17"/>
              </w:rPr>
              <w:t>Specialty Designation Standards — applies to: Optional designations layered on a program. CONSUMER-RUN IS 5.D, PAGE 318 - the closest thing CARF has to a peer-run designation. Worth checking if the agency is peer-directed.</w:t>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Section 6</w:t>
            </w:r>
          </w:p>
        </w:tc>
        <w:tc>
          <w:tcPr>
            <w:tcW w:type="dxa" w:w="1987"/>
          </w:tcPr>
          <w:p>
            <w:pPr>
              <w:spacing w:after="20"/>
            </w:pPr>
            <w:r>
              <w:rPr>
                <w:sz w:val="17"/>
              </w:rPr>
            </w:r>
            <w:r>
              <w:rPr>
                <w:b w:val="0"/>
                <w:sz w:val="17"/>
              </w:rPr>
              <w:t>Certified Community Behavioral Health Clinic Program Standards — applies to: CCBHCs only.</w:t>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bl>
    <w:p>
      <w:pPr>
        <w:spacing w:after="40"/>
      </w:pPr>
    </w:p>
    <w:p>
      <w:pPr>
        <w:keepNext/>
        <w:spacing w:before="200" w:after="80"/>
      </w:pPr>
      <w:r>
        <w:rPr>
          <w:b/>
          <w:color w:val="1F3B63"/>
          <w:sz w:val="26"/>
        </w:rPr>
        <w:t>This edition's changes</w:t>
      </w:r>
    </w:p>
    <w:p>
      <w:r>
        <w:rPr>
          <w:b w:val="0"/>
        </w:rPr>
        <w:t>CARF publishes a summary of what changed for the edition. Find it and record anything that touches your program — new standards, deleted standards, renamed areas.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What changed</w:t>
            </w:r>
          </w:p>
        </w:tc>
        <w:tc>
          <w:tcPr>
            <w:tcW w:type="dxa" w:w="1987"/>
            <w:shd w:val="clear" w:fill="E8EDF5"/>
          </w:tcPr>
          <w:p>
            <w:pPr>
              <w:spacing w:after="20"/>
            </w:pPr>
            <w:r>
              <w:rPr>
                <w:b/>
                <w:sz w:val="17"/>
              </w:rPr>
            </w:r>
            <w:r>
              <w:rPr>
                <w:b/>
                <w:sz w:val="17"/>
              </w:rPr>
              <w:t>Which area</w:t>
            </w:r>
          </w:p>
        </w:tc>
        <w:tc>
          <w:tcPr>
            <w:tcW w:type="dxa" w:w="1987"/>
            <w:shd w:val="clear" w:fill="E8EDF5"/>
          </w:tcPr>
          <w:p>
            <w:pPr>
              <w:spacing w:after="20"/>
            </w:pPr>
            <w:r>
              <w:rPr>
                <w:b/>
                <w:sz w:val="17"/>
              </w:rPr>
            </w:r>
            <w:r>
              <w:rPr>
                <w:b/>
                <w:sz w:val="17"/>
              </w:rPr>
              <w:t>Does it affect us?</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r>
      <w:tr>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Checked by: ______________________  Signature: ______________________  Date: ____________</w:t>
      </w:r>
    </w:p>
    <w:p>
      <w:r>
        <w:br w:type="page"/>
      </w:r>
    </w:p>
    <w:p>
      <w:pPr>
        <w:keepNext/>
        <w:spacing w:before="280" w:after="80"/>
      </w:pPr>
      <w:r>
        <w:rPr>
          <w:b/>
          <w:color w:val="1F3B63"/>
          <w:sz w:val="32"/>
        </w:rPr>
        <w:t>Part 2 — Area by area</w:t>
      </w:r>
    </w:p>
    <w:p>
      <w:pPr>
        <w:pBdr>
          <w:bottom w:val="single" w:sz="6" w:color="1F3B63"/>
        </w:pBdr>
      </w:pPr>
    </w:p>
    <w:p>
      <w:r>
        <w:rPr>
          <w:b w:val="0"/>
        </w:rPr>
        <w:t>25 pages follow, one per area. Page 3.PEER is the exception and says so on its own page.</w:t>
      </w:r>
    </w:p>
    <w:p>
      <w:r>
        <w:br w:type="page"/>
      </w:r>
    </w:p>
    <w:p>
      <w:pPr>
        <w:keepNext/>
        <w:spacing w:before="280" w:after="80"/>
      </w:pPr>
      <w:r>
        <w:rPr>
          <w:b/>
          <w:color w:val="1F3B63"/>
          <w:sz w:val="32"/>
        </w:rPr>
        <w:t>Area 1.A — Leadership</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Leadership is identified, accountable, and ethical. There is a written code of ethics, a way to raise concerns without retaliation, a corporate compliance program, and evidence that leadership considers cultural competency and the needs of the people served when making decisions.</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1A-01 Leadership Structure and Accountability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1A-02 Code of Ethics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1A-03 Corporate Compliance Program</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1A-04 Cultural Competency and Health Equity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1A-05 Non-Retaliation and Reporting of Concerns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1A-06 Leadership Succession and Continuity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1A-07 Document Control, Version Management and Implementation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Corporate Compliance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Cultural Competency and Diversity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Code of Ethics Attestation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Conflict of Interest Disclosure</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Master Document Register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Document Rollout and Implementation Record</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Implementation Tracer Record</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1.B — Governance (Optional)</w:t>
      </w:r>
    </w:p>
    <w:p>
      <w:pPr>
        <w:pBdr>
          <w:bottom w:val="single" w:sz="6" w:color="1F3B63"/>
        </w:pBdr>
      </w:pPr>
    </w:p>
    <w:p>
      <w:pPr>
        <w:spacing w:before="120"/>
      </w:pPr>
      <w:r>
        <w:rPr>
          <w:b/>
          <w:color w:val="A81C1C"/>
          <w:sz w:val="21"/>
        </w:rPr>
        <w:t>The 2026 manual titles this area 'Governance (Optional)'. Confirm with the CARF resource specialist whether the agency is electing it before building this tab.</w:t>
      </w: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If the organization has a governing board, the board has written duties, meets, keeps minutes, evaluates the CEO, evaluates itself, and manages conflicts of interest. A sole-owner agency documents who performs these governance functions instead.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1B-01 Governance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Governing Body Meeting Minutes</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Governing Body Self-Assessment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Annual Evaluation of the Chief Executive Officer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1.C — Strategic Planning</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A written strategic plan exists that was built from real inputs: what is happening in the environment, what stakeholders expect, financial reality, technology, workforce, and risk. It is reviewed at least annually and the review is documented.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1C-01 Strategic Integrated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Strategic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Environmental Scan Worksheet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1.D — Input from Persons Served and Other Stakeholders</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 organization systematically collects input from the people it serves and from other stakeholders (families, referral sources, payers, staff, community partners), analyzes it at least annually, acts on it, and reports the results back to those stakeholders.</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1D-01 Input from Persons Served and Other Stakeholders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Satisfaction Survey — Persons Served</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Satisfaction Survey — Other Stakeholders</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Annual Input Analysis Report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1.E — Legal Requirements</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 organization knows and follows the laws, regulations, licensure and contract obligations that apply to it, and there is a written process for staying current and for reviewing contracts before signing.</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1E-01 Legal and Regulatory Compliance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Regulatory Obligations Register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1.F — Financial Planning and Management</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There is an annual budget built on reasonable assumptions, actual results are compared to budget regularly, there are written internal controls (separation of duties, approval limits), fees are documented, and an external financial review is obtained.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1F-01 Financial Planning and Budgeting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1F-02 Internal Financial Controls, Fees, and Billing Integrity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Financial Plan and Budget Narrative</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Monthly Budget-to-Actual Variance Review</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1.G — Risk Management</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There is a written risk management plan that names the organization's actual risks (financial, clinical, reputational, staffing, technology, community-based service delivery), what is being done about each, what insurance is carried, and when it was last reviewed.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1G-01 Risk Management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Risk Management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Risk Register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1.H — Health and Safety</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Written emergency procedures for every foreseeable emergency; drills that are actually run, documented, and critiqued; documented safety inspections; critical incident reporting and analysis; infection control; first aid and emergency training; and safety procedures for staff working alone in the community or in someone's home.</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1H-01 Health and Safety Management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1H-02 Emergency Procedures and Drills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1H-03 Critical Incident Reporting and Analysis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1H-04 Infection Prevention and Control</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1H-05 Community, Home Visit, and Lone Worker Safety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Health and Safety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Business Continuity and Emergency Operations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Site Safety Inspection Checklist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Emergency Drill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Critical Incident Report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Quarterly Incident Analysis Summary</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Community and Home Visit Safety Plan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Vehicle Inspection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1.I — Workforce Development and Management</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Written job descriptions; verification of credentials before hire (including the state peer credential); background checks; documented orientation; competency-based training with documented competency, not just attendance; regular documented supervision; annual performance appraisal; and a documented look at workforce needs and succession.</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1I-01 Recruitment, Verification, and Hiring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1I-02 Orientation and Training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1I-03 Competency Assessment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1I-04 Supervision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1I-05 Performance Appraisal, Workforce Planning, and Personnel Records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Workforce Development and Succession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Job Description — Peer Support Specialist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Job Description — Peer Supervisor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Job Description — Program Director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New Personnel Orientation Checklist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Competency Assessment — Peer Support Specialist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Supervision Note</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Annual Performance Appraisal</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Credential and Background Verification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Individual Training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Personnel File Checklist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1.J — Rights of Persons Served</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Rights are written, given to and explained to every person served in a way they can understand, and posted. There is a written grievance/complaint process with timeframes and an appeal, a grievance log, informed consent, and confidentiality protections. Rights are reviewed annually for whether they were actually honored.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1J-01 Rights of the Persons Served</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1J-02 Grievances, Complaints, and Appeals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1J-03 Confidentiality and Release of Information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1J-04 Informed Consent for Services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Your Rights — Handout for Persons Served</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Complaint / Grievance Form</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Grievance and Complaint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Consent for Services</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Authorization to Release Information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Acknowledgment of Receipt — Notice of Privacy Practices</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Annual Review — Were Rights Actually Honored?</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1.K — Accessibility</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A written accessibility plan that identifies real barriers in eight areas - architectural, environmental, attitudinal, financial, employment, communication, transportation, and digital/technology - names an action and a responsible person for each, and is reviewed annually with progress documented.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1K-01 Accessibility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Accessibility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Accessibility Barrier Survey</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1.L — Performance Measurement and Management</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 organization decides in writing what it will measure, why, how, how often, and what the target is - covering both business function and service delivery, and covering effectiveness, efficiency, service access, and satisfaction. Data is actually collected and reported on schedule.</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1L-01 Performance Measurement and Management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Performance Measurement and Management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Measure Definition Sheet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Quarterly Performance Dashboard</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1.M — Performance Improvement</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 measured data is analyzed at least annually in a written performance analysis, conclusions are drawn, improvement actions are taken and tracked, and the results are shared with staff, persons served, and other stakeholders in a format they can understand.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1M-01 Performance Improvement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Performance Improvement Plan and Annual Analysis Template</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Annual Performance Analysis Report — Cover and Sign-Off</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Performance Improvement Project Charter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"You Said, We Did" — Results Summary for Persons Served and Stakeholders</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2.A — Program/Service Structure</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A written program description that says who the program serves, what it does, where and when, who delivers it and with what qualifications, and how it connects people to community resources. Services are person-centered and recovery-oriented, and staffing is sufficient for the people served.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2A-01 Program Description and Service Structure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2A-02 Community Resources and Coordination of Care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Program Description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Community Resource Directory</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Staffing Plan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2.B — Screening and Access to Services</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Written eligibility criteria, a documented screening process with timeframes, what happens when someone is not eligible or must wait, and a documented orientation for every person entering the program that covers rights, grievance, confidentiality, fees, and what to expect.</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2B-01 Screening, Eligibility, and Access to Services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2B-02 Orientation of the Person Served</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Screening and Referral Form</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Waiting List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Orientation of the Person Served</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Referral-Out Log (People We Could Not Serve)</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2.C — Person-Centered Planning</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Each person has an individualized plan built with them, in their own words, reflecting their strengths, needs, abilities and preferences, with goals and measurable objectives, the specific services and who provides them, target dates, and the person's signature. The plan is reviewed on a stated schedule and updated when things change.</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2C-01 Person-Centered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2C-02 Plan Review and Documentation of Services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Person-Centered Plan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Person-Centered Plan Review</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My Wellness and Recovery Plan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Peer Support Progress Note</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2.D — Transition/Discharge</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Transition planning begins at admission, not at the end. There is a written transition/discharge summary for every person who leaves, including unplanned exits, and a documented attempt at follow-up after discharge with the results recorded and analyzed.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2D-01 Transition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2D-02 Discharge Summary and Follow-Up</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Transition / Discharge Summary</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Post-Discharge Follow-Up Contact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Unplanned Exit Review</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2.E — Medication Use</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If the program does not prescribe, dispense, administer, or store medication, that must be stated in writing, and staff must know their limits and what to do about medication questions and adverse reactions. If it does any of those things, a full medication management policy set is required.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2E-01 Medication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Medication — What Your Peer Specialist Can and Cannot Do</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2.F — Promoting Nonviolent Practices</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A written commitment to nonviolent practice: de-escalation training for staff, what is prohibited, what to do in a behavioral crisis, when to call for help, and a debriefing with the person served and staff after any crisis event.</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2F-01 Nonviolent Practices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2F-02 Crisis Response and Debriefing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Crisis Debriefing Form</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De-escalation and Nonviolent Practices Training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My Personal Safety and Crisis Plan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2.G — Records of the Persons Served</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A written list of what belongs in a record, who may write in it, how quickly entries must be made, how corrections are made, how records are secured, how long they are kept, and how they are destroyed. Entries are legible, dated, and signed with credential.</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2G-01 Content and Maintenance of the Record of the Person Served</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2G-02 Records Retention, Access, and Destruction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Record Content Checklist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Records Retention Schedule</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2.H — Quality Records Management</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Records are reviewed on a written schedule using a written tool, by someone qualified, looking at whether documentation supports the service and the plan. Results are aggregated, trends identified, and corrective action tracked to closure.</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2H-01 Quality Record Review</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Quality Record Review Tool</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Quarterly Record Review Summary Report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Corrective Action Tracker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2.I — Service Delivery Using Information and Communication Technologies</w:t>
      </w:r>
    </w:p>
    <w:p>
      <w:pPr>
        <w:pBdr>
          <w:bottom w:val="single" w:sz="6" w:color="1F3B63"/>
        </w:pBdr>
      </w:pPr>
    </w:p>
    <w:p>
      <w:pPr>
        <w:spacing w:before="120"/>
      </w:pPr>
      <w:r>
        <w:rPr>
          <w:b/>
          <w:color w:val="A81C1C"/>
          <w:sz w:val="21"/>
        </w:rPr>
        <w:t>This whole area was missing from earlier builds. It is Section 2, not Section 1.</w:t>
      </w: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Where any part of the service is delivered by video, phone or other technology, it meets the same standards as in-person service: informed consent specific to the technology, identity and location verified at each contact, an emergency plan for the person's actual location, an approved platform under a business associate agreement, staff trained and assessed as competent in delivering peer support remotely, and documentation that records the modality and both parties' locations.</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2I-01 Information and Communication Technology in Service Delivery (Telehealth)</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3.C — Community Integration</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 program helps people participate in community life as they choose - housing, work, education, benefits, relationships, transportation, recreation, health care, and civic life. It is built on the person's own goals, uses natural supports and real community settings rather than segregated ones, and measures actual community participation, not just service contacts.</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3C-01 Community Integration Program Philosophy and Scope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3C-02 Choice, Self-Determination, and Dignity of Risk</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3C-03 Natural Supports and Community Connection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3C-04 Transportation and Community Outings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3C-05 Advocacy, Benefits, and Removing Barriers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Community Integration Goal Worksheet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Natural Supports Map</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Community Resource Directory</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Benefits and Entitlements Checklist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3.PEER — Peer Workforce Requirements (this skill's own grouping - NOT a CARF area)</w:t>
      </w:r>
    </w:p>
    <w:p>
      <w:pPr>
        <w:pBdr>
          <w:bottom w:val="single" w:sz="6" w:color="1F3B63"/>
        </w:pBdr>
      </w:pPr>
    </w:p>
    <w:p>
      <w:pPr>
        <w:spacing w:before="120"/>
      </w:pPr>
      <w:r>
        <w:rPr>
          <w:b/>
          <w:color w:val="A81C1C"/>
          <w:sz w:val="21"/>
        </w:rPr>
        <w:t>THIS IS NOT A CARF AREA — IT IS THIS PACKET'S OWN GROUPING.</w:t>
      </w:r>
    </w:p>
    <w:p>
      <w:r>
        <w:rPr>
          <w:b w:val="0"/>
        </w:rPr>
        <w:t>Peer support is a workforce and a service model, not a CARF section. There is nothing in the manual numbered 3.PEER. This grouping exists so nothing peer-specific falls between 1.I, 2.A, 2.C and the Section 3 program.</w:t>
      </w:r>
    </w:p>
    <w:p>
      <w:r>
        <w:rPr>
          <w:b/>
        </w:rPr>
        <w:t>What to check instead:</w:t>
      </w:r>
      <w:r>
        <w:rPr>
          <w:b w:val="0"/>
        </w:rPr>
        <w:t xml:space="preserve"> that each policy listed below has a home in a real area of your manual, and write that area beside it.</w:t>
      </w: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Peer support is a WORKFORCE and a service model, not a separate CARF program section. Its requirements are enforced through 1.I (credential, competency, supervision), 2.A (program description and staffing), 2.C (person-centered planning done WITH the person), and the Section 3 program. This area exists so nothing peer-specific falls between the cracks: lived experience as a job qualification, the state peer credential, self-disclosure boundaries, mutuality, dual-relationship management in small recovery communities, peer staff wellness, and career ladder. CONFIRMED against the 2026 table of contents: there is no Peer Support program in Sections 3 or 4, and CARF's own 2026 Behavioral Health Program Descriptions mention peer support once in 23 pages, as staffing for a crisis contact center. The nearest real CARF home for this material is the CONSUMER-RUN specialty designation at 5.D, page 318 - check whether the agency qualifies.</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3P-01 The Peer Support Service Model</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3P-02 Self-Disclosure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3P-03 Boundaries and Dual Relationships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3P-04 Peer Workforce Wellness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3P-05 Peer Specialist Credential, Scope, and Career Ladder</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Job Description — Peer Support Specialist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Competency Assessment — Peer Support Specialist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Self-Disclosure Supervision Worksheet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Dual Relationship Disclosure and Management Plan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My Peer Wellness Plan (Staff)</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X.TECH — Technology and Information Security - CARF home NOT YET CONFIRMED</w:t>
      </w:r>
    </w:p>
    <w:p>
      <w:pPr>
        <w:pBdr>
          <w:bottom w:val="single" w:sz="6" w:color="1F3B63"/>
        </w:pBdr>
      </w:pPr>
    </w:p>
    <w:p>
      <w:pPr>
        <w:spacing w:before="120"/>
      </w:pPr>
      <w:r>
        <w:rPr>
          <w:b/>
          <w:color w:val="A81C1C"/>
          <w:sz w:val="21"/>
        </w:rPr>
        <w:t>X.TECH IS NOT A CARF CODE. It is a holding pen so three real policies are not silently dropped while their placement is unknown. Resolve it before survey.</w:t>
      </w: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 2026 Section 1 has NO Technology area - it runs A Leadership to M Performance Improvement with no technology heading. These three policies (technology and system planning, information security, and social media / devices / electronic communication) are good practice and most payers require them, but their home in the manual is unconfirmed. Service delivery BY technology is a different thing and lives at 2.I. FIND THEIR HOME IN APPENDIX A (Required Written Documentation, page 385), which lists every document the manual requires, and move them to whichever area it names.</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TECH-01 Technology and System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TECH-02 Information Security and Confidentiality of Data</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TECH-03 Social Media, Mobile Devices, and Electronic Communication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2I-01 Information and Communication Technology in Service Delivery (Telehealth)</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Technology and System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System Downtime Service Log and Procedure</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Device and System Access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Part 3 — What you found, and the sign-off</w:t>
      </w:r>
    </w:p>
    <w:p>
      <w:pPr>
        <w:pBdr>
          <w:bottom w:val="single" w:sz="6" w:color="1F3B63"/>
        </w:pBdr>
      </w:pPr>
    </w:p>
    <w:p>
      <w:pPr>
        <w:keepNext/>
        <w:spacing w:before="200" w:after="80"/>
      </w:pPr>
      <w:r>
        <w:rPr>
          <w:b/>
          <w:color w:val="1F3B63"/>
          <w:sz w:val="26"/>
        </w:rPr>
        <w:t>Corrections to make to standards_map.json</w:t>
      </w:r>
    </w:p>
    <w:p>
      <w:r>
        <w:rPr>
          <w:b w:val="0"/>
        </w:rPr>
        <w:t>Edit the file, then rebuild. Every document re-labels itself.</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Area code</w:t>
            </w:r>
          </w:p>
        </w:tc>
        <w:tc>
          <w:tcPr>
            <w:tcW w:type="dxa" w:w="2484"/>
            <w:shd w:val="clear" w:fill="E8EDF5"/>
          </w:tcPr>
          <w:p>
            <w:pPr>
              <w:spacing w:after="20"/>
            </w:pPr>
            <w:r>
              <w:rPr>
                <w:b/>
                <w:sz w:val="17"/>
              </w:rPr>
            </w:r>
            <w:r>
              <w:rPr>
                <w:b/>
                <w:sz w:val="17"/>
              </w:rPr>
              <w:t>What the packet said</w:t>
            </w:r>
          </w:p>
        </w:tc>
        <w:tc>
          <w:tcPr>
            <w:tcW w:type="dxa" w:w="2484"/>
            <w:shd w:val="clear" w:fill="E8EDF5"/>
          </w:tcPr>
          <w:p>
            <w:pPr>
              <w:spacing w:after="20"/>
            </w:pPr>
            <w:r>
              <w:rPr>
                <w:b/>
                <w:sz w:val="17"/>
              </w:rPr>
            </w:r>
            <w:r>
              <w:rPr>
                <w:b/>
                <w:sz w:val="17"/>
              </w:rPr>
              <w:t>What the manual actually says</w:t>
            </w:r>
          </w:p>
        </w:tc>
        <w:tc>
          <w:tcPr>
            <w:tcW w:type="dxa" w:w="2484"/>
            <w:shd w:val="clear" w:fill="E8EDF5"/>
          </w:tcPr>
          <w:p>
            <w:pPr>
              <w:spacing w:after="20"/>
            </w:pPr>
            <w:r>
              <w:rPr>
                <w:b/>
                <w:sz w:val="17"/>
              </w:rPr>
            </w:r>
            <w:r>
              <w:rPr>
                <w:b/>
                <w:sz w:val="17"/>
              </w:rPr>
              <w:t>Fixed? Date</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Gaps to add to the self-study checklist</w:t>
      </w:r>
    </w:p>
    <w:p>
      <w:r>
        <w:rPr>
          <w:b w:val="0"/>
        </w:rPr>
        <w:t>Everything from box 4 of every area page. Each becomes a tracked item with an owner and a due date, exactly like any other finding.</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Area</w:t>
            </w:r>
          </w:p>
        </w:tc>
        <w:tc>
          <w:tcPr>
            <w:tcW w:type="dxa" w:w="1656"/>
            <w:shd w:val="clear" w:fill="E8EDF5"/>
          </w:tcPr>
          <w:p>
            <w:pPr>
              <w:spacing w:after="20"/>
            </w:pPr>
            <w:r>
              <w:rPr>
                <w:b/>
                <w:sz w:val="17"/>
              </w:rPr>
            </w:r>
            <w:r>
              <w:rPr>
                <w:b/>
                <w:sz w:val="17"/>
              </w:rPr>
              <w:t>Standard #</w:t>
            </w:r>
          </w:p>
        </w:tc>
        <w:tc>
          <w:tcPr>
            <w:tcW w:type="dxa" w:w="1656"/>
            <w:shd w:val="clear" w:fill="E8EDF5"/>
          </w:tcPr>
          <w:p>
            <w:pPr>
              <w:spacing w:after="20"/>
            </w:pPr>
            <w:r>
              <w:rPr>
                <w:b/>
                <w:sz w:val="17"/>
              </w:rPr>
            </w:r>
            <w:r>
              <w:rPr>
                <w:b/>
                <w:sz w:val="17"/>
              </w:rPr>
              <w:t>What is missing</w:t>
            </w:r>
          </w:p>
        </w:tc>
        <w:tc>
          <w:tcPr>
            <w:tcW w:type="dxa" w:w="1656"/>
            <w:shd w:val="clear" w:fill="E8EDF5"/>
          </w:tcPr>
          <w:p>
            <w:pPr>
              <w:spacing w:after="20"/>
            </w:pPr>
            <w:r>
              <w:rPr>
                <w:b/>
                <w:sz w:val="17"/>
              </w:rPr>
            </w:r>
            <w:r>
              <w:rPr>
                <w:b/>
                <w:sz w:val="17"/>
              </w:rPr>
              <w:t>Owner</w:t>
            </w:r>
          </w:p>
        </w:tc>
        <w:tc>
          <w:tcPr>
            <w:tcW w:type="dxa" w:w="1656"/>
            <w:shd w:val="clear" w:fill="E8EDF5"/>
          </w:tcPr>
          <w:p>
            <w:pPr>
              <w:spacing w:after="20"/>
            </w:pPr>
            <w:r>
              <w:rPr>
                <w:b/>
                <w:sz w:val="17"/>
              </w:rPr>
            </w:r>
            <w:r>
              <w:rPr>
                <w:b/>
                <w:sz w:val="17"/>
              </w:rPr>
              <w:t>Due</w:t>
            </w:r>
          </w:p>
        </w:tc>
        <w:tc>
          <w:tcPr>
            <w:tcW w:type="dxa" w:w="1656"/>
            <w:shd w:val="clear" w:fill="E8EDF5"/>
          </w:tcPr>
          <w:p>
            <w:pPr>
              <w:spacing w:after="20"/>
            </w:pPr>
            <w:r>
              <w:rPr>
                <w:b/>
                <w:sz w:val="17"/>
              </w:rPr>
            </w:r>
            <w:r>
              <w:rPr>
                <w:b/>
                <w:sz w:val="17"/>
              </w:rPr>
              <w:t>Added to checklist?</w:t>
            </w:r>
          </w:p>
        </w:tc>
      </w:tr>
      <w:tr>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 ] Yes</w:t>
            </w:r>
          </w:p>
        </w:tc>
      </w:tr>
      <w:tr>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 ] Yes</w:t>
            </w:r>
          </w:p>
        </w:tc>
      </w:tr>
      <w:tr>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 ] Yes</w:t>
            </w:r>
          </w:p>
        </w:tc>
      </w:tr>
      <w:tr>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 ] Yes</w:t>
            </w:r>
          </w:p>
        </w:tc>
      </w:tr>
    </w:tbl>
    <w:p>
      <w:pPr>
        <w:spacing w:after="40"/>
      </w:pPr>
    </w:p>
    <w:p>
      <w:pPr>
        <w:keepNext/>
        <w:spacing w:before="200" w:after="80"/>
      </w:pPr>
      <w:r>
        <w:rPr>
          <w:b/>
          <w:color w:val="1F3B63"/>
          <w:sz w:val="26"/>
        </w:rPr>
        <w:t>Final sign-off — this is what clears the DRAFT stamp</w:t>
      </w:r>
    </w:p>
    <w:p>
      <w:pPr>
        <w:spacing w:before="120"/>
      </w:pPr>
      <w:r>
        <w:rPr>
          <w:b/>
          <w:color w:val="A81C1C"/>
          <w:sz w:val="21"/>
        </w:rPr>
        <w:t>Sign only if you personally worked every page against the purchased manual.</w:t>
      </w:r>
    </w:p>
    <w:p>
      <w:r>
        <w:rPr>
          <w:b w:val="0"/>
        </w:rPr>
        <w:t>I confirm that I have compared every area in this worksheet against our purchased CARF Behavioral Health Standards Manual, 2026 edition; that the corrections above have been made to the section map; and that every gap found has been added to the self-study checklist with an owner and a due date.</w:t>
      </w:r>
    </w:p>
    <w:p>
      <w:r>
        <w:rPr>
          <w:b w:val="0"/>
        </w:rPr>
        <w:t>Name: ______________________________  Title: ______________________________</w:t>
      </w:r>
    </w:p>
    <w:p>
      <w:r>
        <w:rPr>
          <w:b w:val="0"/>
        </w:rPr>
        <w:t>Signature: __________________________  Date: ____________</w:t>
      </w:r>
    </w:p>
    <w:p>
      <w:r>
        <w:rPr>
          <w:b w:val="0"/>
        </w:rPr>
        <w:t>Manual edition checked against: ____________    Date manual purchased: ____________</w:t>
      </w:r>
    </w:p>
    <w:p>
      <w:r>
        <w:rPr>
          <w:b w:val="0"/>
        </w:rPr>
        <w:t>Then set `manual_verified: true` in provider.json and rebuild:</w:t>
      </w:r>
    </w:p>
    <w:p>
      <w:r>
        <w:rPr>
          <w:b w:val="0"/>
        </w:rPr>
        <w:t>`python3 _engine/build_provider.py example-peer-agency`</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Example Peer Recovery Services, Inc. — CARF packet — DRAFT, section map unverified — generated 2026-09-05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