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1"/>
        <w:rPr>
          <w:b/>
          <w:sz w:val="24"/>
          <w:szCs w:val="24"/>
        </w:rPr>
      </w:pPr>
      <w:r>
        <w:rPr>
          <w:sz w:val="24"/>
          <w:szCs w:val="24"/>
        </w:rPr>
        <w:t xml:space="preserve">ДОГОВОР № {{number}}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{{title}}</w:t>
      </w:r>
    </w:p>
    <w:p>
      <w:pPr>
        <w:pStyle w:val="Heading1"/>
        <w:tabs>
          <w:tab w:val="clear" w:pos="720"/>
          <w:tab w:val="left" w:pos="0" w:leader="none"/>
        </w:tabs>
        <w:ind w:hanging="0" w:start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1"/>
        <w:jc w:val="center"/>
        <w:rPr>
          <w:sz w:val="24"/>
          <w:szCs w:val="24"/>
        </w:rPr>
        <w:tabs>
          <w:tab w:val="right" w:pos="9900"/>
        </w:tabs>
      </w:pPr>
      <w:r>
        <w:rPr>
          <w:szCs w:val="24"/>
        </w:rPr>
        <w:t xml:space="preserve">г. {{city}}	{{date}}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{{customer_intro}}, с одной стороны,
и {{supplier_intro}}, с другой стороны, совместно именуемые Стороны, заключили настоящий договор на нижеследующих условиях.</w:t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ПРЕДМЕТ ДОГОВОРА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1"/>
          <w:numId w:val="3"/>
        </w:numPr>
        <w:shd w:fill="FFFFFF" w:val="clear"/>
        <w:tabs>
          <w:tab w:val="clear" w:pos="720"/>
          <w:tab w:val="left" w:pos="465" w:leader="none"/>
          <w:tab w:val="left" w:pos="567" w:leader="none"/>
        </w:tabs>
        <w:jc w:val="both"/>
        <w:rPr>
          <w:b/>
          <w:sz w:val="24"/>
          <w:szCs w:val="24"/>
          <w:lang w:eastAsia="ar-SA"/>
        </w:rPr>
      </w:pPr>
      <w:r>
        <w:rPr>
          <w:color w:val="000000"/>
          <w:spacing w:val="-6"/>
          <w:sz w:val="24"/>
          <w:szCs w:val="24"/>
          <w:lang w:eastAsia="ar-SA"/>
        </w:rPr>
        <w:t>Исполнитель, по техническому заданию,  чертежам или пожеланиям Заказчика  и в соответствии с условиями настоящего договора, обязуется разработать, изготовить и поставить, указанные в Спецификации металлоконструкции, металлоизделия</w:t>
      </w:r>
      <w:r>
        <w:rPr>
          <w:sz w:val="24"/>
          <w:szCs w:val="24"/>
        </w:rPr>
        <w:t>,</w:t>
      </w:r>
      <w:r>
        <w:rPr>
          <w:color w:val="000000"/>
          <w:spacing w:val="-6"/>
          <w:sz w:val="24"/>
          <w:szCs w:val="24"/>
          <w:lang w:eastAsia="ar-SA"/>
        </w:rPr>
        <w:t xml:space="preserve"> устройства или агрегаты, а Заказчик, обязуется оплатить стоимость металлоизделий  в соответствии с разделом  3 настоящего договора и принять результат выполненных работ в соответствии с тех.заданием.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ind w:start="502" w:end="0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СРОКИ ДЕЙСТВИЯ ДОГОВОРА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Договор вступает в силу с момента его подписания и действует до исполнения сторонами обязательств. </w:t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Срок производства работ по изготовлению конкретной партии металлоизделий указывается в Спецификации.</w:t>
      </w:r>
    </w:p>
    <w:p>
      <w:pPr>
        <w:pStyle w:val="BodyTextIndent"/>
        <w:tabs>
          <w:tab w:val="clear" w:pos="720"/>
          <w:tab w:val="left" w:pos="435" w:leader="none"/>
          <w:tab w:val="left" w:pos="642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Indent"/>
        <w:tabs>
          <w:tab w:val="clear" w:pos="720"/>
          <w:tab w:val="left" w:pos="567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Normal"/>
        <w:numPr>
          <w:ilvl w:val="0"/>
          <w:numId w:val="3"/>
        </w:numPr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СТОИМОСТЬ МЕТАЛЛОИЗДЕЛИЙ И ПОРЯДОК ОПЛАТЫ</w:t>
      </w:r>
    </w:p>
    <w:p>
      <w:pPr>
        <w:pStyle w:val="Normal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3.1.</w:t>
      </w:r>
      <w:r>
        <w:rPr>
          <w:sz w:val="24"/>
          <w:szCs w:val="24"/>
          <w:lang w:eastAsia="ar-SA"/>
        </w:rPr>
        <w:t xml:space="preserve"> Общая стоимость изготавливаемых изделий указывается в Спецификации. Спецификация  является неотъемлемой частью настоящего договора. Общая стоимость работ по договору равняется сумме всех подписанных спецификаций за период действия договора.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3.2.</w:t>
      </w:r>
      <w:r>
        <w:rPr>
          <w:sz w:val="24"/>
          <w:szCs w:val="24"/>
          <w:lang w:eastAsia="ar-SA"/>
        </w:rPr>
        <w:t xml:space="preserve"> </w:t>
      </w:r>
      <w:r>
        <w:rPr>
          <w:bCs/>
          <w:sz w:val="24"/>
          <w:szCs w:val="24"/>
          <w:lang w:eastAsia="ar-SA"/>
        </w:rPr>
        <w:t xml:space="preserve">Оплата изготавливаемых металлоизделий производится Заказчиком по предварительно выставленному счету на условиях {{payment_terms}} </w:t>
      </w:r>
      <w:r>
        <w:rPr>
          <w:sz w:val="24"/>
          <w:szCs w:val="24"/>
          <w:lang w:eastAsia="ar-SA"/>
        </w:rPr>
        <w:t>Передача изготовленных изделий закрепляется Актом приема-передачи товара и услуг, подписанным «Заказчиком».  «Заказчик» вправе направить своего представителя на подписание Акта приема-передачи  товара и услуг, предварительно уведомив об этом «Исполнителя» отправкой короткого сообщения с номера телефона указанного в реквизитах с указанием фамилии-имени-отчества представителя.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3.3.</w:t>
      </w:r>
      <w:r>
        <w:rPr>
          <w:sz w:val="24"/>
          <w:szCs w:val="24"/>
          <w:lang w:eastAsia="ar-SA"/>
        </w:rPr>
        <w:t xml:space="preserve"> Оплата осуществляется Заказчиком в безналичной форме путем перечисления денежных средств на расчетный счет Исполнителя или альтернативным, заранее оговоренным способом, устраивающим обе стороны.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3.4 Датой оплаты считается дата получения или зачисления денежных средств на расчетный счет «Исполнителя».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pPr w:vertAnchor="text" w:horzAnchor="margin" w:rightFromText="180" w:tblpX="0" w:tblpY="86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tabs>
          <w:tab w:val="clear" w:pos="720"/>
          <w:tab w:val="left" w:pos="870" w:leader="none"/>
        </w:tabs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ОБЯЗАТЕЛЬСТВА СТОРОН ПО ДОГОВОРУ</w:t>
      </w:r>
    </w:p>
    <w:p>
      <w:pPr>
        <w:pStyle w:val="Normal"/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1590" w:leader="none"/>
        </w:tabs>
        <w:ind w:firstLine="567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4.1.   Исполнитель обязан</w:t>
      </w:r>
      <w:r>
        <w:rPr>
          <w:b/>
          <w:bCs/>
          <w:sz w:val="24"/>
          <w:szCs w:val="24"/>
          <w:lang w:eastAsia="ar-SA"/>
        </w:rPr>
        <w:t>: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4.1.1. Изготовить металлоизделия в соответствии с необходимыми требованиями заказчика, отраженными в спецификации и приложениями к спецификации в виде чертежей и видов изделия.</w:t>
      </w:r>
    </w:p>
    <w:p>
      <w:pPr>
        <w:pStyle w:val="Normal"/>
        <w:tabs>
          <w:tab w:val="left" w:pos="720" w:leader="none"/>
        </w:tabs>
        <w:jc w:val="both"/>
        <w:rPr>
          <w:bCs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4.1.2. Оформить и передать Заказчику всю необходимую сопроводительную  документацию, связанную с исполнением условий настоящего договора: акт выполненных работ, товарно-сопроводительные  документы, инструкцию по установке.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1590" w:leader="none"/>
        </w:tabs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 xml:space="preserve">Заказчик обязан: </w:t>
      </w:r>
    </w:p>
    <w:p>
      <w:pPr>
        <w:pStyle w:val="Normal"/>
        <w:tabs>
          <w:tab w:val="clear" w:pos="720"/>
          <w:tab w:val="left" w:pos="1590" w:leader="none"/>
        </w:tabs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4.2.1. Предоставить  Исполнителю необходимую техническую документацию или список требований касающихся подробностей изготовления заказа.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4.2.2. Оплатить изготовленные Исполнителем металлоизделия в сроки и в сумме, согласованные  в настоящем договоре.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4.2.3. Принять изготовленные металлоизделия по товарной накладной.</w:t>
      </w:r>
    </w:p>
    <w:p>
      <w:pPr>
        <w:pStyle w:val="Normal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b w:val="false"/>
          <w:szCs w:val="24"/>
          <w:lang w:eastAsia="ar-SA"/>
        </w:rPr>
        <w:t xml:space="preserve">  </w:t>
      </w:r>
      <w:r>
        <w:rPr>
          <w:szCs w:val="24"/>
          <w:lang w:eastAsia="ar-SA"/>
        </w:rPr>
        <w:t>5.  КАЧЕСТВО И КОМПЛЕКТНОСТЬ МЕТАЛЛОИЗДЕЛИЙ</w:t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b w:val="false"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5.1</w:t>
      </w:r>
      <w:r>
        <w:rPr>
          <w:bCs/>
          <w:szCs w:val="24"/>
          <w:lang w:eastAsia="ar-SA"/>
        </w:rPr>
        <w:t>.</w:t>
      </w:r>
      <w:r>
        <w:rPr>
          <w:b w:val="false"/>
          <w:szCs w:val="24"/>
          <w:lang w:eastAsia="ar-SA"/>
        </w:rPr>
        <w:t xml:space="preserve"> Поставляемые по настоящему договору изделия, по качеству и комплектности должны соответствовать требованиям конструкторской документации или тех. заданию, указанными в Спецификации.  </w:t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szCs w:val="24"/>
          <w:lang w:eastAsia="ar-SA"/>
        </w:rPr>
      </w:pPr>
      <w:r>
        <w:rPr>
          <w:b w:val="false"/>
          <w:szCs w:val="24"/>
          <w:lang w:eastAsia="ar-SA"/>
        </w:rPr>
        <w:tab/>
      </w:r>
      <w:r>
        <w:rPr>
          <w:bCs/>
          <w:szCs w:val="24"/>
          <w:lang w:eastAsia="ar-SA"/>
        </w:rPr>
        <w:tab/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268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ПРИЕМКА МЕТАЛЛОИЗДЕЛИЙ</w:t>
      </w:r>
    </w:p>
    <w:p>
      <w:pPr>
        <w:pStyle w:val="BodyText"/>
        <w:tabs>
          <w:tab w:val="clear" w:pos="720"/>
          <w:tab w:val="left" w:pos="87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45" w:leader="none"/>
        </w:tabs>
        <w:ind w:start="35" w:end="0"/>
        <w:jc w:val="both"/>
        <w:rPr>
          <w:b w:val="false"/>
          <w:bCs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6.1.</w:t>
      </w:r>
      <w:r>
        <w:rPr>
          <w:b w:val="false"/>
          <w:szCs w:val="24"/>
          <w:lang w:eastAsia="ar-SA"/>
        </w:rPr>
        <w:t xml:space="preserve"> Приемка  Заказчиком изготовленных по настоящему договору металлоизделий осуществляется на складе Исполнителя  и сопровождается оформлением товарной накладной.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6.2.</w:t>
      </w:r>
      <w:r>
        <w:rPr>
          <w:b w:val="false"/>
          <w:szCs w:val="24"/>
          <w:lang w:eastAsia="ar-SA"/>
        </w:rPr>
        <w:t xml:space="preserve"> Доставка изделий может осуществляться одним из следующих способов: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szCs w:val="24"/>
          <w:lang w:eastAsia="ar-SA"/>
        </w:rPr>
        <w:tab/>
      </w:r>
      <w:r>
        <w:rPr>
          <w:b w:val="false"/>
          <w:szCs w:val="24"/>
          <w:lang w:eastAsia="ar-SA"/>
        </w:rPr>
        <w:t xml:space="preserve">- самовывоз со склада Исполнителя. 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ab/>
        <w:t>- доставка транспортно-экспедиционной компанией по заданию Заказчика и за счет средств Заказчика. Выбор транспортно-экспедиционной компании и способа доставки осуществляется Исполнителем по согласованию с Заказчиком.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>6.3. Монтаж изделия в стоимость договора не входит и может обсуждаться отдельно.</w:t>
      </w:r>
    </w:p>
    <w:p>
      <w:pPr>
        <w:pStyle w:val="BodyText"/>
        <w:jc w:val="both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41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ГАРАНТИИ И ОТВЕТСТВЕННОСТЬ СТОРОН</w:t>
      </w:r>
    </w:p>
    <w:p>
      <w:pPr>
        <w:pStyle w:val="BodyText"/>
        <w:tabs>
          <w:tab w:val="clear" w:pos="720"/>
          <w:tab w:val="left" w:pos="870" w:leader="none"/>
        </w:tabs>
        <w:ind w:start="72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Исполнитель обязан исправить дефекты, либо заменить дефектные части за свой счет в технически возможные сроки, согласованные сторонами.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7.2</w:t>
      </w:r>
      <w:r>
        <w:rPr>
          <w:szCs w:val="24"/>
          <w:lang w:eastAsia="ar-SA"/>
        </w:rPr>
        <w:t>. Гарантийный срок на изготовленные металлоизделия устанавливается 12 месяцев.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spacing w:val="5"/>
          <w:szCs w:val="24"/>
          <w:lang w:eastAsia="ar-SA"/>
        </w:rPr>
      </w:pPr>
      <w:r>
        <w:rPr>
          <w:bCs/>
          <w:szCs w:val="24"/>
          <w:lang w:eastAsia="ar-SA"/>
        </w:rPr>
        <w:t>7.3.</w:t>
      </w:r>
      <w:r>
        <w:rPr>
          <w:szCs w:val="24"/>
          <w:lang w:eastAsia="ar-SA"/>
        </w:rPr>
        <w:t xml:space="preserve">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  <w:r>
        <w:rPr>
          <w:spacing w:val="5"/>
          <w:szCs w:val="24"/>
          <w:lang w:eastAsia="ar-SA"/>
        </w:rPr>
        <w:t xml:space="preserve">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5"/>
          <w:szCs w:val="24"/>
          <w:lang w:eastAsia="ar-SA"/>
        </w:rPr>
        <w:t xml:space="preserve">При нарушении сроков выполнения работ по настоящему договору, предусмотренных и описанных в спецификации  Исполнитель </w:t>
      </w:r>
      <w:r>
        <w:rPr>
          <w:szCs w:val="24"/>
          <w:lang w:eastAsia="ar-SA"/>
        </w:rPr>
        <w:t>обязан уплатить  Заказчику неустойку (пеню) в размере 0,1% от стоимости невыполненных работ, за каждый день просрочки</w:t>
      </w:r>
      <w:r>
        <w:rPr>
          <w:spacing w:val="-4"/>
          <w:szCs w:val="24"/>
          <w:lang w:eastAsia="ar-SA"/>
        </w:rPr>
        <w:t xml:space="preserve">, но не более  20% стоимости невыполненных в срок работ. Уплата неустойки (пени) осуществляется на основании письменного требования Заказчика.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>Заказчик вправе удержать пени при окончательном расчёте с Исполнителем в случае пост-оплатной схемы расчетов.</w:t>
      </w:r>
    </w:p>
    <w:p>
      <w:pPr>
        <w:pStyle w:val="21"/>
        <w:numPr>
          <w:ilvl w:val="1"/>
          <w:numId w:val="5"/>
        </w:numPr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 xml:space="preserve">При нарушении сроков оплаты, предусмотренных разделом 3 настоящего договора, Заказчик выплачивает Исполнителю неустойку (пеню) в размере 0,1% от суммы подлежащей оплате, за каждый день просрочки, но не более 20% неоплаченной суммы. Уплата неустойки (пени) осуществляется на основании письменного требования Исполнителя. </w:t>
      </w:r>
    </w:p>
    <w:p>
      <w:pPr>
        <w:pStyle w:val="21"/>
        <w:ind w:start="484" w:end="0"/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21"/>
        <w:tabs>
          <w:tab w:val="clear" w:pos="720"/>
          <w:tab w:val="left" w:pos="1020" w:leader="none"/>
        </w:tabs>
        <w:ind w:start="510" w:end="0"/>
        <w:rPr>
          <w:szCs w:val="24"/>
          <w:lang w:eastAsia="ar-SA"/>
        </w:rPr>
      </w:pPr>
      <w:r>
        <w:rPr>
          <w:szCs w:val="24"/>
          <w:lang w:eastAsia="ar-SA"/>
        </w:rPr>
      </w:r>
      <w:r>
        <w:br w:type="page"/>
      </w:r>
    </w:p>
    <w:p>
      <w:pPr>
        <w:pStyle w:val="21"/>
        <w:numPr>
          <w:ilvl w:val="0"/>
          <w:numId w:val="5"/>
        </w:numPr>
        <w:tabs>
          <w:tab w:val="clear" w:pos="720"/>
          <w:tab w:val="left" w:pos="102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ФОРС-МАЖОРНЫЕ ОБСТОЯТЕЛЬСТВА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8.1.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Стороны освобождаются от ответственности за полное или частичное неисполнение обязательств по настоящему договору, если неисполнение явилось следствием обстоятельств непреодолимой силы, а именно: наводнений, землетрясений, военных действий, политических и государственных столкновений и переворотов, и других обстоятельств, если они повлияли на неисполнение сторонами обязательств, принятых на себя по настоящему договору. При этом срок исполнения обязательств по договору отодвигается соразмерно времени, в течение которого действовали такие обстоятельства.</w:t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/>
          <w:szCs w:val="24"/>
          <w:lang w:eastAsia="ar-SA"/>
        </w:rPr>
      </w:pPr>
      <w:r>
        <w:rPr>
          <w:bCs/>
          <w:szCs w:val="24"/>
          <w:lang w:eastAsia="ar-SA"/>
        </w:rPr>
        <w:t>8.</w:t>
      </w:r>
      <w:r>
        <w:rPr>
          <w:szCs w:val="24"/>
          <w:lang w:eastAsia="ar-SA"/>
        </w:rPr>
        <w:t>2. Сторона, для которой создались обстоятельства невозможности исполнения обязательств по настоящему договору, должна письменно известить об этом другую сторону не позднее, чем через 5 дней после наступления событий, указанных в пункте 8.1 настоящего договора. Надлежащим подтверждением наличия форс-мажорных обстоятельств будут служить решения (заявления) компетентных государственных органов или сообщения в официальных средствах массовой информации. В этом случае по требованию любой из сторон может быть создана комиссия для определения возможности (способа) дальнейшего выполнения настоящего договора.</w:t>
        <w:br/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ПОРЯДОК РАЗРЕШЕНИЯ СПОРОВ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b/>
          <w:szCs w:val="24"/>
          <w:lang w:eastAsia="ar-SA"/>
        </w:rPr>
        <w:t xml:space="preserve">  </w:t>
      </w:r>
      <w:r>
        <w:rPr>
          <w:szCs w:val="24"/>
          <w:lang w:eastAsia="ar-SA"/>
        </w:rPr>
        <w:t xml:space="preserve">9.1. </w:t>
      </w:r>
      <w:r>
        <w:rPr>
          <w:b/>
          <w:szCs w:val="24"/>
          <w:lang w:eastAsia="ar-SA"/>
        </w:rPr>
        <w:t xml:space="preserve"> </w:t>
      </w:r>
      <w:r>
        <w:rPr>
          <w:szCs w:val="24"/>
          <w:lang w:eastAsia="ar-SA"/>
        </w:rPr>
        <w:t>Все споры и разногласия, которые могут возникнуть при исполнении сторонами настоящего    договора, при невозможности разрешения их по обоюдному согласию путем переговоров, подлежат передаче в Арбитражный суд по месту нахождения истца.</w:t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ind w:hanging="489" w:start="3119" w:end="0"/>
        <w:jc w:val="start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ПРОЧИЕ УСЛОВИЯ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10.1. Ни одна из сторон не может передавать свои права и обязанности по настоящему договору третьим лицам, без письменного согласия на то другой стороны.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10.2. Изменения и дополнения к настоящему договору будут действительны, если они будут совершены в письменной форме и подписаны уполномоченными на то представителями обеих сторон. 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10.3. Договор составлен в 2 (двух) экземплярах, имеющих одинаковую юридическую силу, по одному экземпляру для каждой из сторон.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10.4. В случае изменения одной из сторон своих юридического адреса, банковских или других реквизитов, указанная сторона обязана оповестить другую сторону посредством факсимильной связи в течение трех дней с момента соответствующего изменения.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870" w:leader="none"/>
        </w:tabs>
        <w:rPr>
          <w:sz w:val="24"/>
          <w:szCs w:val="24"/>
          <w:lang w:eastAsia="ar-SA"/>
        </w:rPr>
      </w:pPr>
      <w:r>
        <w:rPr>
          <w:szCs w:val="24"/>
          <w:lang w:eastAsia="ar-SA"/>
        </w:rPr>
        <w:t>ЮРИДИЧЕСКИЕ АДРЕСА И РЕКВИЗИТЫ СТОРОН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5387"/>
      </w:tblGrid>
      <w:tr>
        <w:trPr>
          <w:trHeight w:val="923" w:hRule="atLeast"/>
        </w:trPr>
        <w:tc>
          <w:tcPr>
            <w:tcW w:w="4644" w:type="dxa"/>
            <w:tcBorders/>
          </w:tcPr>
          <w:p>
            <w:pPr>
              <w:pStyle w:val="Heading1"/>
              <w:jc w:val="left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Cs w:val="24"/>
                <w:lang w:eastAsia="ar-SA"/>
              </w:rPr>
              <w:t xml:space="preserve">ЗАКАЗЧИК:
{{customer_short_name}}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jc w:val="left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 w:bidi="zxx"/>
              </w:rPr>
              <w:t xml:space="preserve">ИСПОЛНИТЕЛЬ:
{{supplier_short_name}}</w:t>
            </w:r>
          </w:p>
        </w:tc>
      </w:tr>
      <w:tr>
        <w:trPr>
          <w:trHeight w:val="2562" w:hRule="atLeast"/>
        </w:trPr>
        <w:tc>
          <w:tcPr>
            <w:tcW w:w="4644" w:type="dxa"/>
            <w:tcBorders/>
          </w:tcPr>
          <w:p>
            <w:pPr>
              <w:pStyle w:val="Normal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{{customer_details}}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{{supplier_details}}</w:t>
            </w:r>
          </w:p>
        </w:tc>
      </w:tr>
      <w:tr>
        <w:trPr>
          <w:trHeight w:val="1731" w:hRule="atLeast"/>
          <w:cantSplit/>
          <w:cantSplit/>
        </w:trPr>
        <w:tc>
          <w:tcPr>
            <w:tcW w:w="4644" w:type="dxa"/>
            <w:tcBorders/>
          </w:tcPr>
          <w:p>
            <w:pPr>
              <w:pStyle w:val="Normal"/>
              <w:snapToGrid w:val="false"/>
              <w:rPr>
                <w:rFonts w:eastAsia="Calibri"/>
                <w:b w:val="0"/>
                <w:sz w:val="24"/>
                <w:szCs w:val="24"/>
                <w:lang w:eastAsia="ar-SA"/>
              </w:rPr>
              <w:keepLines/>
            </w:pPr>
            <w:r>
              <w:rPr>
                <w:rFonts w:eastAsia="Calibri"/>
                <w:b w:val="0"/>
                <w:sz w:val="24"/>
                <w:szCs w:val="24"/>
                <w:lang w:eastAsia="ar-SA"/>
              </w:rPr>
              <w:t xml:space="preserve">{{customer_signature_block}}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  <w:keepLines/>
            </w:pPr>
            <w:r>
              <w:rPr>
                <w:sz w:val="24"/>
                <w:szCs w:val="24"/>
                <w:lang w:eastAsia="ar-SA"/>
              </w:rPr>
              <w:t xml:space="preserve">{{supplier_signature_block}}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Спецификация № {{spec_number}}
к договору № {{number}} от {{date}}</w:t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63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"/>
        <w:gridCol w:w="2711"/>
        <w:gridCol w:w="850"/>
        <w:gridCol w:w="851"/>
        <w:gridCol w:w="1276"/>
        <w:gridCol w:w="992"/>
        <w:gridCol w:w="567"/>
        <w:gridCol w:w="1417"/>
        <w:gridCol w:w="1418"/>
      </w:tblGrid>
      <w:tr>
        <w:trPr>
          <w:tblHeader/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Изделие, работа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Ед.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Мате-риал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Размеры пред. мм.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Пред. откл.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Кол-во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Цена, руб.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Сумма, руб.</w:t>
            </w:r>
          </w:p>
        </w:tc>
      </w:tr>
      <w:tr>
        <w:trPr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{{item_index}}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rPr/>
            </w:pPr>
            <w:r>
              <w:rPr>
                <w:sz w:val="24"/>
                <w:szCs w:val="24"/>
              </w:rPr>
              <w:t xml:space="preserve">{{item_name}}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{{item_unit}}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{{item_material}}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en-US" w:eastAsia="ar-SA"/>
              </w:rPr>
            </w:pPr>
            <w:r>
              <w:rPr>
                <w:sz w:val="24"/>
                <w:szCs w:val="24"/>
                <w:lang w:val="en-US" w:eastAsia="ar-SA"/>
              </w:rPr>
              <w:t xml:space="preserve">{{item_dimensions}}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 w:eastAsia="ar-SA"/>
              </w:rPr>
              <w:t xml:space="preserve">{{item_tolerance}}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{{item_quantity}}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 xml:space="preserve">{{item_price}}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</w:rPr>
              <w:t xml:space="preserve">{{item_amount}}</w:t>
            </w:r>
          </w:p>
        </w:tc>
      </w:tr>
      <w:tr>
        <w:trPr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snapToGrid w:val="false"/>
              <w:rPr>
                <w:b/>
                <w:sz w:val="24"/>
                <w:szCs w:val="24"/>
                <w:lang w:val="en-US" w:eastAsia="ar-SA"/>
              </w:rPr>
            </w:pPr>
            <w:r>
              <w:rPr>
                <w:b/>
                <w:sz w:val="24"/>
                <w:szCs w:val="24"/>
                <w:lang w:val="en-US" w:eastAsia="ar-SA"/>
              </w:rPr>
              <w:t xml:space="preserve"/>
            </w:r>
          </w:p>
        </w:tc>
        <w:tc>
          <w:tcPr>
            <w:tcW w:w="724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sz w:val="24"/>
                <w:szCs w:val="24"/>
                <w:lang w:eastAsia="ar-SA"/>
              </w:rPr>
              <w:t xml:space="preserve">Итого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left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{{total}} руб.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Краткое описание изделия.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{{description}}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Примечания.</w:t>
      </w:r>
    </w:p>
    <w:p>
      <w:pPr>
        <w:pStyle w:val="Normal"/>
        <w:rPr>
          <w:sz w:val="24"/>
          <w:szCs w:val="24"/>
          <w:lang w:eastAsia="ar-SA"/>
        </w:rPr>
      </w:pPr>
      <w:r>
        <w:t xml:space="preserve">{{notes}}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Покрытие: {{coating}}
Цвет: {{color}}</w:t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Сроки изготовления: {{deadline}}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b w:val="0"/>
          <w:sz w:val="24"/>
          <w:szCs w:val="24"/>
          <w:lang w:eastAsia="ar-SA"/>
        </w:rPr>
        <w:t xml:space="preserve">Доставка: {{delivery}}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Монтаж: {{installation}}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7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53"/>
      </w:tblGrid>
      <w:tr>
        <w:trPr>
          <w:cantSplit/>
          <w:cantSplit/>
        </w:trPr>
        <w:tc>
          <w:tcPr>
            <w:tcW w:w="5353" w:type="dxa"/>
            <w:tcBorders/>
          </w:tcPr>
          <w:p>
            <w:pPr>
              <w:pStyle w:val="Normal"/>
              <w:rPr>
                <w:sz w:val="24"/>
                <w:szCs w:val="24"/>
                <w:lang w:eastAsia="ar-SA"/>
              </w:rPr>
              <w:keepLines/>
            </w:pPr>
            <w:r>
              <w:rPr>
                <w:sz w:val="24"/>
                <w:szCs w:val="24"/>
                <w:lang w:eastAsia="ar-SA"/>
              </w:rPr>
              <w:t xml:space="preserve">{{customer_signature_block}}</w:t>
            </w:r>
          </w:p>
        </w:tc>
        <w:tc>
          <w:tcPr>
            <w:tcW w:w="5353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  <w:keepLines/>
            </w:pPr>
            <w:r>
              <w:rPr>
                <w:sz w:val="24"/>
                <w:szCs w:val="24"/>
                <w:lang w:eastAsia="ar-SA"/>
              </w:rPr>
              <w:t xml:space="preserve">{{supplier_signature_block}}</w:t>
            </w:r>
          </w:p>
        </w:tc>
      </w:tr>
    </w:tbl>
    <w:p>
      <w:pPr>
        <w:spacing w:after="0" w:before="0" w:line="20" w:lineRule="exact"/>
      </w:pPr>
    </w:p>
    <w:sectPr>
      <w:type w:val="nextPage"/>
      <w:pgSz w:w="11906" w:h="16838"/>
      <w:pgMar w:left="709" w:right="706" w:gutter="0" w:header="0" w:top="709" w:footer="0" w:bottom="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tarSymbol">
    <w:altName w:val="Arial Unicode MS"/>
    <w:charset w:val="80"/>
    <w:family w:val="auto"/>
    <w:pitch w:val="default"/>
  </w:font>
  <w:font w:name="Times New Roman CYR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465"/>
        </w:tabs>
        <w:ind w:start="465" w:hanging="465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435"/>
        </w:tabs>
        <w:ind w:start="435" w:hanging="435"/>
      </w:pPr>
      <w:rPr/>
    </w:lvl>
    <w:lvl w:ilvl="1">
      <w:start w:val="2"/>
      <w:numFmt w:val="decimal"/>
      <w:lvlText w:val="%1.%2."/>
      <w:lvlJc w:val="start"/>
      <w:pPr>
        <w:tabs>
          <w:tab w:val="num" w:pos="1002"/>
        </w:tabs>
        <w:ind w:start="1002" w:hanging="435"/>
      </w:pPr>
      <w:rPr/>
    </w:lvl>
    <w:lvl w:ilvl="2">
      <w:start w:val="1"/>
      <w:numFmt w:val="decimal"/>
      <w:lvlText w:val="%1.%2.%3."/>
      <w:lvlJc w:val="start"/>
      <w:pPr>
        <w:tabs>
          <w:tab w:val="num" w:pos="1854"/>
        </w:tabs>
        <w:ind w:start="185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2421"/>
        </w:tabs>
        <w:ind w:start="2421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3348"/>
        </w:tabs>
        <w:ind w:start="33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3915"/>
        </w:tabs>
        <w:ind w:start="391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4842"/>
        </w:tabs>
        <w:ind w:start="484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9"/>
        </w:tabs>
        <w:ind w:start="5409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336"/>
        </w:tabs>
        <w:ind w:start="6336" w:hanging="1800"/>
      </w:pPr>
      <w:rPr/>
    </w:lvl>
  </w:abstractNum>
  <w:abstractNum w:abstractNumId="5">
    <w:lvl w:ilvl="0">
      <w:start w:val="7"/>
      <w:numFmt w:val="decimal"/>
      <w:lvlText w:val="%1."/>
      <w:lvlJc w:val="start"/>
      <w:pPr>
        <w:tabs>
          <w:tab w:val="num" w:pos="489"/>
        </w:tabs>
        <w:ind w:start="489" w:hanging="489"/>
      </w:pPr>
      <w:rPr/>
    </w:lvl>
    <w:lvl w:ilvl="1">
      <w:start w:val="4"/>
      <w:numFmt w:val="decimal"/>
      <w:lvlText w:val="%1.%2."/>
      <w:lvlJc w:val="start"/>
      <w:pPr>
        <w:tabs>
          <w:tab w:val="num" w:pos="484"/>
        </w:tabs>
        <w:ind w:start="484" w:hanging="489"/>
      </w:pPr>
      <w:rPr/>
    </w:lvl>
    <w:lvl w:ilvl="2">
      <w:start w:val="1"/>
      <w:numFmt w:val="decimal"/>
      <w:lvlText w:val="%1.%2.%3."/>
      <w:lvlJc w:val="start"/>
      <w:pPr>
        <w:tabs>
          <w:tab w:val="num" w:pos="710"/>
        </w:tabs>
        <w:ind w:start="71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05"/>
        </w:tabs>
        <w:ind w:start="705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60"/>
        </w:tabs>
        <w:ind w:start="10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55"/>
        </w:tabs>
        <w:ind w:start="105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10"/>
        </w:tabs>
        <w:ind w:start="141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05"/>
        </w:tabs>
        <w:ind w:start="1405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00"/>
        </w:tabs>
        <w:ind w:start="1400" w:hanging="1440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0"/>
        </w:tabs>
        <w:ind w:start="4613" w:hanging="360"/>
      </w:pPr>
      <w:rPr/>
    </w:lvl>
    <w:lvl w:ilvl="1">
      <w:start w:val="2"/>
      <w:numFmt w:val="decimal"/>
      <w:isLgl/>
      <w:lvlText w:val="%1.%2."/>
      <w:lvlJc w:val="start"/>
      <w:pPr>
        <w:tabs>
          <w:tab w:val="num" w:pos="0"/>
        </w:tabs>
        <w:ind w:start="765" w:hanging="405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08" w:start="0" w:end="0"/>
      <w:jc w:val="center"/>
      <w:outlineLvl w:val="1"/>
    </w:pPr>
    <w:rPr>
      <w:sz w:val="24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2z0">
    <w:name w:val="WW8Num2z0"/>
    <w:qFormat/>
    <w:rPr>
      <w:rFonts w:ascii="StarSymbol;Arial Unicode MS" w:hAnsi="StarSymbol;Arial Unicode MS" w:cs="StarSymbol;Arial Unicode M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 CYR" w:hAnsi="Times New Roman CYR" w:cs="Times New Roman CYR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St17z0">
    <w:name w:val="WW8NumSt17z0"/>
    <w:qFormat/>
    <w:rPr>
      <w:rFonts w:ascii="Times New Roman CYR" w:hAnsi="Times New Roman CYR" w:cs="Times New Roman CYR"/>
    </w:rPr>
  </w:style>
  <w:style w:type="character" w:styleId="Style12">
    <w:name w:val="Основной шрифт абзаца"/>
    <w:qFormat/>
    <w:rPr/>
  </w:style>
  <w:style w:type="character" w:styleId="1">
    <w:name w:val="Основной шрифт абзаца1"/>
    <w:qFormat/>
    <w:rPr/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Знак сноски"/>
    <w:qFormat/>
    <w:rPr>
      <w:vertAlign w:val="superscript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11">
    <w:name w:val="Заголовок 1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caption1">
    <w:name w:val="caption1"/>
    <w:basedOn w:val="Normal"/>
    <w:next w:val="Subtitle"/>
    <w:qFormat/>
    <w:pPr>
      <w:jc w:val="center"/>
    </w:pPr>
    <w:rPr>
      <w:b/>
      <w:sz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Style16"/>
    <w:next w:val="BodyText"/>
    <w:qFormat/>
    <w:pPr>
      <w:jc w:val="center"/>
    </w:pPr>
    <w:rPr>
      <w:i/>
      <w:iCs/>
      <w:sz w:val="28"/>
      <w:szCs w:val="28"/>
    </w:rPr>
  </w:style>
  <w:style w:type="paragraph" w:styleId="21">
    <w:name w:val="Основной текст 21"/>
    <w:basedOn w:val="Normal"/>
    <w:qFormat/>
    <w:pPr>
      <w:jc w:val="both"/>
    </w:pPr>
    <w:rPr>
      <w:sz w:val="24"/>
    </w:rPr>
  </w:style>
  <w:style w:type="paragraph" w:styleId="BodyTextIndent">
    <w:name w:val="Body Text Indent"/>
    <w:basedOn w:val="Normal"/>
    <w:pPr>
      <w:ind w:firstLine="39" w:start="426" w:end="0"/>
      <w:jc w:val="both"/>
    </w:pPr>
    <w:rPr>
      <w:sz w:val="24"/>
    </w:rPr>
  </w:style>
  <w:style w:type="paragraph" w:styleId="FootnoteText">
    <w:name w:val="footnote text"/>
    <w:basedOn w:val="Normal"/>
    <w:pPr/>
    <w:rPr/>
  </w:style>
  <w:style w:type="paragraph" w:styleId="Style18">
    <w:name w:val="Содержимое таблицы"/>
    <w:basedOn w:val="Normal"/>
    <w:qFormat/>
    <w:pPr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  <w:i/>
      <w:iCs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1">
    <w:name w:val="Содержимое врезки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dc:language/>
  <cp:lastModifiedBy/>
  <cp:lastPrinted/>
  <dcterms:modified xsi:type="dcterms:W3CDTF"/>
  <cp:revision/>
  <dc:subject/>
  <dc:title/>
</cp:coreProperties>
</file>