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Climate Vulnerability Does Not Equal Hunger: Measuring the Global Adaptation Buffer</w:t>
      </w:r>
    </w:p>
    <w:p w:rsidR="00000000" w:rsidDel="00000000" w:rsidP="00000000" w:rsidRDefault="00000000" w:rsidRPr="00000000" w14:paraId="00000002">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Garrett Zhou</w:t>
      </w:r>
    </w:p>
    <w:p w:rsidR="00000000" w:rsidDel="00000000" w:rsidP="00000000" w:rsidRDefault="00000000" w:rsidRPr="00000000" w14:paraId="00000007">
      <w:pPr>
        <w:jc w:val="lef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Hannah Jacobs</w:t>
      </w:r>
    </w:p>
    <w:p w:rsidR="00000000" w:rsidDel="00000000" w:rsidP="00000000" w:rsidRDefault="00000000" w:rsidRPr="00000000" w14:paraId="00000008">
      <w:pPr>
        <w:jc w:val="lef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Durham Academy Upper School, Durham, North Carolina</w:t>
      </w:r>
    </w:p>
    <w:p w:rsidR="00000000" w:rsidDel="00000000" w:rsidP="00000000" w:rsidRDefault="00000000" w:rsidRPr="00000000" w14:paraId="00000009">
      <w:pPr>
        <w:jc w:val="lef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Duke University, Durham, North Carolina</w:t>
      </w:r>
    </w:p>
    <w:p w:rsidR="00000000" w:rsidDel="00000000" w:rsidP="00000000" w:rsidRDefault="00000000" w:rsidRPr="00000000" w14:paraId="0000000A">
      <w:pPr>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Summary</w:t>
      </w:r>
    </w:p>
    <w:p w:rsidR="00000000" w:rsidDel="00000000" w:rsidP="00000000" w:rsidRDefault="00000000" w:rsidRPr="00000000" w14:paraId="000000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vulnerability is widely used as a proxy for hunger risk, yet countries with similar vulnerability scores report very different rates of undernourishment. We introduce the adaptation buffer: the gap between hunger predicted from a cross-country regression on climate vulnerability and actual hunger rates. Using ND-GAIN, FAO, World Bank, EM-DAT, and ACLED data for 143 countries, we tested whether vulnerability is a good predictor of hunger and whether standard development indicators explain who beats and who falls short of that prediction (4, 11, 12, 13, 14, 15). We hypothesized that countries with stronger adaptive capacity would show larger positive buffers. Climate vulnerability alone explains roughly 42% of cross-country hunger-rate variation (p &lt; 0.001), and the association survived controls for income, rurality, disasters, and conflict. The buffer ranged from +14.6 to -38.8 percentage points; nations such as Bangladesh (+9.1) and Senegal (+12.1) overperformed while Haiti (-38.8) underperformed. Standard covariates explained only 6% of the buffer variation. Monte Carlo simulation (20,000 draws) showed 66 countries were robust over-performers and 42 robust under-performers. Simulating buffer dynamics going into the future, a +9.1 point buffer collapsed below zero within 20 years in 41% of trials under severe shocks but only 4% once resilience investments reduced average shock damage and sped up recovery. The buffer is a measurable outcome-based indicator of effective climate adaptation that aid distribution frameworks could track alongside vulnerability. </w:t>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INTRODUCTION</w:t>
      </w:r>
    </w:p>
    <w:p w:rsidR="00000000" w:rsidDel="00000000" w:rsidP="00000000" w:rsidRDefault="00000000" w:rsidRPr="00000000" w14:paraId="0000003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Bangladesh and Afghanistan are two nations with similar ND-GAIN climate vulnerability scores (Bangladesh: 0.569; Afghanistan: 0.588 on a 0-1 scale) (4, 12), but the picture of undernourishment looks vastly different. Whereas Afghanistan’s undernourishment rate is roughly 28.1% according to the FAO, Bangladesh's is only 10.4% (11). If climate vulnerability is a reliable indicator of undernourishment, then the two nations should have similar levels of hunger. However, Afghanistan has almost three times as much hunger as Bangladesh, even with similar climate vulnerability scores. This isn’t an isolated example; globally, this pattern repeats across many different pairings. </w:t>
      </w:r>
    </w:p>
    <w:p w:rsidR="00000000" w:rsidDel="00000000" w:rsidP="00000000" w:rsidRDefault="00000000" w:rsidRPr="00000000" w14:paraId="000000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change is one of the biggest threats to global food security through yield losses, extreme events, and disrupted livelihoods (1, 2). According to FAO, extreme weather driven by climate change is among the principal drivers of undernourishment worldwide, alongside conflict and economic downturns (3). Historically, countries have been ranked by their climate vulnerability, and those rankings have been used for aid allocation plans and adaptation finance. Yet the empirical question of whether climate vulnerability maps precisly onto hunger outcomes at the global scale hasn’t received the direct attention that the policy use of climate vulnerability indexes would suggest. </w:t>
      </w:r>
    </w:p>
    <w:p w:rsidR="00000000" w:rsidDel="00000000" w:rsidP="00000000" w:rsidRDefault="00000000" w:rsidRPr="00000000" w14:paraId="000000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metrics used were obtained from ND-GAIN, Notre Dame’s open-source decision support tool, and FAO (4, 11, 12). ND-GAIN’s Country Index is the most widely used composite national climate vulnerability measurement worldwide, while ND-GAIN’s readiness metric measures economic, governance, and social capacity to deploy adaptation investments (4, 12). Composite vulnerability indices depend on weighting and aggregation choices that can impact cross-country rankings (10). The country index scales from 0-1, with higher scores indicating higher climate vulnerability. From FAO, we obtained undernourishment percentage data, and we define accordingly: </w:t>
      </w:r>
      <w:r w:rsidDel="00000000" w:rsidR="00000000" w:rsidRPr="00000000">
        <w:rPr>
          <w:rFonts w:ascii="Times New Roman" w:cs="Times New Roman" w:eastAsia="Times New Roman" w:hAnsi="Times New Roman"/>
          <w:i w:val="1"/>
          <w:iCs w:val="1"/>
          <w:rtl w:val="0"/>
        </w:rPr>
        <w:t xml:space="preserve">undernourishment percentage is defined as the percentage of a population below minimum dietary energy requirements</w:t>
      </w:r>
      <w:r w:rsidDel="00000000" w:rsidR="00000000" w:rsidRPr="00000000">
        <w:rPr>
          <w:rFonts w:ascii="Times New Roman" w:cs="Times New Roman" w:eastAsia="Times New Roman" w:hAnsi="Times New Roman"/>
          <w:rtl w:val="0"/>
        </w:rPr>
        <w:t xml:space="preserve"> (7). However, there has been a persistent gap between adaptation planning and documented outcomes, as shown in the adaptation tracking literature (5, 6). Average income has become a dominant correlate of undernourishment (8), with conflict emerging as a leading driver of acute food crises (3, 9). What researchers are missing is an outcome-based measure of whether countries beat or fall short of climate-predicted hunger that can be cross-applied to other metrics easily. </w:t>
      </w:r>
    </w:p>
    <w:p w:rsidR="00000000" w:rsidDel="00000000" w:rsidP="00000000" w:rsidRDefault="00000000" w:rsidRPr="00000000" w14:paraId="000000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best of our knowledge, this is the first formal definition of the climate adaptation buffer: the difference between undernourishment predicted from climate vulnerability alone and observed undernourishment. To calculate it, we fit a cross-country linear regression of undernourishment on vulnerability, and, for each country, calculate the difference between the predicted undernourishment value and the actual undernourishment percentage. If a country were to have a positive adaptation buffer, that would mean the country has less hunger than its climate vulnerability alone would predict, i.e. it's an overperformer. A negative buffer would mean the country has more hunger than expected, i.e. an underperformer. We devised a list of four core research questions to help guide us through the process:</w:t>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strongly does vulnerability predict hunger, and does it survive controls for other factors such as income, disasters, and conflict?</w:t>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countries/type of countries systematically beat or fall short of the climate-predicted benchmark?</w:t>
      </w:r>
    </w:p>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standard development indicators (especially readiness) explain the buffer, and how uncertain are the rankings?</w:t>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easily does a positive buffer collapse under random shocks, and what can protect it?</w:t>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hypothesis claimed that countries with a higher ND-GAIN readiness will show larger positive adaptation buffers because those countries will typically be more developed and have better systems for reducing undernourishment than countries with a lower ND-GAIN readiness index. To test our hypothesis, we used a set of 143 countries in an Ordinary Least Squares regression to analyze trends among our set. Then, we performed a Monte Carlo simulation with 20,000 random draws to test buffer stability. We discovered that climate vulnerability is a strong but incomplete indicator of hunger, explaining much but not all of hunger variation among our dataset. 58% of cross-country hunger variation remained unexplained by vulnerability, but it withstood controls for multiple covariate factors. We also found that buffers vary very much between countries, with an overall range of +14.6 pp to -38.8 pp, and that there isn’t much correlation between vulnerability rankings and buffer rankings. Covariate factors, however, don’t explain the buffer well either as only 6% of buffer variation is explained by income, readiness, disasters, and conflict. Finally, simulating a +9.1 pp buffer over twenty years produces a 41.3% chance of collapse in a baseline scenario but only a 4% collapse rate with resilience investment. </w:t>
      </w:r>
    </w:p>
    <w:p w:rsidR="00000000" w:rsidDel="00000000" w:rsidP="00000000" w:rsidRDefault="00000000" w:rsidRPr="00000000" w14:paraId="0000004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30"/>
          <w:szCs w:val="30"/>
          <w:rtl w:val="0"/>
        </w:rPr>
        <w:t xml:space="preserve">RESULTS</w:t>
      </w: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EXPERIMENT 1: First, we wanted to test our first research question: whether vulnerability was a good predictor of undernourishment. Specifically, we tested whether ND-GAIN climate vulnerability alone aligned well with cross-country undernourishment variation (4, 12). This step allowed us to calculate every adaptation buffer, which is necessary further down the line. We conducted an Ordinary Least Squares (OLS) Regression using 2022 data for 143 countries to examine the relationship between ND-GAIN vulnerability and FAO undernourishment values (7, 11). We obtained an intercept value of -20.04 with standard error 2.59 and a p-value less than 0.001, and we obtained a vulnerability coefficient of 69.42 with standard error 7.12 and a p-value of less than 0.001. This coefficient simply means that a 0.1-point increase in a country’s climate vulnerability score corresponds to roughly a 6.9 percentage point increase in that country’s undernourishment. We also obtained an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value of 0.423, meaning climate vulnerability explains 42.3% of cross-country undernourishment variance. This is a strong gradient, but 58% of variation remains unexplained; this residual motivates the adaptation buffer. For example, Bangladesh has an ND-GAIN vulnerability score V = 0.569, which would lead to a predicted undernourishment value of 19.4%. However, Bangladesh’s actual undernourishment is 10.4%, which means it has a buffer of 9 percentage points (pp). [TABLE 1, FIGURE 1 GOES HERE]</w:t>
      </w: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2: Next, we wanted to test whether the vulnerability and hunger relationship is simply a result or artifact of poverty or conflict. Therefore, to test this, we added Ln (GDP per capita) and rural population share from World Bank World Development Indicators (13), EM-DAT disaster counts (14), and ACLED conflict fatalities (15) to the Experiment 1 specification. After running the OLS regression, we obtained a vulnerability coefficient of 40.07 with standard error 11.48 and a p-value less than 0.001, which is down from Experiment 1 but still highly significant. Note the coefficient shrinking from 69 to ~ 40 pp, which is roughly a 40% decrease. This means that roughly 40% of raw gradient co-moves with the observables (income, rurality, disaster, and conflict). Ln (GDP per capita) had a coefficient value of -2.84 with standard error 1.04 and a p-value of 0.006, which indicates that higher income is associated with lower hunger. Rural share, which is a measure of how much of a nation is rural compared to urban, was ruled not statistically significant with a p-value of roughly 0.29. The same applied to disaster count, which had a p-value of 0.63, and conflict fatalities (specifically Ln (1 + conflict fatalities), which had a p-value of 0.83. This model had an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of 0.464 from 139 complete cases. 4 countries were dropped for missing covariate data. After running this regression, we concluded that climate vulnerability indeed survives controls and isn’t an artifact of covariate factors. However, simply because some factors were ruled insignificant in this regression does not prove that they are inconsequential. It may just represent measurement noise. [MORE ON NOISE AND ADD TABLE 2]</w:t>
      </w:r>
    </w:p>
    <w:p w:rsidR="00000000" w:rsidDel="00000000" w:rsidP="00000000" w:rsidRDefault="00000000" w:rsidRPr="00000000" w14:paraId="0000004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3: After, we wanted to observe which countries or types of countries systematically beat or fall short of the climate-only hunger prediction. For each country, we computed the adaptation buffer as predicted minus actual undernourishment with values obtained from Experiment 1. The buffer standard deviation was roughly 7.5 percentage points (pp), and it ranged from +14.6 (Kiribati) to -38.8 (Haiti). The median buffer value was around +1.0 pp, and the middle 50% ranged from -2.6 pp to +3.9 pp. Niger had the highest vulnerability score in the dataset (V = 0.636), but overperformed by 11.2 pp, ranking among the top overperformers. By contrast, Haiti had a relatively moderate vulnerability score (V = 0.510), but underperformed by 38.8 pp, the largest underperformance by far, likely due to regional conflict not factored into the vulnerability score. Overall, we noticed three core trends: agrarian countries such as Bangladesh, Senegal, and Nepal tended to overperform their predicted hunger, countries riddled with conflict unsurprisingly underperformed, and in the tails of the distribution, vulnerability ranking was not correlated with buffer ranking. [ADD TABLE 3, FIGURE 2]</w:t>
      </w:r>
    </w:p>
    <w:p w:rsidR="00000000" w:rsidDel="00000000" w:rsidP="00000000" w:rsidRDefault="00000000" w:rsidRPr="00000000" w14:paraId="0000004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4: Subsequently, we wanted to test whether our hypothesis was true. As a quick reminder, our hypothesis was that ND-GAIN readiness correlates with larger buffers. Consequently, we also ask if the buffer is just repackaged development data. To test this, we regressed the adaptation buffer for 139 countries on ND-GAIN readiness (4, 12), Ln (GDP per capita), rural share, disaster count, and conflict fatalities. We obtained an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value of 0.057, which means that only 6% of the buffer variation was explained. The ND-GAIN readiness coefficient had a coefficient of 13.35 with a standard error of 8.69 and a p-value of 0.12. Although the results aren’t significant at a 5% level, ND-GAIN still has the largest coefficient and directionally supports our hypothesis. None of the other variables were significant at a 5% level; in fact, the only other variable that was even close to being statistically significant was rural share with a p-value of 0.13. Therefore, we concluded that adaptation buffers cannot be directly inferred from standard indicators and must be computed directly. [MAYBE ADD A TABLE OF THE FULL VALUE SET]</w:t>
      </w:r>
    </w:p>
    <w:p w:rsidR="00000000" w:rsidDel="00000000" w:rsidP="00000000" w:rsidRDefault="00000000" w:rsidRPr="00000000" w14:paraId="0000004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5: One run of a regression analysis isn’t enough to confidently classify a country as an overperformer or underperformer. We wanted to know how trustworthy that classification is. Therefore, we ran a Monte Carlo simulation, meaning we repeated the analysis 20,000 times, each time resampling countries, refitting the regression, adding measurement noise to reported FAO hunger rates (7, 11), and recomputing all buffers. Across the 20,000 samples run, the average slope we obtained was roughly 69.6, which was almost the same as in Experiment 1, meaning the main gradient is stable. In 90% of simulations, the slope was between 58.3 and 81.5, and the intercept remained between -24.4 and -16.0. The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stayed between 0.34 and 0.53, meaning that vulnerability still explains roughly 34-53% of hunger variation across reruns. After the Monte Carlo simulation, each country gets assigned three data points: the mean buffer over 20,000 runs, the 90% interval, and the percentage of runs that had a positive buffer. After running the simulation, we found 66 robust over-performing nations where the buffer was positive in at least 90% of reruns (18,000/20,000) and 42 robust under-performers where the buffer was positive in at most 10% of simulations (2,000/20,000). We concluded that nations such as Bangladesh, Haiti, Senegal, and Niger aren’t statistical flukes; in fact, their classifications as over or underperformers survive heavy uncertainty. [ADD TABLE 3]</w:t>
      </w:r>
    </w:p>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6: Buffers aren’t static; they change according to the conditions of the nation. They are liable to collapse. Between 2007 and 2009, Bangladesh experienced two major cyclones (Sidr and Aila), which caused its buffer to partially collapse. To take buffer collapse into account, we simulated 20,000 twenty-year trajectories of a 9.1 pp buffer under random annual shocks (9.1% is Bangladesh’s observed buffer). The buffer has collapsed if it falls below zero at least once during the simulation. Note that this is a different Monte Carlo experiment than Experiment 5. Both the baseline scenario and the resilience scenario have the same 20% annual chance of a shock, with the key differences being shock size and recovery speed. In the baseline scenario, the buffer collapsed within 20 years in 41.3% of reruns and collapsed within 10 years in 21.6% of reruns. The expected number of years with a collapsed buffer was 1.01 years, and the median buffer at year 20 through all 20,000 runs was roughly +6.6 pp. However, in the resilience scenario, the buffer collapsed within 20 years in only 4.4% of reruns and collapsed within 10 years in just 2.0% of reruns, which is much better compared to the baseline odds. The expected number of years with a collapsed buffer was 0.05 years, and the median buffer at year 20 was +8.2 pp. There was roughly a tenfold reduction in collapse risk with identical shock frequency in the resilience scenario, showing how much impact climate resilience investment can have. This means that defending the buffer matters even when climate exposure is unchanged.  [ADD TABLE 4, FIGURE 3]</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ROBUSTNESS: Finally, we tested whether the main findings were sensitive to data choices. For our first robustness test (R1), the vulnerability coefficient remained 68.7 with an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of 0.442 when using FAO undernourishment data averaged over 2020-2022 instead of 2022-2024 (11). In our second robustness test (R2), the gradient replicated when we used Global Data Lab climate vulnerability index rather than ND-GAIN with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of 0.408 and a sample size N = 92 countries (16). Using the World Risk Index vulnerability component also produced a positive, significant gradient (17). For R3, we found that climate vulnerability significantly predicted WHO child stunting prevalence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 0.624), which indicates that the pattern isn’t exclusive to FAO undernourishment data (18). Finally, for R5, after dropping nations with a population less than 1 million people, Bangladesh’s adaptation buffer was still +10.5 after running the regression, ranked 6 in the new dataset. These checks indicate that the core vulnerability-hunger association and Bangladesh’s over-performance are robust to alternative data specifications. </w:t>
      </w:r>
    </w:p>
    <w:p w:rsidR="00000000" w:rsidDel="00000000" w:rsidP="00000000" w:rsidRDefault="00000000" w:rsidRPr="00000000" w14:paraId="0000005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DISCUSSION</w:t>
      </w:r>
    </w:p>
    <w:p w:rsidR="00000000" w:rsidDel="00000000" w:rsidP="00000000" w:rsidRDefault="00000000" w:rsidRPr="00000000" w14:paraId="0000005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FINDING: We concluded that climate vulnerability does not equate directly to hunger. Vulnerability explains roughly 42% of undernourishment variation across 143 countries, which is substantial but still incomplete. We argue that the remaining 58% is structured and policy-relevant, not random noise. The adaptation buffer names that residual as a trackable quantity we can work with. It reveals food-security performance relative to a nation’s given climate burden, which is unlike adaptation tracking that counts plans and investment (5, 6). However, because standard development indicators explain only about 6% of buffer variation, the buffer must be monitored directly rather than inferred from income or readiness alone. A positive buffer is equivalent to beating climate odds in actual hunger outcomes. </w:t>
      </w:r>
    </w:p>
    <w:p w:rsidR="00000000" w:rsidDel="00000000" w:rsidP="00000000" w:rsidRDefault="00000000" w:rsidRPr="00000000" w14:paraId="0000005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VS CLIMATE: The largest underperformers were dominated by political violence and state fragility, not climate exposure alone. For example, Haiti’s buffer is -38.8 and Syria’s buffer is -25.2. These two nations, along with other strong underperformers such as Liberia, Central African Republic, and Afghanistan, are riddled with political instability and weak governance. These nations aren’t always the most climate-vulnerable countries according to ND-GAIN; quite the opposite. Several of the most climate-exposed countries hold large positive buffers, such as Niger, Bangladesh, and Senegal. We speculate that conflict and governance collapse destroy food-security performance faster than climate exposure alone predicts, consistent with evidence that conflict is a leading driver of acute food crises and that climate and conflict stresses interact (3, 9). Therefore, vulnerability-weighted aid distribution formulas may miss countries where hunger most exceeds climate fundamentals. Severe underperformers may need conflict-sensitive food security intervention rather than simply climate adaptation. </w:t>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BUFFER AS ASSETS: Bangladesh was the perfect prototype to use as our case study. It has many decades of agricultural innovation, disaster preparedness, and social protection that helped build a +9.0 pp buffer. However, it has also shown fragility; the buffer partially collapsed after the 2007-2009 cyclone sequence, and since then it has been partially rebuilt. Under the simulations we conducted, even a healthy buffer, like Bangladesh’s, has a 41.3% twenty-year collapse risk under baseline shocks. However, resilience investments in disaster preparedness and recovery speed reduce that risk to only 4.4%; roughly a tenfold reduction at an identical shock frequency. We speculate that the highest value interventions may defend existing buffers, not simply to reduce index scores or hazard rankings. Some examples of buffer-defending interventions are early warning systems, grain storage, safety nets, and stress-tolerant crop varieties. These implementations might seem expensive up front, but they are much cheaper than rebuilding a food system after collapse.</w:t>
      </w:r>
    </w:p>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Our analysis does not prove causation; all methods are observational cross-sections. Countries are not randomized into vulnerability levels. Our work is also benchmark relative; the buffer depends on ND-GAIN vulnerability and a bivariate regression line, and composite vulnerability indices involve aggregation and weighting choices that can affect rankings (10). A different benchmark would potentially mean different buffer rankings. FAO also does 3-year averages for undernourishment data to smooth acute shocks while censoring values at 2.5% (7). R3 helped but it's a different nutritional construct. Smaller states such as Kiribati and Samoa with high rankings may partially reflect FAO estimation uncertainty, which is why we conducted R5. For our Monte Carlo assumptions, we used a 10% measurement error and shock parameters; however, the comparison between scenarios is more important than exact percentages. Additionally, our hypothesis was not confirmed; a p-value p = 0.12 at a 5% level is hypothesis-generating but not statistically significant. Finally, a linear covariate relationship between climate vulnerability and conflict may understate interaction effects between the pair. </w:t>
      </w:r>
    </w:p>
    <w:p w:rsidR="00000000" w:rsidDel="00000000" w:rsidP="00000000" w:rsidRDefault="00000000" w:rsidRPr="00000000" w14:paraId="0000006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 + CLOSING: For the future, we would like to conduct an annual panel tracking of buffer level and trend over time and add in a richer list of covariates such as agricultural productivity, aid flows, governance indices, and cereal yields. We would also like to test whether shrinking buffers predict subsequent hunger increases (essentially an early warning system). Overall, we would like to integrate buffer-level and trend into climate-adaptation monitoring alongside vulnerability indexes. We want to make countries with eroding food-security gains visible before crises fully materialize, like they did in Bangladesh.</w:t>
      </w:r>
    </w:p>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Materials and Methods</w:t>
      </w:r>
    </w:p>
    <w:p w:rsidR="00000000" w:rsidDel="00000000" w:rsidP="00000000" w:rsidRDefault="00000000" w:rsidRPr="00000000" w14:paraId="0000006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SOURCES AND SAMPLE: We merged publicly available country-level datasets by </w:t>
      </w:r>
      <w:r w:rsidDel="00000000" w:rsidR="00000000" w:rsidRPr="00000000">
        <w:rPr>
          <w:rFonts w:ascii="Times New Roman" w:cs="Times New Roman" w:eastAsia="Times New Roman" w:hAnsi="Times New Roman"/>
          <w:rtl w:val="0"/>
        </w:rPr>
        <w:t xml:space="preserve">ISO3</w:t>
      </w:r>
      <w:r w:rsidDel="00000000" w:rsidR="00000000" w:rsidRPr="00000000">
        <w:rPr>
          <w:rFonts w:ascii="Times New Roman" w:cs="Times New Roman" w:eastAsia="Times New Roman" w:hAnsi="Times New Roman"/>
          <w:rtl w:val="0"/>
        </w:rPr>
        <w:t xml:space="preserve"> code for 143 countries with non-missing ND-GAIN vulnerability (2022) and FAO prevalence of undernourishment (Item 210041, 2022-2024 three-year window; values reported as &lt;2.5% coded at 2.5%) (7, 11, 12). ND-GAIN composite vulnerability and readiness indices came from the Notre Dame Global Adaptation Initiative (4, 12). World Bank World Development Indicators provided 2022 GDP per capita and rural population share data (13). EM-DAT disaster counts were summed over 2013-2022 (14). ACLED provided three-year average conflict fatalities (15). Complete cases for the multivariate models totalled N = 139. </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BUFFER CONSTRUCTION: From Experiment 1, we conducted an OLS regression and obtained a fitted undernourishment value for each country. We calculated the adaptation buffer by subtracting the actual undernourishment percentage for a country from its predicted undernourishment value. A positive buffer means that a country reported less hunger than the climate-only benchmark predicted, and a negative buffer means that a country reported more hunger than the benchmark predicted. This was computed for all 143 countries in the Experiment 1 sample pool.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ANALYSIS: In Experiment 1, we conducted an OLS regression between undernourishment and climate vulnerability. In Experiment 2, we added in covariate factors: Ln (GDP per capita), rural share (%), EM-DAT disaster count, Ln (1+ACLED conflict fatalities). Finally, in Experiment 4, we performed an OLS regression between the adaptation buffer and the covariate factors listed above, with climate vulnerability excluded completely. We used Python 3, pandas, and statsmodels to assist in our regression analyses, and we used the standard significance threshold of </w:t>
      </w:r>
      <m:oMath>
        <m:r>
          <m:t>α</m:t>
        </m:r>
        <m:r>
          <w:rPr>
            <w:rFonts w:ascii="Times New Roman" w:cs="Times New Roman" w:eastAsia="Times New Roman" w:hAnsi="Times New Roman"/>
          </w:rPr>
          <m:t xml:space="preserve">= 0.05</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MONTE CARLO UNCERTAINTY: To quantify uncertainty in each country’s buffer, we used Monte Carlo simulation with 20,000 iterations and random seed = 42 for reproducibility. In each iteration, we had three primary steps. First, we randomly resampled 143 countries with replacement and refit the Experiment 1 OLS line with the data, generating a new slope and intercept. This was our bootstrapping. Then, we added measurement noise to each country’s undernourishment percentage drawn from FAO data (7, 11); to do that, we would draw from </w:t>
      </w:r>
      <w:commentRangeStart w:id="0"/>
      <w:r w:rsidDel="00000000" w:rsidR="00000000" w:rsidRPr="00000000">
        <w:rPr>
          <w:rFonts w:ascii="Times New Roman" w:cs="Times New Roman" w:eastAsia="Times New Roman" w:hAnsi="Times New Roman"/>
          <w:rtl w:val="0"/>
        </w:rPr>
        <w:t xml:space="preserve">Normal (</w:t>
      </w:r>
      <m:oMath>
        <m:r>
          <w:rPr>
            <w:rFonts w:ascii="Times New Roman" w:cs="Times New Roman" w:eastAsia="Times New Roman" w:hAnsi="Times New Roman"/>
          </w:rPr>
          <m:t xml:space="preserve">0, </m:t>
        </m:r>
        <m:r>
          <w:rPr>
            <w:rFonts w:ascii="Times New Roman" w:cs="Times New Roman" w:eastAsia="Times New Roman" w:hAnsi="Times New Roman"/>
          </w:rPr>
          <m:t>σ</m:t>
        </m:r>
      </m:oMath>
      <w:r w:rsidDel="00000000" w:rsidR="00000000" w:rsidRPr="00000000">
        <w:rPr>
          <w:rFonts w:ascii="Times New Roman" w:cs="Times New Roman" w:eastAsia="Times New Roman" w:hAnsi="Times New Roman"/>
          <w:rtl w:val="0"/>
        </w:rPr>
        <w:t xml:space="preserve">) where </w:t>
      </w:r>
      <m:oMath>
        <m:r>
          <m:t>σ</m:t>
        </m:r>
      </m:oMath>
      <w:r w:rsidDel="00000000" w:rsidR="00000000" w:rsidRPr="00000000">
        <w:rPr>
          <w:rFonts w:ascii="Times New Roman" w:cs="Times New Roman" w:eastAsia="Times New Roman" w:hAnsi="Times New Roman"/>
          <w:rtl w:val="0"/>
        </w:rPr>
        <w:t xml:space="preserve"> = max (1.0, 0.1 * undernourishment percentage)</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Finally, we recomputed every country’s buffer as fitted hunger from the new line minus noisy actual data. After 20,000 iterations, per country, we came up with three data points: mean buffer, 90% interval (5th–95th percentile of the 20,000 values), and the percentage of runs that the buffer stayed &gt; 0. We then classified countries as robust over-performers, robust under-performers, or ambiguous. Robust over-performers had at least 90% of runs where the buffer was always positive, robust under-performers had at most 10% of runs where the buffer was always positive, and all remaining countries were labeled as ambiguous. Our slope 90% interval reported in Results was the 5th–95th percentile of the 20,000 refitted slopes. For our scripts, we used global_monte_carlo.py; for outputs, we used global_mc_buffer_uncertainty.csv and global_mc_slope_distribution.csv.</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COLLAPSE SIMULATION: To model buffer fragility over time, we simulated 20,000 twenty-year trajectories of a +9.1 -pp starting buffer. To be specific, T = 20 years, 20,000 independent trials per scenario,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0</m:t>
            </m:r>
          </m:sub>
        </m:sSub>
      </m:oMath>
      <w:r w:rsidDel="00000000" w:rsidR="00000000" w:rsidRPr="00000000">
        <w:rPr>
          <w:rFonts w:ascii="Times New Roman" w:cs="Times New Roman" w:eastAsia="Times New Roman" w:hAnsi="Times New Roman"/>
          <w:rtl w:val="0"/>
        </w:rPr>
        <w:t xml:space="preserve"> = +9.1 pp, which is Bangladesh’s MC mean buffer. We had a yearly update: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r>
          <w:rPr>
            <w:rFonts w:ascii="Times New Roman" w:cs="Times New Roman" w:eastAsia="Times New Roman" w:hAnsi="Times New Roman"/>
          </w:rPr>
          <m:t>ρ</m:t>
        </m:r>
        <m:r>
          <w:rPr>
            <w:rFonts w:ascii="Times New Roman" w:cs="Times New Roman" w:eastAsia="Times New Roman" w:hAnsi="Times New Roman"/>
          </w:rPr>
          <m:t xml:space="preserve">(target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shock + noise</m:t>
        </m:r>
      </m:oMath>
      <w:r w:rsidDel="00000000" w:rsidR="00000000" w:rsidRPr="00000000">
        <w:rPr>
          <w:rFonts w:ascii="Times New Roman" w:cs="Times New Roman" w:eastAsia="Times New Roman" w:hAnsi="Times New Roman"/>
          <w:rtl w:val="0"/>
        </w:rPr>
        <w:t xml:space="preserve">; target = initial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B</m:t>
            </m:r>
          </m:e>
          <m:sub>
            <m:r>
              <w:rPr>
                <w:rFonts w:ascii="Times New Roman" w:cs="Times New Roman" w:eastAsia="Times New Roman" w:hAnsi="Times New Roman"/>
              </w:rPr>
              <m:t xml:space="preserve">0</m:t>
            </m:r>
          </m:sub>
        </m:sSub>
      </m:oMath>
      <w:r w:rsidDel="00000000" w:rsidR="00000000" w:rsidRPr="00000000">
        <w:rPr>
          <w:rFonts w:ascii="Times New Roman" w:cs="Times New Roman" w:eastAsia="Times New Roman" w:hAnsi="Times New Roman"/>
          <w:rtl w:val="0"/>
        </w:rPr>
        <w:t xml:space="preserve">. </w:t>
      </w:r>
      <m:oMath>
        <m:r>
          <m:t>ρ</m:t>
        </m:r>
        <m:r>
          <w:rPr>
            <w:rFonts w:ascii="Times New Roman" w:cs="Times New Roman" w:eastAsia="Times New Roman" w:hAnsi="Times New Roman"/>
          </w:rPr>
          <m:t xml:space="preserve">(recovery rate)</m:t>
        </m:r>
      </m:oMath>
      <w:r w:rsidDel="00000000" w:rsidR="00000000" w:rsidRPr="00000000">
        <w:rPr>
          <w:rFonts w:ascii="Times New Roman" w:cs="Times New Roman" w:eastAsia="Times New Roman" w:hAnsi="Times New Roman"/>
          <w:rtl w:val="0"/>
        </w:rPr>
        <w:t xml:space="preserve">: fraction of the gap to target closed each year. It’s 0.25 for the baseline scenario and 0.40 in the resilience scenario. In each year, there is a 20% probability of a shock; if the shock occurs, the size is drawn from a gamma distribution with mean size 4.0 pp in the baseline scenario and 2.4 pp in the resilience scenario. A collapse is defined if the buffer goes below 0 at least once during the 20-year horizon. We reported four values after running the simulation: the percentage of runs where the buffer collapsed within 10 and within 20 years, the expected years with the buffer less than 0, and the median buffer at year 20. Our script was global_monte_carlo.py and our output was stored in global_mc_collapse_dynamics.csv. Figure 3 shows the probability of collapse within 20 years for the baseline scenario compared to the resilience scenario while Table 4 lists full comparisons. </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ROBUSTNESS CHECKS: We assessed sensitivity of the main findings to alternative data specifications. All checks reuse Experiment 1 unless noted with script global_robustness_checks.py. Robustness check 1 (R1) changed the FAO window; undernourishment data was drawn from 2020-2022 instead of 2022-2024 (11). R2 part a used World Risk Index vulnerability component rescaled from 0-100 to 0-1 to replace ND-GAIN vulnerability (17). R2 part b used composite World Risk Index to replace ND-GAIN (17). R2 part c used Global Data Lab national climate vulnerability index 2022 (0-1) to replace ND-GAIN (16); however, due to coverage, the sample size decreased to N = 92. R2 part d used ND-GAIN exposure sub-index only, which is the physical exposure component. R3 replaced FAO undernourishment data with WHO child stunting prevalence (latest national estimate per country) (18); N = 121. R4 conducted Experiment 2 with z-scored predictors, which is a sign-stability check. This check was not reported in the Results. Finally, R5 worked Experiment 1 but restricted it to nations with a population greater than 1,000,000 according to the World Bank (13) (N = 125). Output was stored in output/global_robustness_summary.csv and output/global_buffer_rankings_pop1m.csv.</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ETHICS: We used aggregated publicly available country-level data only, and no human subjects or vertebrate animals were involved. Analysis scripts are available upon request.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 AND TABLES: All figures generated by scripts/build_jei_manuscript.py from project CSV outputs.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Cardo" w:cs="Cardo" w:eastAsia="Cardo" w:hAnsi="Cardo"/>
          <w:rtl w:val="0"/>
        </w:rPr>
        <w:t xml:space="preserve">Figure 1 source: cross-section from global_models_1_to_4.py pipeline → figures/Figure1.jpeg</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Cardo" w:cs="Cardo" w:eastAsia="Cardo" w:hAnsi="Cardo"/>
          <w:rtl w:val="0"/>
        </w:rPr>
        <w:t xml:space="preserve">Figure 2 source: output/global_mc_buffer_uncertainty.csv → figures/Figure2.jpeg</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Cardo" w:cs="Cardo" w:eastAsia="Cardo" w:hAnsi="Cardo"/>
          <w:rtl w:val="0"/>
        </w:rPr>
        <w:t xml:space="preserve">Figure 3 source: output/global_mc_collapse_dynamics.csv → figures/Figure3.jpeg</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1-4 formatted in build_jei_manuscript.py and embedded in global_paper_JEI.docx</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REFERENCES</w:t>
      </w:r>
    </w:p>
    <w:p w:rsidR="00000000" w:rsidDel="00000000" w:rsidP="00000000" w:rsidRDefault="00000000" w:rsidRPr="00000000" w14:paraId="0000008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Wheeler, Tim, and Joachim von Braun. "Climate Change Impacts on Global Food Security." Science, vol. 341, no. 6145, 2013, pp. 508-513. </w:t>
      </w:r>
      <w:hyperlink r:id="rId7">
        <w:r w:rsidDel="00000000" w:rsidR="00000000" w:rsidRPr="00000000">
          <w:rPr>
            <w:rFonts w:ascii="Times New Roman" w:cs="Times New Roman" w:eastAsia="Times New Roman" w:hAnsi="Times New Roman"/>
            <w:color w:val="1155cc"/>
            <w:u w:val="single"/>
            <w:rtl w:val="0"/>
          </w:rPr>
          <w:t xml:space="preserve">https://doi.org/10.1126/science.1239402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IPCC. Climate Change 2022: Impacts, Adaptation and Vulnerability. Contribution of Working Group II to the Sixth Assessment Report of the Intergovernmental Panel on Climate Change. Cambridge University Press, 2022. </w:t>
      </w:r>
    </w:p>
    <w:p w:rsidR="00000000" w:rsidDel="00000000" w:rsidP="00000000" w:rsidRDefault="00000000" w:rsidRPr="00000000" w14:paraId="0000008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FAO, IFAD, UNICEF, WFP, and WHO. The State of Food Security and Nutrition in the World 2024. Food and Agriculture Organization of the United Nations, 2024.</w:t>
      </w:r>
    </w:p>
    <w:p w:rsidR="00000000" w:rsidDel="00000000" w:rsidP="00000000" w:rsidRDefault="00000000" w:rsidRPr="00000000" w14:paraId="0000008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Chen, C., et al. University of Notre Dame Global Adaptation Index: Country Index Technical Report. University of Notre Dame, 2015.</w:t>
      </w:r>
    </w:p>
    <w:p w:rsidR="00000000" w:rsidDel="00000000" w:rsidP="00000000" w:rsidRDefault="00000000" w:rsidRPr="00000000" w14:paraId="0000008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Ford, James D., et al. "How to Track Adaptation to Climate Change: A Typology of Approaches for National-Level Application." Ecology and Society, vol. 18, no. 3, 2013, https://doi.org/10.5751/ES-05732-180340.</w:t>
      </w:r>
    </w:p>
    <w:p w:rsidR="00000000" w:rsidDel="00000000" w:rsidP="00000000" w:rsidRDefault="00000000" w:rsidRPr="00000000" w14:paraId="0000008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Berrang-Ford, Lea, et al. "A Systematic Global Stocktake of Evidence on Human Adaptation to Climate Change." Nature Climate Change, vol. 11, no. 11, 2021, pp. 989-1000. https://doi.org/10.1038/s41558-021-01170-y.</w:t>
      </w:r>
    </w:p>
    <w:p w:rsidR="00000000" w:rsidDel="00000000" w:rsidP="00000000" w:rsidRDefault="00000000" w:rsidRPr="00000000" w14:paraId="0000008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Cafiero, Carlo, Sara Viviani, and Mark Nord. "Food Security Measurement in a Global Context: The Food Insecurity Experience Scale." Measurement, vol. 116, 2018, pp. 146-152. https://doi.org/10.1016/j.measurement.2017.10.065.</w:t>
      </w:r>
    </w:p>
    <w:p w:rsidR="00000000" w:rsidDel="00000000" w:rsidP="00000000" w:rsidRDefault="00000000" w:rsidRPr="00000000" w14:paraId="0000008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Headey, Derek. "Developmental Drivers of Nutritional Change: A Cross-Country Analysis." World Development, vol. 42, 2013, pp. 76-88. https://doi.org/10.1016/j.worlddev.2012.07.002.</w:t>
      </w:r>
    </w:p>
    <w:p w:rsidR="00000000" w:rsidDel="00000000" w:rsidP="00000000" w:rsidRDefault="00000000" w:rsidRPr="00000000" w14:paraId="0000008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Burke, Marshall, Solomon M. Hsiang, and Edward Miguel. "Climate and Conflict." Annual Review of Economics, vol. 7, 2015, pp. 577-617. https://doi.org/10.1146/annurev-economics-080614-115430.</w:t>
      </w:r>
    </w:p>
    <w:p w:rsidR="00000000" w:rsidDel="00000000" w:rsidP="00000000" w:rsidRDefault="00000000" w:rsidRPr="00000000" w14:paraId="0000008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Hinkel, Jochen. "Indicators of Vulnerability and Adaptive Capacity: Towards a Clarification of the Science-Policy Interface." Global Environmental Change, vol. 21, no. 1, 2011, pp. 198-208. https://doi.org/10.1016/j.gloenvcha.2010.08.002.</w:t>
      </w:r>
    </w:p>
    <w:p w:rsidR="00000000" w:rsidDel="00000000" w:rsidP="00000000" w:rsidRDefault="00000000" w:rsidRPr="00000000" w14:paraId="0000008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"Suite of Food Security Indicators (Item 210041: Prevalence of Undernourishment)." FAOSTAT. Food and Agriculture Organization of the United Nations, www.fao.org/faostat/en/#data/FS. Accessed 10 June 2026.</w:t>
      </w:r>
    </w:p>
    <w:p w:rsidR="00000000" w:rsidDel="00000000" w:rsidP="00000000" w:rsidRDefault="00000000" w:rsidRPr="00000000" w14:paraId="0000008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"ND-GAIN Country Index Data." Notre Dame Global Adaptation Initiative, gain.nd.edu/our-work/country-index/download-data/. Accessed 10 June 2026.</w:t>
      </w:r>
    </w:p>
    <w:p w:rsidR="00000000" w:rsidDel="00000000" w:rsidP="00000000" w:rsidRDefault="00000000" w:rsidRPr="00000000" w14:paraId="0000008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"World Development Indicators." World Bank, databank.worldbank.org. Accessed 10 June 2026.</w:t>
      </w:r>
    </w:p>
    <w:p w:rsidR="00000000" w:rsidDel="00000000" w:rsidP="00000000" w:rsidRDefault="00000000" w:rsidRPr="00000000" w14:paraId="0000008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"EM-DAT: The International Disaster Database." Centre for Research on the Epidemiology of Disasters, www.emdat.be. Accessed 10 June 2026.</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"Conflict Event and Fatality Data." Armed Conflict Location &amp; Event Data Project, acleddata.com. Accessed 10 June 2026.</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"Climate Vulnerability Index." Global Data Lab, Radboud University, globaldatalab.org. Accessed 10 June 2026.</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Bündnis Entwicklung Hilft and Ruhr University Bochum — IFHV. WorldRiskReport 2025. weltrisikobericht.de. Accessed 10 June 2026.</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141414"/>
          <w:sz w:val="18"/>
          <w:szCs w:val="18"/>
        </w:rPr>
      </w:pPr>
      <w:r w:rsidDel="00000000" w:rsidR="00000000" w:rsidRPr="00000000">
        <w:rPr>
          <w:rFonts w:ascii="Times New Roman" w:cs="Times New Roman" w:eastAsia="Times New Roman" w:hAnsi="Times New Roman"/>
          <w:rtl w:val="0"/>
        </w:rPr>
        <w:t xml:space="preserve">18. UNICEF, WHO, and World Bank. Joint Child Malnutrition Estimates: stunting prevalence in children under 5. WHO Global Health Observatory. Accessed 10 June 2026.</w:t>
      </w:r>
      <w:r w:rsidDel="00000000" w:rsidR="00000000" w:rsidRPr="00000000">
        <w:rPr>
          <w:rtl w:val="0"/>
        </w:rPr>
      </w:r>
    </w:p>
    <w:p w:rsidR="00000000" w:rsidDel="00000000" w:rsidP="00000000" w:rsidRDefault="00000000" w:rsidRPr="00000000" w14:paraId="00000097">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12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Acknowledgements</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like to thank the North Carolina Youth Institute and the World Food Prize Foundation for being my inspiration to conduct this research project. Researching Bangladesh gave me insight on how other nations face food insecurity at both a local and national level, and first sparked my interest in the adaptation buffer. I would also like to thank the Food Bank of Central and Eastern North Carolina for piquing my interest in food security issues. These interests combined to create the foundation for this research project.</w:t>
      </w:r>
      <w:r w:rsidDel="00000000" w:rsidR="00000000" w:rsidRPr="00000000">
        <w:rPr>
          <w:rtl w:val="0"/>
        </w:rPr>
      </w:r>
    </w:p>
    <w:p w:rsidR="00000000" w:rsidDel="00000000" w:rsidP="00000000" w:rsidRDefault="00000000" w:rsidRPr="00000000" w14:paraId="0000009D">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rrett Zhou" w:id="0" w:date="2026-07-07T19:59:11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1126/science.12394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