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Calibri" w:cs="Calibri" w:eastAsia="Calibri" w:hAnsi="Calibri"/>
          <w:b/>
          <w:bCs/>
          <w:i w:val="false"/>
          <w:iCs w:val="false"/>
          <w:caps w:val="false"/>
          <w:color w:val="8B6914"/>
          <w:sz w:val="18"/>
          <w:szCs w:val="18"/>
        </w:rPr>
        <w:t xml:space="preserve">WORLD FOOD PRIZE FOUNDATION</w:t>
      </w:r>
    </w:p>
    <w:p>
      <w:pPr>
        <w:spacing w:before="0" w:after="200"/>
        <w:jc w:val="center"/>
      </w:pPr>
      <w:r>
        <w:rPr>
          <w:rFonts w:ascii="Calibri" w:cs="Calibri" w:eastAsia="Calibri" w:hAnsi="Calibri"/>
          <w:b w:val="false"/>
          <w:bCs w:val="false"/>
          <w:i w:val="false"/>
          <w:iCs w:val="false"/>
          <w:caps w:val="false"/>
          <w:color w:val="888888"/>
          <w:sz w:val="17"/>
          <w:szCs w:val="17"/>
        </w:rPr>
        <w:t xml:space="preserve">Global Youth Institute  —  Global Challenge</w:t>
      </w:r>
    </w:p>
    <w:p>
      <w:pPr>
        <w:spacing w:before="0" w:after="100"/>
        <w:jc w:val="center"/>
      </w:pPr>
      <w:r>
        <w:rPr>
          <w:rFonts w:ascii="Calibri" w:cs="Calibri" w:eastAsia="Calibri" w:hAnsi="Calibri"/>
          <w:b/>
          <w:bCs/>
          <w:i w:val="false"/>
          <w:iCs w:val="false"/>
          <w:caps w:val="false"/>
          <w:color w:val="1A1A2E"/>
          <w:sz w:val="36"/>
          <w:szCs w:val="36"/>
        </w:rPr>
        <w:t xml:space="preserve">Bangladesh — Climate Change and Food Security in a Delta at Risk</w:t>
      </w:r>
    </w:p>
    <w:p>
      <w:pPr>
        <w:pBdr>
          <w:bottom w:val="single" w:color="8B6914" w:sz="8" w:space="2"/>
        </w:pBdr>
        <w:spacing w:before="0" w:after="200"/>
      </w:pPr>
      <w:r>
        <w:rPr>
          <w:rFonts w:ascii="Calibri" w:cs="Calibri" w:eastAsia="Calibri" w:hAnsi="Calibri"/>
          <w:b w:val="false"/>
          <w:bCs w:val="false"/>
          <w:i w:val="false"/>
          <w:iCs w:val="false"/>
          <w:caps w:val="false"/>
          <w:color w:val="1A1A1A"/>
          <w:sz w:val="8"/>
          <w:szCs w:val="8"/>
        </w:rPr>
        <w:t xml:space="preserve"/>
      </w:r>
    </w:p>
    <w:p>
      <w:pPr>
        <w:spacing w:before="0" w:after="60"/>
        <w:jc w:val="center"/>
      </w:pPr>
      <w:r>
        <w:rPr>
          <w:rFonts w:ascii="Calibri" w:cs="Calibri" w:eastAsia="Calibri" w:hAnsi="Calibri"/>
          <w:b/>
          <w:bCs/>
          <w:i w:val="false"/>
          <w:iCs w:val="false"/>
          <w:caps w:val="false"/>
          <w:color w:val="1A1A2E"/>
          <w:sz w:val="22"/>
          <w:szCs w:val="22"/>
        </w:rPr>
        <w:t xml:space="preserve">Garrett Zhou</w:t>
      </w:r>
    </w:p>
    <w:p>
      <w:pPr>
        <w:spacing w:before="0" w:after="60"/>
        <w:jc w:val="center"/>
      </w:pPr>
      <w:r>
        <w:rPr>
          <w:rFonts w:ascii="Calibri" w:cs="Calibri" w:eastAsia="Calibri" w:hAnsi="Calibri"/>
          <w:b w:val="false"/>
          <w:bCs w:val="false"/>
          <w:i w:val="false"/>
          <w:iCs w:val="false"/>
          <w:caps w:val="false"/>
          <w:color w:val="555555"/>
          <w:sz w:val="20"/>
          <w:szCs w:val="20"/>
        </w:rPr>
        <w:t xml:space="preserve">Durham Academy Upper School</w:t>
      </w:r>
    </w:p>
    <w:p>
      <w:pPr>
        <w:spacing w:before="0" w:after="60"/>
        <w:jc w:val="center"/>
      </w:pPr>
      <w:r>
        <w:rPr>
          <w:rFonts w:ascii="Calibri" w:cs="Calibri" w:eastAsia="Calibri" w:hAnsi="Calibri"/>
          <w:b w:val="false"/>
          <w:bCs w:val="false"/>
          <w:i w:val="false"/>
          <w:iCs w:val="false"/>
          <w:caps w:val="false"/>
          <w:color w:val="555555"/>
          <w:sz w:val="20"/>
          <w:szCs w:val="20"/>
        </w:rPr>
        <w:t xml:space="preserve">Chapel Hill, North Carolina, United States of America</w:t>
      </w:r>
    </w:p>
    <w:p>
      <w:pPr>
        <w:spacing w:before="0" w:after="360"/>
        <w:jc w:val="center"/>
      </w:pPr>
      <w:r>
        <w:rPr>
          <w:rFonts w:ascii="Calibri" w:cs="Calibri" w:eastAsia="Calibri" w:hAnsi="Calibri"/>
          <w:b w:val="false"/>
          <w:bCs w:val="false"/>
          <w:i w:val="false"/>
          <w:iCs w:val="false"/>
          <w:caps w:val="false"/>
          <w:color w:val="777777"/>
          <w:sz w:val="20"/>
          <w:szCs w:val="20"/>
        </w:rPr>
        <w:t xml:space="preserve">Topic: Bangladesh — Climate Change  •  March 27, 2026</w:t>
      </w:r>
    </w:p>
    <w:p>
      <w:pPr>
        <w:pBdr>
          <w:bottom w:val="single" w:color="8B6914" w:sz="6" w:space="4"/>
        </w:pBdr>
        <w:spacing w:before="280" w:after="120"/>
      </w:pPr>
      <w:r>
        <w:rPr>
          <w:rFonts w:ascii="Calibri" w:cs="Calibri" w:eastAsia="Calibri" w:hAnsi="Calibri"/>
          <w:b/>
          <w:bCs/>
          <w:i w:val="false"/>
          <w:iCs w:val="false"/>
          <w:caps w:val="false"/>
          <w:color w:val="1B4F72"/>
          <w:sz w:val="22"/>
          <w:szCs w:val="22"/>
        </w:rPr>
        <w:t xml:space="preserve">INTRODUCTION</w:t>
      </w:r>
    </w:p>
    <w:p>
      <w:pPr>
        <w:spacing w:before="0" w:after="160" w:line="276"/>
        <w:jc w:val="both"/>
      </w:pPr>
      <w:r>
        <w:rPr>
          <w:rFonts w:ascii="Calibri" w:cs="Calibri" w:eastAsia="Calibri" w:hAnsi="Calibri"/>
          <w:b w:val="false"/>
          <w:bCs w:val="false"/>
          <w:i w:val="false"/>
          <w:iCs w:val="false"/>
          <w:caps w:val="false"/>
          <w:color w:val="1A1A1A"/>
          <w:sz w:val="22"/>
          <w:szCs w:val="22"/>
        </w:rPr>
        <w:t xml:space="preserve">Most Americans will experience only a few natural disasters in their lifetimes — a hurricane, a blizzard, a tornado — and even then, the damage is often temporary. Power goes out for a few days, a roof needs replacing, and life resumes. In Bangladesh, the stakes are categorically different. A single cyclone can devastate entire coastal communities, wiping out a season’s harvest and contaminating freshwater sources for months. Flooding — which affects up to a third of the country in severe years — destroys crops, displaces families, and drives communities deeper into food insecurity. Situated in the low-lying Ganges-Brahmaputra delta, bordered by India on three sides and open to the Bay of Bengal in the south, Bangladesh is uniquely exposed: its flat terrain, dense population, and dependence on rain-fed agriculture create a perfect storm of climate vulnerability that few nations can match. As climate change intensifies these threats, the consequences for Bangladesh’s food security grow more severe with every passing year. This paper examines how climate change is measurably undermining food security in Bangladesh — analyzing its impact on a typical Bangladeshi family, quantifying the relationship between climate-related stressors and undernourishment through statistical modeling, exploring solutions that communities and governments have already begun to implement, and proposing a data-supported recommendation for the path forward.</w:t>
      </w:r>
    </w:p>
    <w:p>
      <w:pPr>
        <w:pBdr>
          <w:bottom w:val="single" w:color="8B6914" w:sz="6" w:space="4"/>
        </w:pBdr>
        <w:spacing w:before="280" w:after="120"/>
      </w:pPr>
      <w:r>
        <w:rPr>
          <w:rFonts w:ascii="Calibri" w:cs="Calibri" w:eastAsia="Calibri" w:hAnsi="Calibri"/>
          <w:b/>
          <w:bCs/>
          <w:i w:val="false"/>
          <w:iCs w:val="false"/>
          <w:caps w:val="false"/>
          <w:color w:val="1B4F72"/>
          <w:sz w:val="22"/>
          <w:szCs w:val="22"/>
        </w:rPr>
        <w:t xml:space="preserve">COUNTRY BACKGROUND</w:t>
      </w:r>
    </w:p>
    <w:p>
      <w:pPr>
        <w:spacing w:before="0" w:after="160" w:line="276"/>
        <w:jc w:val="both"/>
      </w:pPr>
      <w:r>
        <w:rPr>
          <w:rFonts w:ascii="Calibri" w:cs="Calibri" w:eastAsia="Calibri" w:hAnsi="Calibri"/>
          <w:b w:val="false"/>
          <w:bCs w:val="false"/>
          <w:i w:val="false"/>
          <w:iCs w:val="false"/>
          <w:caps w:val="false"/>
          <w:color w:val="1A1A1A"/>
          <w:sz w:val="22"/>
          <w:szCs w:val="22"/>
        </w:rPr>
        <w:t xml:space="preserve">Located in South Asia, with a similar land area to North Carolina, and bordered by India, Myanmar, and the Bay of Bengal, lies Bangladesh (MapFight). Bangladesh contains the junction of three great rivers — the Ganges, the Brahmaputra, and the Meghna — which together form the largest river delta in the world (Roome). Two-thirds of Bangladesh’s population of 173 million live and depend upon the delta, and, consequently, these people also live less than 15 feet above sea level (Climate Reality Project).</w:t>
      </w:r>
    </w:p>
    <w:p>
      <w:pPr>
        <w:spacing w:before="0" w:after="160" w:line="276"/>
        <w:jc w:val="both"/>
      </w:pPr>
      <w:r>
        <w:rPr>
          <w:rFonts w:ascii="Calibri" w:cs="Calibri" w:eastAsia="Calibri" w:hAnsi="Calibri"/>
          <w:b w:val="false"/>
          <w:bCs w:val="false"/>
          <w:i w:val="false"/>
          <w:iCs w:val="false"/>
          <w:caps w:val="false"/>
          <w:color w:val="1A1A1A"/>
          <w:sz w:val="22"/>
          <w:szCs w:val="22"/>
        </w:rPr>
        <w:t xml:space="preserve">Bangladesh’s GDP of $475 billion places it 35th globally — but divided among 173 million people, GDP per capita ranks just 155th in the world (Worldometer). With a total area of 55,598 square miles, Bangladesh has a population density of 3,538 people per square mile, the tenth highest worldwide, surpassed primarily by city-states such as Monaco and Singapore rather than traditional nations (World Bank, “Population, Total for Bangladesh”). Bangladesh is still recognized as a developing country: most of the land is rural, and millions of citizens live in urban slums, often displaced from coastal areas by climate events. Despite these challenges, living conditions have improved drastically over the past few decades, with undernourishment falling from 16.4% a decade ago to about 11% today (United Nations Food Systems Summit).</w:t>
      </w:r>
    </w:p>
    <w:p>
      <w:pPr>
        <w:spacing w:before="0" w:after="160" w:line="276"/>
        <w:jc w:val="both"/>
      </w:pPr>
      <w:r>
        <w:rPr>
          <w:rFonts w:ascii="Calibri" w:cs="Calibri" w:eastAsia="Calibri" w:hAnsi="Calibri"/>
          <w:b w:val="false"/>
          <w:bCs w:val="false"/>
          <w:i w:val="false"/>
          <w:iCs w:val="false"/>
          <w:caps w:val="false"/>
          <w:color w:val="1A1A1A"/>
          <w:sz w:val="22"/>
          <w:szCs w:val="22"/>
        </w:rPr>
        <w:t xml:space="preserve">A major component of Bangladesh’s development is international aid from sources such as the World Bank, USAID, and the Green Climate Fund. Bangladesh has suffered from political turmoil recently. Former Prime Minister Sheikh Hasina and the Awami League were ousted in mid-2024. From then until February 2026, an interim government led by Dr. Muhammad Yunus worked to stabilize the country (“Government of Bangladesh”). There has been significant corruption to address — Bangladesh ranked 149th out of 180 countries on Transparency International’s Corruption Perceptions Index in 2024, and resources that were promised to fight flooding and cyclones went into the pockets of the elite (Transparency International). On February 12, 2026, the Bangladesh National Party (BNP) took power. The BNP has historically been rivals with the Awami League, meaning existing climate policies and international partnerships are at risk of being dismantled (Immigration and Refugee Board of Canada).</w:t>
      </w:r>
    </w:p>
    <w:p>
      <w:pPr>
        <w:spacing w:before="0" w:after="160" w:line="276"/>
        <w:jc w:val="both"/>
      </w:pPr>
      <w:r>
        <w:rPr>
          <w:rFonts w:ascii="Calibri" w:cs="Calibri" w:eastAsia="Calibri" w:hAnsi="Calibri"/>
          <w:b w:val="false"/>
          <w:bCs w:val="false"/>
          <w:i w:val="false"/>
          <w:iCs w:val="false"/>
          <w:caps w:val="false"/>
          <w:color w:val="1A1A1A"/>
          <w:sz w:val="22"/>
          <w:szCs w:val="22"/>
        </w:rPr>
        <w:t xml:space="preserve">The former government, which was in power for the past 15 years, accelerated environmental degradation in Bangladesh. In the lead-up to the 2026 election, the expectation was that political parties would focus their campaigns on climate change to make up for decade-long losses. The Bangladesh National Party (BNP) won and will hold power for the next five years. In their election manifesto, they outlined several environmental goals: planting 250 million trees, ensuring 20% of electricity nationwide comes from renewable sources, and creating a modern waste system. They also pledged to support farmers with a Farmers Card that ensures fair prices, subsidies, loans, insurance, and state-managed markets. The BNP promised a $1 trillion economy by 2034, doubling the current market (Hossain and Abbas). Whether these promises translate to action will determine whether Bangladesh’s adaptation buffer holds — or collapses again.</w:t>
      </w:r>
    </w:p>
    <w:p>
      <w:pPr>
        <w:spacing w:before="0" w:after="160" w:line="276"/>
        <w:jc w:val="both"/>
      </w:pPr>
      <w:r>
        <w:rPr>
          <w:rFonts w:ascii="Calibri" w:cs="Calibri" w:eastAsia="Calibri" w:hAnsi="Calibri"/>
          <w:b w:val="false"/>
          <w:bCs w:val="false"/>
          <w:i w:val="false"/>
          <w:iCs w:val="false"/>
          <w:caps w:val="false"/>
          <w:color w:val="1A1A1A"/>
          <w:sz w:val="22"/>
          <w:szCs w:val="22"/>
        </w:rPr>
        <w:t xml:space="preserve">The climate in Bangladesh follows a traditional monsoon structure. The four seasons are winter, pre-monsoon, monsoon (June to October), and post-monsoon. Temperatures typically range from 27–31 °C but vary by geographic location; in the West, temperatures can rise to 40 °C (Jihan et al.). Bangladesh receives an average of approximately 2,000 mm of rainfall per year, but 70–80% of rain falls during the four-month monsoon season, creating an extreme cycle of drought and deluge (Bangladesh Meteorological Department). In the northeast, annual rainfall can exceed 5,000 mm, while the western interior receives as little as 1,200 mm — making water management simultaneously a problem of scarcity and surplus depending on the season and location.</w:t>
      </w:r>
    </w:p>
    <w:p>
      <w:pPr>
        <w:spacing w:before="0" w:after="160" w:line="276"/>
        <w:jc w:val="both"/>
      </w:pPr>
      <w:r>
        <w:rPr>
          <w:rFonts w:ascii="Calibri" w:cs="Calibri" w:eastAsia="Calibri" w:hAnsi="Calibri"/>
          <w:b w:val="false"/>
          <w:bCs w:val="false"/>
          <w:i w:val="false"/>
          <w:iCs w:val="false"/>
          <w:caps w:val="false"/>
          <w:color w:val="1A1A1A"/>
          <w:sz w:val="22"/>
          <w:szCs w:val="22"/>
        </w:rPr>
        <w:t xml:space="preserve">Flooding is not an anomaly in Bangladesh; it is a defining feature. During the last half century, at least eight extreme flood events have affected 50% or more of the country’s land area, and floods of varying magnitude occur every single year (World Bank, “Flood Management”). Over half the population is exposed to high flood risk, with 45% facing high river flood risk — the highest proportion of any country in the world (LSE, “Tackling Flooding”). Climate change is accelerating this pattern. Research from MIT projects that what was historically a once-in-a-century storm tide could strike every 10 years by the end of the century under continued emissions (“Hundred-Year Storm Tides”). Peak river flow is expected to rise 16–36% by 2070–2099, and annual precipitation is projected to increase by almost 30%, mostly during the post-monsoon season (Jihan et al.).</w:t>
      </w:r>
    </w:p>
    <w:p>
      <w:pPr>
        <w:spacing w:before="0" w:after="160" w:line="276"/>
        <w:jc w:val="both"/>
      </w:pPr>
      <w:r>
        <w:rPr>
          <w:rFonts w:ascii="Calibri" w:cs="Calibri" w:eastAsia="Calibri" w:hAnsi="Calibri"/>
          <w:b w:val="false"/>
          <w:bCs w:val="false"/>
          <w:i w:val="false"/>
          <w:iCs w:val="false"/>
          <w:caps w:val="false"/>
          <w:color w:val="1A1A1A"/>
          <w:sz w:val="22"/>
          <w:szCs w:val="22"/>
        </w:rPr>
        <w:t xml:space="preserve">Sea level rise compounds the flooding threat. Bangladesh experiences a relative sea-level rise of 4–7.8 mm per year — roughly double the global average — due to the combined effects of rising oceans, natural delta subsidence, and groundwater extraction (ICCCAD, “Rising Sea Level”). By 2050, an estimated 17% of Bangladesh’s territory could be submerged, resulting in a loss of 30% of agricultural land and forcing millions of coastal residents to migrate inland (“Bangladesh’s 17% Areas Might Be Submerged”). For a country where two-thirds of the population already lives less than 15 feet above sea level, even modest sea level increases can be catastrophic.</w:t>
      </w:r>
    </w:p>
    <w:p>
      <w:pPr>
        <w:spacing w:before="0" w:after="160" w:line="276"/>
        <w:jc w:val="both"/>
      </w:pPr>
      <w:r>
        <w:rPr>
          <w:rFonts w:ascii="Calibri" w:cs="Calibri" w:eastAsia="Calibri" w:hAnsi="Calibri"/>
          <w:b w:val="false"/>
          <w:bCs w:val="false"/>
          <w:i w:val="false"/>
          <w:iCs w:val="false"/>
          <w:caps w:val="false"/>
          <w:color w:val="1A1A1A"/>
          <w:sz w:val="22"/>
          <w:szCs w:val="22"/>
        </w:rPr>
        <w:t xml:space="preserve">The rivers that sustain Bangladesh’s delta originate in the Hindu Kush Himalayan glaciers — and those glaciers are disappearing. Between 1990 and 2020, the Ganges basin lost 21% of its glacier area, and the Brahmaputra basin lost 16%, with the overall rate of ice loss doubling since 2000 (ICIMOD, “HKH Glacier Outlook”). This creates a dual threat. In the near term, accelerated melt is increasing peak river flows, intensifying the monsoon flooding that already devastates Bangladesh annually — flood levels in the Brahmaputra could surge 80% and in the Ganges 108% by 2075 (“Rapid Himalayan Ice Melt”). In the long term, as glaciers shrink past critical thresholds, dry-season water availability will decline sharply. Currently, 65% of the Brahmaputra’s and 70% of the Ganges’ dry-season flow originates from glacial melt (“Rapid Himalayan Ice Melt”). The winter boro rice crop — which produces the majority of Bangladesh’s food — depends on this water for irrigation. Bangladesh faces a future of too much water during the monsoon season and too little during the growing season that feeds the country. These are not abstract statistics. For millions of Bangladeshi families, climate vulnerability is a daily reality.</w:t>
      </w:r>
    </w:p>
    <w:p>
      <w:pPr>
        <w:pBdr>
          <w:bottom w:val="single" w:color="8B6914" w:sz="6" w:space="4"/>
        </w:pBdr>
        <w:spacing w:before="280" w:after="120"/>
      </w:pPr>
      <w:r>
        <w:rPr>
          <w:rFonts w:ascii="Calibri" w:cs="Calibri" w:eastAsia="Calibri" w:hAnsi="Calibri"/>
          <w:b/>
          <w:bCs/>
          <w:i w:val="false"/>
          <w:iCs w:val="false"/>
          <w:caps w:val="false"/>
          <w:color w:val="1B4F72"/>
          <w:sz w:val="22"/>
          <w:szCs w:val="22"/>
        </w:rPr>
        <w:t xml:space="preserve">A TYPICAL BANGLADESHI FAMILY</w:t>
      </w:r>
    </w:p>
    <w:p>
      <w:pPr>
        <w:spacing w:before="0" w:after="160" w:line="276"/>
        <w:jc w:val="both"/>
      </w:pPr>
      <w:r>
        <w:rPr>
          <w:rFonts w:ascii="Calibri" w:cs="Calibri" w:eastAsia="Calibri" w:hAnsi="Calibri"/>
          <w:b w:val="false"/>
          <w:bCs w:val="false"/>
          <w:i w:val="false"/>
          <w:iCs w:val="false"/>
          <w:caps w:val="false"/>
          <w:color w:val="1A1A1A"/>
          <w:sz w:val="22"/>
          <w:szCs w:val="22"/>
        </w:rPr>
        <w:t xml:space="preserve">The typical family in Bangladesh resides in a rural area and comprises two parents and two to three children (ArcGIS). You have access to electricity, just like 99% of your fellow Bangladeshis — a remarkable achievement given that just 30 years ago, only one in seven had power (Ritchie). After waking up, your breakfast consists of rice, vegetables, and perhaps some cereal, sourced from your own subsistence farm or the local market. Having something cooked for breakfast, such as eggs or meat, is extremely rare, especially in rural areas. If something is cooked, it is likely cooked over wood, crop waste, or straw. Only 28% of Bangladeshis cook with gas or electricity, and the country has a very high rate of deaths from indoor air pollution as a result. The barriers are both economic and cultural: Bangladesh relies on volatile petroleum imports, and cooking with biomass is culturally seen as producing more flavorful food (Ritchie). Initiatives such as the National Action Plan for Clean Cooking in Bangladesh aim to achieve 100% clean cooking by 2030, with a total investment of $2.9 billion, but progress has been slow (Sustainable Energy for All).</w:t>
      </w:r>
    </w:p>
    <w:p>
      <w:pPr>
        <w:spacing w:before="0" w:after="160" w:line="276"/>
        <w:jc w:val="both"/>
      </w:pPr>
      <w:r>
        <w:rPr>
          <w:rFonts w:ascii="Calibri" w:cs="Calibri" w:eastAsia="Calibri" w:hAnsi="Calibri"/>
          <w:b w:val="false"/>
          <w:bCs w:val="false"/>
          <w:i w:val="false"/>
          <w:iCs w:val="false"/>
          <w:caps w:val="false"/>
          <w:color w:val="1A1A1A"/>
          <w:sz w:val="22"/>
          <w:szCs w:val="22"/>
        </w:rPr>
        <w:t xml:space="preserve">After breakfast, you go to wash your hands — but like most rural Bangladeshis, you lack access to basic handwashing facilities with water and soap at home. Over one-third of the country lacks access to clean drinking water (“Drinking Water and Sanitation”). Your family, however, is relatively fortunate. Your father leaves for work in the service sector at the local market, where he makes roughly $10 a day — enough to ensure a comfortable lifestyle compared to many of your peers (“Average Salary in Bangladesh”). Your mother tends your family’s humble farm, watering rice, potatoes, jute, and some tropical fruits. You, like many of your neighbors, farm only for your family. At noon, you hear a crowd of women walking in from the coast. Many mothers and daughters stand in brackish water for over 12 hours daily to catch fry, which are baby shrimp. You hear them complain of constant infections and pain — yet, just like a moth drawn to a flame, they make their way back to the coast after a quick lunch of legumes, rice, and a small piece of fish (“Silent Killer”).</w:t>
      </w:r>
    </w:p>
    <w:p>
      <w:pPr>
        <w:pBdr>
          <w:bottom w:val="single" w:color="8B6914" w:sz="6" w:space="4"/>
        </w:pBdr>
        <w:spacing w:before="280" w:after="120"/>
      </w:pPr>
      <w:r>
        <w:rPr>
          <w:rFonts w:ascii="Calibri" w:cs="Calibri" w:eastAsia="Calibri" w:hAnsi="Calibri"/>
          <w:b/>
          <w:bCs/>
          <w:i w:val="false"/>
          <w:iCs w:val="false"/>
          <w:caps w:val="false"/>
          <w:color w:val="1B4F72"/>
          <w:sz w:val="22"/>
          <w:szCs w:val="22"/>
        </w:rPr>
        <w:t xml:space="preserve">EXPLORING SOLUTIONS</w:t>
      </w:r>
    </w:p>
    <w:p>
      <w:pPr>
        <w:spacing w:before="180" w:after="80"/>
      </w:pPr>
      <w:r>
        <w:rPr>
          <w:rFonts w:ascii="Calibri" w:cs="Calibri" w:eastAsia="Calibri" w:hAnsi="Calibri"/>
          <w:b/>
          <w:bCs/>
          <w:i w:val="false"/>
          <w:iCs w:val="false"/>
          <w:caps w:val="false"/>
          <w:color w:val="1B4F72"/>
          <w:sz w:val="22"/>
          <w:szCs w:val="22"/>
        </w:rPr>
        <w:t xml:space="preserve">Global Regression Model</w:t>
      </w:r>
    </w:p>
    <w:p>
      <w:pPr>
        <w:spacing w:before="0" w:after="160" w:line="276"/>
        <w:jc w:val="both"/>
      </w:pPr>
      <w:r>
        <w:rPr>
          <w:rFonts w:ascii="Calibri" w:cs="Calibri" w:eastAsia="Calibri" w:hAnsi="Calibri"/>
          <w:b w:val="false"/>
          <w:bCs w:val="false"/>
          <w:i w:val="false"/>
          <w:iCs w:val="false"/>
          <w:caps w:val="false"/>
          <w:color w:val="1A1A1A"/>
          <w:sz w:val="22"/>
          <w:szCs w:val="22"/>
        </w:rPr>
        <w:t xml:space="preserve">Climate change impacts food security everywhere. By running a regression between climate vulnerability as the independent variable and undernourishment as the dependent variable, I found that climate change explains 48% of the variation in undernourishment rates across a sample of 131 countries. Given a massive river delta, low elevation, and poor infrastructure, it should come as no surprise that Bangladesh is one of the most climate-vulnerable countries in the world. In 2024, the World Risk Index ranked Bangladesh as the 9th most vulnerable country worldwide to extreme weather despite producing only 0.3% of global greenhouse emissions — the priority for Bangladesh is not reducing emissions but surviving the consequences of everyone else’s (Climate Reality Project). Between 2000 and 2019, Bangladesh suffered economic losses of $3.72 billion from 185 extreme weather events (Climate Reality Project). Over seven million Bangladeshis have been displaced in the last decade due to extreme weather, and in 2024 alone, Cyclone Remal and the subsequent floods impacted 18 million people (United Nations Bangladesh). Annual precipitation is projected to increase by almost 30%, mostly during the post-monsoon season (Jihan et al.). According to the World Bank, Bangladesh’s GDP from agriculture is projected to be 3.1% lower each year due to climate change — an annual loss of $570 million (Mahmud).</w:t>
      </w:r>
    </w:p>
    <w:p>
      <w:pPr>
        <w:spacing w:before="0" w:after="160" w:line="276"/>
        <w:jc w:val="both"/>
      </w:pPr>
      <w:r>
        <w:rPr>
          <w:rFonts w:ascii="Calibri" w:cs="Calibri" w:eastAsia="Calibri" w:hAnsi="Calibri"/>
          <w:b w:val="false"/>
          <w:bCs w:val="false"/>
          <w:i w:val="false"/>
          <w:iCs w:val="false"/>
          <w:caps w:val="false"/>
          <w:color w:val="1A1A1A"/>
          <w:sz w:val="22"/>
          <w:szCs w:val="22"/>
        </w:rPr>
        <w:t xml:space="preserve">Using the aforementioned regression, the equation </w:t>
      </w:r>
      <w:r>
        <w:rPr>
          <w:rFonts w:ascii="Calibri" w:cs="Calibri" w:eastAsia="Calibri" w:hAnsi="Calibri"/>
          <w:b w:val="false"/>
          <w:bCs w:val="false"/>
          <w:i/>
          <w:iCs/>
          <w:caps w:val="false"/>
          <w:color w:val="1A1A1A"/>
          <w:sz w:val="22"/>
          <w:szCs w:val="22"/>
        </w:rPr>
        <w:t xml:space="preserve">Undernourishment (%) = −22.03 + 75.65 × (Climate Vulnerability)</w:t>
      </w:r>
      <w:r>
        <w:rPr>
          <w:rFonts w:ascii="Calibri" w:cs="Calibri" w:eastAsia="Calibri" w:hAnsi="Calibri"/>
          <w:b w:val="false"/>
          <w:bCs w:val="false"/>
          <w:i w:val="false"/>
          <w:iCs w:val="false"/>
          <w:caps w:val="false"/>
          <w:color w:val="1A1A1A"/>
          <w:sz w:val="22"/>
          <w:szCs w:val="22"/>
        </w:rPr>
        <w:t xml:space="preserve"> was obtained. My model predicts that a country with Bangladesh’s vulnerability score should have an undernourishment rate of 21%. However, Bangladesh is beating the odds with an actual value of 11.9%. This means that although Bangladesh’s climate vulnerability would typically result in much higher hunger rates, other factors — including international aid, prior investments under BDP 2100, and decades of Green Revolution gains in rice self-sufficiency — are currently suppressing it.</w:t>
      </w:r>
    </w:p>
    <w:p>
      <w:pPr>
        <w:spacing w:before="180" w:after="80"/>
      </w:pPr>
      <w:r>
        <w:rPr>
          <w:rFonts w:ascii="Calibri" w:cs="Calibri" w:eastAsia="Calibri" w:hAnsi="Calibri"/>
          <w:b/>
          <w:bCs/>
          <w:i w:val="false"/>
          <w:iCs w:val="false"/>
          <w:caps w:val="false"/>
          <w:color w:val="1B4F72"/>
          <w:sz w:val="22"/>
          <w:szCs w:val="22"/>
        </w:rPr>
        <w:t xml:space="preserve">Historical Trend Analysis (2002–2023)</w:t>
      </w:r>
    </w:p>
    <w:p>
      <w:pPr>
        <w:spacing w:before="0" w:after="160" w:line="276"/>
        <w:jc w:val="both"/>
      </w:pPr>
      <w:r>
        <w:rPr>
          <w:rFonts w:ascii="Calibri" w:cs="Calibri" w:eastAsia="Calibri" w:hAnsi="Calibri"/>
          <w:b w:val="false"/>
          <w:bCs w:val="false"/>
          <w:i w:val="false"/>
          <w:iCs w:val="false"/>
          <w:caps w:val="false"/>
          <w:color w:val="1A1A1A"/>
          <w:sz w:val="22"/>
          <w:szCs w:val="22"/>
        </w:rPr>
        <w:t xml:space="preserve">I also examined historical climate vulnerability data alongside undernourishment data for Bangladesh between 2002 and 2022. Between 2002 and 2007, there were no major climate shocks, and climate vulnerability hovered around 0.560. Crucially, Bangladesh did not take preparative action for the next extreme weather event. The adaptation buffer — the difference between predicted undernourishment and actual undernourishment — remained around 5 percentage points. The plateau period illustrated that stability without active investment is not stability; it is accumulated fragility.</w:t>
      </w:r>
    </w:p>
    <w:p>
      <w:pPr>
        <w:spacing w:before="120" w:after="80"/>
        <w:jc w:val="center"/>
      </w:pPr>
      <w:r>
        <w:rPr>
          <w:rFonts w:ascii="Calibri" w:cs="Calibri" w:eastAsia="Calibri" w:hAnsi="Calibri"/>
          <w:b/>
          <w:bCs/>
          <w:i/>
          <w:iCs/>
          <w:caps w:val="false"/>
          <w:color w:val="555555"/>
          <w:sz w:val="19"/>
          <w:szCs w:val="19"/>
        </w:rPr>
        <w:t xml:space="preserve">Table 1. Bangladesh Climate Vulnerability and Adaptation Buffer, 2002–2023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1800"/>
        <w:gridCol w:w="2880"/>
      </w:tblGrid>
      <w:tr>
        <w:trPr>
          <w:tblHeader/>
        </w:trPr>
        <w:tc>
          <w:tcPr>
            <w:tcW w:type="dxa" w:w="14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tcPr>
          <w:p>
            <w:pPr>
              <w:spacing w:before="0" w:after="0"/>
              <w:jc w:val="center"/>
            </w:pPr>
            <w:r>
              <w:rPr>
                <w:rFonts w:ascii="Calibri" w:cs="Calibri" w:eastAsia="Calibri" w:hAnsi="Calibri"/>
                <w:b/>
                <w:bCs/>
                <w:i w:val="false"/>
                <w:iCs w:val="false"/>
                <w:caps w:val="false"/>
                <w:color w:val="FFFFFF"/>
                <w:sz w:val="18"/>
                <w:szCs w:val="18"/>
              </w:rPr>
              <w:t xml:space="preserve">Period</w:t>
            </w:r>
          </w:p>
        </w:tc>
        <w:tc>
          <w:tcPr>
            <w:tcW w:type="dxa" w:w="20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tcPr>
          <w:p>
            <w:pPr>
              <w:spacing w:before="0" w:after="0"/>
              <w:jc w:val="center"/>
            </w:pPr>
            <w:r>
              <w:rPr>
                <w:rFonts w:ascii="Calibri" w:cs="Calibri" w:eastAsia="Calibri" w:hAnsi="Calibri"/>
                <w:b/>
                <w:bCs/>
                <w:i w:val="false"/>
                <w:iCs w:val="false"/>
                <w:caps w:val="false"/>
                <w:color w:val="FFFFFF"/>
                <w:sz w:val="18"/>
                <w:szCs w:val="18"/>
              </w:rPr>
              <w:t xml:space="preserve">Vulnerability Range</w:t>
            </w:r>
          </w:p>
        </w:tc>
        <w:tc>
          <w:tcPr>
            <w:tcW w:type="dxa" w:w="20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tcPr>
          <w:p>
            <w:pPr>
              <w:spacing w:before="0" w:after="0"/>
              <w:jc w:val="center"/>
            </w:pPr>
            <w:r>
              <w:rPr>
                <w:rFonts w:ascii="Calibri" w:cs="Calibri" w:eastAsia="Calibri" w:hAnsi="Calibri"/>
                <w:b/>
                <w:bCs/>
                <w:i w:val="false"/>
                <w:iCs w:val="false"/>
                <w:caps w:val="false"/>
                <w:color w:val="FFFFFF"/>
                <w:sz w:val="18"/>
                <w:szCs w:val="18"/>
              </w:rPr>
              <w:t xml:space="preserve">Undernourishment</w:t>
            </w:r>
          </w:p>
        </w:tc>
        <w:tc>
          <w:tcPr>
            <w:tcW w:type="dxa" w:w="18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tcPr>
          <w:p>
            <w:pPr>
              <w:spacing w:before="0" w:after="0"/>
              <w:jc w:val="center"/>
            </w:pPr>
            <w:r>
              <w:rPr>
                <w:rFonts w:ascii="Calibri" w:cs="Calibri" w:eastAsia="Calibri" w:hAnsi="Calibri"/>
                <w:b/>
                <w:bCs/>
                <w:i w:val="false"/>
                <w:iCs w:val="false"/>
                <w:caps w:val="false"/>
                <w:color w:val="FFFFFF"/>
                <w:sz w:val="18"/>
                <w:szCs w:val="18"/>
              </w:rPr>
              <w:t xml:space="preserve">Adaptation Buffer</w:t>
            </w:r>
          </w:p>
        </w:tc>
        <w:tc>
          <w:tcPr>
            <w:tcW w:type="dxa" w:w="288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tcPr>
          <w:p>
            <w:pPr>
              <w:spacing w:before="0" w:after="0"/>
              <w:jc w:val="center"/>
            </w:pPr>
            <w:r>
              <w:rPr>
                <w:rFonts w:ascii="Calibri" w:cs="Calibri" w:eastAsia="Calibri" w:hAnsi="Calibri"/>
                <w:b/>
                <w:bCs/>
                <w:i w:val="false"/>
                <w:iCs w:val="false"/>
                <w:caps w:val="false"/>
                <w:color w:val="FFFFFF"/>
                <w:sz w:val="18"/>
                <w:szCs w:val="18"/>
              </w:rPr>
              <w:t xml:space="preserve">Key Event / Interpretation</w:t>
            </w:r>
          </w:p>
        </w:tc>
      </w:tr>
      <w:tr>
        <w:tc>
          <w:tcPr>
            <w:tcW w:type="dxa" w:w="1400"/>
            <w:tcBorders>
              <w:top w:val="single" w:color="D0D0D0" w:sz="3"/>
              <w:left w:val="single" w:color="D0D0D0" w:sz="3"/>
              <w:bottom w:val="single" w:color="D0D0D0" w:sz="3"/>
              <w:right w:val="single" w:color="D0D0D0" w:sz="3"/>
            </w:tcBorders>
            <w:shd w:fill="FFFFFF" w:val="clear"/>
            <w:tcMar>
              <w:top w:type="dxa" w:w="60"/>
              <w:left w:type="dxa" w:w="110"/>
              <w:bottom w:type="dxa" w:w="60"/>
              <w:right w:type="dxa" w:w="110"/>
            </w:tcMar>
          </w:tcPr>
          <w:p>
            <w:pPr>
              <w:spacing w:before="0" w:after="0"/>
              <w:jc w:val="center"/>
            </w:pPr>
            <w:r>
              <w:rPr>
                <w:rFonts w:ascii="Calibri" w:cs="Calibri" w:eastAsia="Calibri" w:hAnsi="Calibri"/>
                <w:b w:val="false"/>
                <w:bCs w:val="false"/>
                <w:i w:val="false"/>
                <w:iCs w:val="false"/>
                <w:caps w:val="false"/>
                <w:color w:val="1A1A1A"/>
                <w:sz w:val="18"/>
                <w:szCs w:val="18"/>
              </w:rPr>
              <w:t xml:space="preserve">2002–2007</w:t>
            </w:r>
          </w:p>
        </w:tc>
        <w:tc>
          <w:tcPr>
            <w:tcW w:type="dxa" w:w="2000"/>
            <w:tcBorders>
              <w:top w:val="single" w:color="D0D0D0" w:sz="3"/>
              <w:left w:val="single" w:color="D0D0D0" w:sz="3"/>
              <w:bottom w:val="single" w:color="D0D0D0" w:sz="3"/>
              <w:right w:val="single" w:color="D0D0D0" w:sz="3"/>
            </w:tcBorders>
            <w:shd w:fill="FFFFFF" w:val="clear"/>
            <w:tcMar>
              <w:top w:type="dxa" w:w="60"/>
              <w:left w:type="dxa" w:w="110"/>
              <w:bottom w:type="dxa" w:w="60"/>
              <w:right w:type="dxa" w:w="110"/>
            </w:tcMar>
          </w:tcPr>
          <w:p>
            <w:pPr>
              <w:spacing w:before="0" w:after="0"/>
              <w:jc w:val="center"/>
            </w:pPr>
            <w:r>
              <w:rPr>
                <w:rFonts w:ascii="Calibri" w:cs="Calibri" w:eastAsia="Calibri" w:hAnsi="Calibri"/>
                <w:b w:val="false"/>
                <w:bCs w:val="false"/>
                <w:i w:val="false"/>
                <w:iCs w:val="false"/>
                <w:caps w:val="false"/>
                <w:color w:val="1A1A1A"/>
                <w:sz w:val="18"/>
                <w:szCs w:val="18"/>
              </w:rPr>
              <w:t xml:space="preserve">~0.554–0.564</w:t>
            </w:r>
          </w:p>
        </w:tc>
        <w:tc>
          <w:tcPr>
            <w:tcW w:type="dxa" w:w="2000"/>
            <w:tcBorders>
              <w:top w:val="single" w:color="D0D0D0" w:sz="3"/>
              <w:left w:val="single" w:color="D0D0D0" w:sz="3"/>
              <w:bottom w:val="single" w:color="D0D0D0" w:sz="3"/>
              <w:right w:val="single" w:color="D0D0D0" w:sz="3"/>
            </w:tcBorders>
            <w:shd w:fill="FFFFFF" w:val="clear"/>
            <w:tcMar>
              <w:top w:type="dxa" w:w="60"/>
              <w:left w:type="dxa" w:w="110"/>
              <w:bottom w:type="dxa" w:w="60"/>
              <w:right w:type="dxa" w:w="110"/>
            </w:tcMar>
          </w:tcPr>
          <w:p>
            <w:pPr>
              <w:spacing w:before="0" w:after="0"/>
              <w:jc w:val="center"/>
            </w:pPr>
            <w:r>
              <w:rPr>
                <w:rFonts w:ascii="Calibri" w:cs="Calibri" w:eastAsia="Calibri" w:hAnsi="Calibri"/>
                <w:b w:val="false"/>
                <w:bCs w:val="false"/>
                <w:i w:val="false"/>
                <w:iCs w:val="false"/>
                <w:caps w:val="false"/>
                <w:color w:val="1A1A1A"/>
                <w:sz w:val="18"/>
                <w:szCs w:val="18"/>
              </w:rPr>
              <w:t xml:space="preserve">14.6%–15.5%</w:t>
            </w:r>
          </w:p>
        </w:tc>
        <w:tc>
          <w:tcPr>
            <w:tcW w:type="dxa" w:w="1800"/>
            <w:tcBorders>
              <w:top w:val="single" w:color="D0D0D0" w:sz="3"/>
              <w:left w:val="single" w:color="D0D0D0" w:sz="3"/>
              <w:bottom w:val="single" w:color="D0D0D0" w:sz="3"/>
              <w:right w:val="single" w:color="D0D0D0" w:sz="3"/>
            </w:tcBorders>
            <w:shd w:fill="FFFFFF" w:val="clear"/>
            <w:tcMar>
              <w:top w:type="dxa" w:w="60"/>
              <w:left w:type="dxa" w:w="110"/>
              <w:bottom w:type="dxa" w:w="60"/>
              <w:right w:type="dxa" w:w="110"/>
            </w:tcMar>
          </w:tcPr>
          <w:p>
            <w:pPr>
              <w:spacing w:before="0" w:after="0"/>
              <w:jc w:val="center"/>
            </w:pPr>
            <w:r>
              <w:rPr>
                <w:rFonts w:ascii="Calibri" w:cs="Calibri" w:eastAsia="Calibri" w:hAnsi="Calibri"/>
                <w:b w:val="false"/>
                <w:bCs w:val="false"/>
                <w:i w:val="false"/>
                <w:iCs w:val="false"/>
                <w:caps w:val="false"/>
                <w:color w:val="1A1A1A"/>
                <w:sz w:val="18"/>
                <w:szCs w:val="18"/>
              </w:rPr>
              <w:t xml:space="preserve">~5.0 pp</w:t>
            </w:r>
          </w:p>
        </w:tc>
        <w:tc>
          <w:tcPr>
            <w:tcW w:type="dxa" w:w="2880"/>
            <w:tcBorders>
              <w:top w:val="single" w:color="D0D0D0" w:sz="3"/>
              <w:left w:val="single" w:color="D0D0D0" w:sz="3"/>
              <w:bottom w:val="single" w:color="D0D0D0" w:sz="3"/>
              <w:right w:val="single" w:color="D0D0D0" w:sz="3"/>
            </w:tcBorders>
            <w:shd w:fill="FFFFFF" w:val="clear"/>
            <w:tcMar>
              <w:top w:type="dxa" w:w="60"/>
              <w:left w:type="dxa" w:w="110"/>
              <w:bottom w:type="dxa" w:w="60"/>
              <w:right w:type="dxa" w:w="110"/>
            </w:tcMar>
          </w:tcPr>
          <w:p>
            <w:pPr>
              <w:spacing w:before="0" w:after="0"/>
              <w:jc w:val="left"/>
            </w:pPr>
            <w:r>
              <w:rPr>
                <w:rFonts w:ascii="Calibri" w:cs="Calibri" w:eastAsia="Calibri" w:hAnsi="Calibri"/>
                <w:b w:val="false"/>
                <w:bCs w:val="false"/>
                <w:i w:val="false"/>
                <w:iCs w:val="false"/>
                <w:caps w:val="false"/>
                <w:color w:val="1A1A1A"/>
                <w:sz w:val="18"/>
                <w:szCs w:val="18"/>
              </w:rPr>
              <w:t xml:space="preserve">Plateau — no shocks; no adaptive investment</w:t>
            </w:r>
          </w:p>
        </w:tc>
      </w:tr>
      <w:tr>
        <w:tc>
          <w:tcPr>
            <w:tcW w:type="dxa" w:w="1400"/>
            <w:tcBorders>
              <w:top w:val="single" w:color="D0D0D0" w:sz="3"/>
              <w:left w:val="single" w:color="D0D0D0" w:sz="3"/>
              <w:bottom w:val="single" w:color="D0D0D0" w:sz="3"/>
              <w:right w:val="single" w:color="D0D0D0" w:sz="3"/>
            </w:tcBorders>
            <w:shd w:fill="F5F5F5" w:val="clear"/>
            <w:tcMar>
              <w:top w:type="dxa" w:w="60"/>
              <w:left w:type="dxa" w:w="110"/>
              <w:bottom w:type="dxa" w:w="60"/>
              <w:right w:type="dxa" w:w="110"/>
            </w:tcMar>
          </w:tcPr>
          <w:p>
            <w:pPr>
              <w:spacing w:before="0" w:after="0"/>
              <w:jc w:val="center"/>
            </w:pPr>
            <w:r>
              <w:rPr>
                <w:rFonts w:ascii="Calibri" w:cs="Calibri" w:eastAsia="Calibri" w:hAnsi="Calibri"/>
                <w:b w:val="false"/>
                <w:bCs w:val="false"/>
                <w:i w:val="false"/>
                <w:iCs w:val="false"/>
                <w:caps w:val="false"/>
                <w:color w:val="1A1A1A"/>
                <w:sz w:val="18"/>
                <w:szCs w:val="18"/>
              </w:rPr>
              <w:t xml:space="preserve">2007–2012</w:t>
            </w:r>
          </w:p>
        </w:tc>
        <w:tc>
          <w:tcPr>
            <w:tcW w:type="dxa" w:w="2000"/>
            <w:tcBorders>
              <w:top w:val="single" w:color="D0D0D0" w:sz="3"/>
              <w:left w:val="single" w:color="D0D0D0" w:sz="3"/>
              <w:bottom w:val="single" w:color="D0D0D0" w:sz="3"/>
              <w:right w:val="single" w:color="D0D0D0" w:sz="3"/>
            </w:tcBorders>
            <w:shd w:fill="F5F5F5" w:val="clear"/>
            <w:tcMar>
              <w:top w:type="dxa" w:w="60"/>
              <w:left w:type="dxa" w:w="110"/>
              <w:bottom w:type="dxa" w:w="60"/>
              <w:right w:type="dxa" w:w="110"/>
            </w:tcMar>
          </w:tcPr>
          <w:p>
            <w:pPr>
              <w:spacing w:before="0" w:after="0"/>
              <w:jc w:val="center"/>
            </w:pPr>
            <w:r>
              <w:rPr>
                <w:rFonts w:ascii="Calibri" w:cs="Calibri" w:eastAsia="Calibri" w:hAnsi="Calibri"/>
                <w:b w:val="false"/>
                <w:bCs w:val="false"/>
                <w:i w:val="false"/>
                <w:iCs w:val="false"/>
                <w:caps w:val="false"/>
                <w:color w:val="1A1A1A"/>
                <w:sz w:val="18"/>
                <w:szCs w:val="18"/>
              </w:rPr>
              <w:t xml:space="preserve">0.544–0.563</w:t>
            </w:r>
          </w:p>
        </w:tc>
        <w:tc>
          <w:tcPr>
            <w:tcW w:type="dxa" w:w="2000"/>
            <w:tcBorders>
              <w:top w:val="single" w:color="D0D0D0" w:sz="3"/>
              <w:left w:val="single" w:color="D0D0D0" w:sz="3"/>
              <w:bottom w:val="single" w:color="D0D0D0" w:sz="3"/>
              <w:right w:val="single" w:color="D0D0D0" w:sz="3"/>
            </w:tcBorders>
            <w:shd w:fill="F5F5F5" w:val="clear"/>
            <w:tcMar>
              <w:top w:type="dxa" w:w="60"/>
              <w:left w:type="dxa" w:w="110"/>
              <w:bottom w:type="dxa" w:w="60"/>
              <w:right w:type="dxa" w:w="110"/>
            </w:tcMar>
          </w:tcPr>
          <w:p>
            <w:pPr>
              <w:spacing w:before="0" w:after="0"/>
              <w:jc w:val="center"/>
            </w:pPr>
            <w:r>
              <w:rPr>
                <w:rFonts w:ascii="Calibri" w:cs="Calibri" w:eastAsia="Calibri" w:hAnsi="Calibri"/>
                <w:b w:val="false"/>
                <w:bCs w:val="false"/>
                <w:i w:val="false"/>
                <w:iCs w:val="false"/>
                <w:caps w:val="false"/>
                <w:color w:val="1A1A1A"/>
                <w:sz w:val="18"/>
                <w:szCs w:val="18"/>
              </w:rPr>
              <w:t xml:space="preserve">15.4%→18.2%</w:t>
            </w:r>
          </w:p>
        </w:tc>
        <w:tc>
          <w:tcPr>
            <w:tcW w:type="dxa" w:w="1800"/>
            <w:tcBorders>
              <w:top w:val="single" w:color="D0D0D0" w:sz="3"/>
              <w:left w:val="single" w:color="D0D0D0" w:sz="3"/>
              <w:bottom w:val="single" w:color="D0D0D0" w:sz="3"/>
              <w:right w:val="single" w:color="D0D0D0" w:sz="3"/>
            </w:tcBorders>
            <w:shd w:fill="F5F5F5" w:val="clear"/>
            <w:tcMar>
              <w:top w:type="dxa" w:w="60"/>
              <w:left w:type="dxa" w:w="110"/>
              <w:bottom w:type="dxa" w:w="60"/>
              <w:right w:type="dxa" w:w="110"/>
            </w:tcMar>
          </w:tcPr>
          <w:p>
            <w:pPr>
              <w:spacing w:before="0" w:after="0"/>
              <w:jc w:val="center"/>
            </w:pPr>
            <w:r>
              <w:rPr>
                <w:rFonts w:ascii="Calibri" w:cs="Calibri" w:eastAsia="Calibri" w:hAnsi="Calibri"/>
                <w:b w:val="false"/>
                <w:bCs w:val="false"/>
                <w:i w:val="false"/>
                <w:iCs w:val="false"/>
                <w:caps w:val="false"/>
                <w:color w:val="1A1A1A"/>
                <w:sz w:val="18"/>
                <w:szCs w:val="18"/>
              </w:rPr>
              <w:t xml:space="preserve">5.2 pp → 1.2 pp</w:t>
            </w:r>
          </w:p>
        </w:tc>
        <w:tc>
          <w:tcPr>
            <w:tcW w:type="dxa" w:w="2880"/>
            <w:tcBorders>
              <w:top w:val="single" w:color="D0D0D0" w:sz="3"/>
              <w:left w:val="single" w:color="D0D0D0" w:sz="3"/>
              <w:bottom w:val="single" w:color="D0D0D0" w:sz="3"/>
              <w:right w:val="single" w:color="D0D0D0" w:sz="3"/>
            </w:tcBorders>
            <w:shd w:fill="F5F5F5" w:val="clear"/>
            <w:tcMar>
              <w:top w:type="dxa" w:w="60"/>
              <w:left w:type="dxa" w:w="110"/>
              <w:bottom w:type="dxa" w:w="60"/>
              <w:right w:type="dxa" w:w="110"/>
            </w:tcMar>
          </w:tcPr>
          <w:p>
            <w:pPr>
              <w:spacing w:before="0" w:after="0"/>
              <w:jc w:val="left"/>
            </w:pPr>
            <w:r>
              <w:rPr>
                <w:rFonts w:ascii="Calibri" w:cs="Calibri" w:eastAsia="Calibri" w:hAnsi="Calibri"/>
                <w:b w:val="false"/>
                <w:bCs w:val="false"/>
                <w:i w:val="false"/>
                <w:iCs w:val="false"/>
                <w:caps w:val="false"/>
                <w:color w:val="1A1A1A"/>
                <w:sz w:val="18"/>
                <w:szCs w:val="18"/>
              </w:rPr>
              <w:t xml:space="preserve">Cyclone Sidr (2007) + Aila (2009); buffer collapse</w:t>
            </w:r>
          </w:p>
        </w:tc>
      </w:tr>
      <w:tr>
        <w:tc>
          <w:tcPr>
            <w:tcW w:type="dxa" w:w="1400"/>
            <w:tcBorders>
              <w:top w:val="single" w:color="D0D0D0" w:sz="3"/>
              <w:left w:val="single" w:color="D0D0D0" w:sz="3"/>
              <w:bottom w:val="single" w:color="D0D0D0" w:sz="3"/>
              <w:right w:val="single" w:color="D0D0D0" w:sz="3"/>
            </w:tcBorders>
            <w:shd w:fill="FFFFFF" w:val="clear"/>
            <w:tcMar>
              <w:top w:type="dxa" w:w="60"/>
              <w:left w:type="dxa" w:w="110"/>
              <w:bottom w:type="dxa" w:w="60"/>
              <w:right w:type="dxa" w:w="110"/>
            </w:tcMar>
          </w:tcPr>
          <w:p>
            <w:pPr>
              <w:spacing w:before="0" w:after="0"/>
              <w:jc w:val="center"/>
            </w:pPr>
            <w:r>
              <w:rPr>
                <w:rFonts w:ascii="Calibri" w:cs="Calibri" w:eastAsia="Calibri" w:hAnsi="Calibri"/>
                <w:b w:val="false"/>
                <w:bCs w:val="false"/>
                <w:i w:val="false"/>
                <w:iCs w:val="false"/>
                <w:caps w:val="false"/>
                <w:color w:val="1A1A1A"/>
                <w:sz w:val="18"/>
                <w:szCs w:val="18"/>
              </w:rPr>
              <w:t xml:space="preserve">2012–2020</w:t>
            </w:r>
          </w:p>
        </w:tc>
        <w:tc>
          <w:tcPr>
            <w:tcW w:type="dxa" w:w="2000"/>
            <w:tcBorders>
              <w:top w:val="single" w:color="D0D0D0" w:sz="3"/>
              <w:left w:val="single" w:color="D0D0D0" w:sz="3"/>
              <w:bottom w:val="single" w:color="D0D0D0" w:sz="3"/>
              <w:right w:val="single" w:color="D0D0D0" w:sz="3"/>
            </w:tcBorders>
            <w:shd w:fill="FFFFFF" w:val="clear"/>
            <w:tcMar>
              <w:top w:type="dxa" w:w="60"/>
              <w:left w:type="dxa" w:w="110"/>
              <w:bottom w:type="dxa" w:w="60"/>
              <w:right w:type="dxa" w:w="110"/>
            </w:tcMar>
          </w:tcPr>
          <w:p>
            <w:pPr>
              <w:spacing w:before="0" w:after="0"/>
              <w:jc w:val="center"/>
            </w:pPr>
            <w:r>
              <w:rPr>
                <w:rFonts w:ascii="Calibri" w:cs="Calibri" w:eastAsia="Calibri" w:hAnsi="Calibri"/>
                <w:b w:val="false"/>
                <w:bCs w:val="false"/>
                <w:i w:val="false"/>
                <w:iCs w:val="false"/>
                <w:caps w:val="false"/>
                <w:color w:val="1A1A1A"/>
                <w:sz w:val="18"/>
                <w:szCs w:val="18"/>
              </w:rPr>
              <w:t xml:space="preserve">0.529–0.545</w:t>
            </w:r>
          </w:p>
        </w:tc>
        <w:tc>
          <w:tcPr>
            <w:tcW w:type="dxa" w:w="2000"/>
            <w:tcBorders>
              <w:top w:val="single" w:color="D0D0D0" w:sz="3"/>
              <w:left w:val="single" w:color="D0D0D0" w:sz="3"/>
              <w:bottom w:val="single" w:color="D0D0D0" w:sz="3"/>
              <w:right w:val="single" w:color="D0D0D0" w:sz="3"/>
            </w:tcBorders>
            <w:shd w:fill="FFFFFF" w:val="clear"/>
            <w:tcMar>
              <w:top w:type="dxa" w:w="60"/>
              <w:left w:type="dxa" w:w="110"/>
              <w:bottom w:type="dxa" w:w="60"/>
              <w:right w:type="dxa" w:w="110"/>
            </w:tcMar>
          </w:tcPr>
          <w:p>
            <w:pPr>
              <w:spacing w:before="0" w:after="0"/>
              <w:jc w:val="center"/>
            </w:pPr>
            <w:r>
              <w:rPr>
                <w:rFonts w:ascii="Calibri" w:cs="Calibri" w:eastAsia="Calibri" w:hAnsi="Calibri"/>
                <w:b w:val="false"/>
                <w:bCs w:val="false"/>
                <w:i w:val="false"/>
                <w:iCs w:val="false"/>
                <w:caps w:val="false"/>
                <w:color w:val="1A1A1A"/>
                <w:sz w:val="18"/>
                <w:szCs w:val="18"/>
              </w:rPr>
              <w:t xml:space="preserve">18.2%→10.9%</w:t>
            </w:r>
          </w:p>
        </w:tc>
        <w:tc>
          <w:tcPr>
            <w:tcW w:type="dxa" w:w="1800"/>
            <w:tcBorders>
              <w:top w:val="single" w:color="D0D0D0" w:sz="3"/>
              <w:left w:val="single" w:color="D0D0D0" w:sz="3"/>
              <w:bottom w:val="single" w:color="D0D0D0" w:sz="3"/>
              <w:right w:val="single" w:color="D0D0D0" w:sz="3"/>
            </w:tcBorders>
            <w:shd w:fill="FFFFFF" w:val="clear"/>
            <w:tcMar>
              <w:top w:type="dxa" w:w="60"/>
              <w:left w:type="dxa" w:w="110"/>
              <w:bottom w:type="dxa" w:w="60"/>
              <w:right w:type="dxa" w:w="110"/>
            </w:tcMar>
          </w:tcPr>
          <w:p>
            <w:pPr>
              <w:spacing w:before="0" w:after="0"/>
              <w:jc w:val="center"/>
            </w:pPr>
            <w:r>
              <w:rPr>
                <w:rFonts w:ascii="Calibri" w:cs="Calibri" w:eastAsia="Calibri" w:hAnsi="Calibri"/>
                <w:b w:val="false"/>
                <w:bCs w:val="false"/>
                <w:i w:val="false"/>
                <w:iCs w:val="false"/>
                <w:caps w:val="false"/>
                <w:color w:val="1A1A1A"/>
                <w:sz w:val="18"/>
                <w:szCs w:val="18"/>
              </w:rPr>
              <w:t xml:space="preserve">1.2 pp → 7.0 pp</w:t>
            </w:r>
          </w:p>
        </w:tc>
        <w:tc>
          <w:tcPr>
            <w:tcW w:type="dxa" w:w="2880"/>
            <w:tcBorders>
              <w:top w:val="single" w:color="D0D0D0" w:sz="3"/>
              <w:left w:val="single" w:color="D0D0D0" w:sz="3"/>
              <w:bottom w:val="single" w:color="D0D0D0" w:sz="3"/>
              <w:right w:val="single" w:color="D0D0D0" w:sz="3"/>
            </w:tcBorders>
            <w:shd w:fill="FFFFFF" w:val="clear"/>
            <w:tcMar>
              <w:top w:type="dxa" w:w="60"/>
              <w:left w:type="dxa" w:w="110"/>
              <w:bottom w:type="dxa" w:w="60"/>
              <w:right w:type="dxa" w:w="110"/>
            </w:tcMar>
          </w:tcPr>
          <w:p>
            <w:pPr>
              <w:spacing w:before="0" w:after="0"/>
              <w:jc w:val="left"/>
            </w:pPr>
            <w:r>
              <w:rPr>
                <w:rFonts w:ascii="Calibri" w:cs="Calibri" w:eastAsia="Calibri" w:hAnsi="Calibri"/>
                <w:b w:val="false"/>
                <w:bCs w:val="false"/>
                <w:i w:val="false"/>
                <w:iCs w:val="false"/>
                <w:caps w:val="false"/>
                <w:color w:val="1A1A1A"/>
                <w:sz w:val="18"/>
                <w:szCs w:val="18"/>
              </w:rPr>
              <w:t xml:space="preserve">BDP2100 + international aid; slow recovery</w:t>
            </w:r>
          </w:p>
        </w:tc>
      </w:tr>
      <w:tr>
        <w:tc>
          <w:tcPr>
            <w:tcW w:type="dxa" w:w="1400"/>
            <w:tcBorders>
              <w:top w:val="single" w:color="D0D0D0" w:sz="3"/>
              <w:left w:val="single" w:color="D0D0D0" w:sz="3"/>
              <w:bottom w:val="single" w:color="D0D0D0" w:sz="3"/>
              <w:right w:val="single" w:color="D0D0D0" w:sz="3"/>
            </w:tcBorders>
            <w:shd w:fill="F5F5F5" w:val="clear"/>
            <w:tcMar>
              <w:top w:type="dxa" w:w="60"/>
              <w:left w:type="dxa" w:w="110"/>
              <w:bottom w:type="dxa" w:w="60"/>
              <w:right w:type="dxa" w:w="110"/>
            </w:tcMar>
          </w:tcPr>
          <w:p>
            <w:pPr>
              <w:spacing w:before="0" w:after="0"/>
              <w:jc w:val="center"/>
            </w:pPr>
            <w:r>
              <w:rPr>
                <w:rFonts w:ascii="Calibri" w:cs="Calibri" w:eastAsia="Calibri" w:hAnsi="Calibri"/>
                <w:b w:val="false"/>
                <w:bCs w:val="false"/>
                <w:i w:val="false"/>
                <w:iCs w:val="false"/>
                <w:caps w:val="false"/>
                <w:color w:val="1A1A1A"/>
                <w:sz w:val="18"/>
                <w:szCs w:val="18"/>
              </w:rPr>
              <w:t xml:space="preserve">2021–2023</w:t>
            </w:r>
          </w:p>
        </w:tc>
        <w:tc>
          <w:tcPr>
            <w:tcW w:type="dxa" w:w="2000"/>
            <w:tcBorders>
              <w:top w:val="single" w:color="D0D0D0" w:sz="3"/>
              <w:left w:val="single" w:color="D0D0D0" w:sz="3"/>
              <w:bottom w:val="single" w:color="D0D0D0" w:sz="3"/>
              <w:right w:val="single" w:color="D0D0D0" w:sz="3"/>
            </w:tcBorders>
            <w:shd w:fill="F5F5F5" w:val="clear"/>
            <w:tcMar>
              <w:top w:type="dxa" w:w="60"/>
              <w:left w:type="dxa" w:w="110"/>
              <w:bottom w:type="dxa" w:w="60"/>
              <w:right w:type="dxa" w:w="110"/>
            </w:tcMar>
          </w:tcPr>
          <w:p>
            <w:pPr>
              <w:spacing w:before="0" w:after="0"/>
              <w:jc w:val="center"/>
            </w:pPr>
            <w:r>
              <w:rPr>
                <w:rFonts w:ascii="Calibri" w:cs="Calibri" w:eastAsia="Calibri" w:hAnsi="Calibri"/>
                <w:b w:val="false"/>
                <w:bCs w:val="false"/>
                <w:i w:val="false"/>
                <w:iCs w:val="false"/>
                <w:caps w:val="false"/>
                <w:color w:val="1A1A1A"/>
                <w:sz w:val="18"/>
                <w:szCs w:val="18"/>
              </w:rPr>
              <w:t xml:space="preserve">0.528→0.569</w:t>
            </w:r>
          </w:p>
        </w:tc>
        <w:tc>
          <w:tcPr>
            <w:tcW w:type="dxa" w:w="2000"/>
            <w:tcBorders>
              <w:top w:val="single" w:color="D0D0D0" w:sz="3"/>
              <w:left w:val="single" w:color="D0D0D0" w:sz="3"/>
              <w:bottom w:val="single" w:color="D0D0D0" w:sz="3"/>
              <w:right w:val="single" w:color="D0D0D0" w:sz="3"/>
            </w:tcBorders>
            <w:shd w:fill="F5F5F5" w:val="clear"/>
            <w:tcMar>
              <w:top w:type="dxa" w:w="60"/>
              <w:left w:type="dxa" w:w="110"/>
              <w:bottom w:type="dxa" w:w="60"/>
              <w:right w:type="dxa" w:w="110"/>
            </w:tcMar>
          </w:tcPr>
          <w:p>
            <w:pPr>
              <w:spacing w:before="0" w:after="0"/>
              <w:jc w:val="center"/>
            </w:pPr>
            <w:r>
              <w:rPr>
                <w:rFonts w:ascii="Calibri" w:cs="Calibri" w:eastAsia="Calibri" w:hAnsi="Calibri"/>
                <w:b w:val="false"/>
                <w:bCs w:val="false"/>
                <w:i w:val="false"/>
                <w:iCs w:val="false"/>
                <w:caps w:val="false"/>
                <w:color w:val="1A1A1A"/>
                <w:sz w:val="18"/>
                <w:szCs w:val="18"/>
              </w:rPr>
              <w:t xml:space="preserve">10.8%–10.6%</w:t>
            </w:r>
          </w:p>
        </w:tc>
        <w:tc>
          <w:tcPr>
            <w:tcW w:type="dxa" w:w="1800"/>
            <w:tcBorders>
              <w:top w:val="single" w:color="D0D0D0" w:sz="3"/>
              <w:left w:val="single" w:color="D0D0D0" w:sz="3"/>
              <w:bottom w:val="single" w:color="D0D0D0" w:sz="3"/>
              <w:right w:val="single" w:color="D0D0D0" w:sz="3"/>
            </w:tcBorders>
            <w:shd w:fill="F5F5F5" w:val="clear"/>
            <w:tcMar>
              <w:top w:type="dxa" w:w="60"/>
              <w:left w:type="dxa" w:w="110"/>
              <w:bottom w:type="dxa" w:w="60"/>
              <w:right w:type="dxa" w:w="110"/>
            </w:tcMar>
          </w:tcPr>
          <w:p>
            <w:pPr>
              <w:spacing w:before="0" w:after="0"/>
              <w:jc w:val="center"/>
            </w:pPr>
            <w:r>
              <w:rPr>
                <w:rFonts w:ascii="Calibri" w:cs="Calibri" w:eastAsia="Calibri" w:hAnsi="Calibri"/>
                <w:b w:val="false"/>
                <w:bCs w:val="false"/>
                <w:i w:val="false"/>
                <w:iCs w:val="false"/>
                <w:caps w:val="false"/>
                <w:color w:val="1A1A1A"/>
                <w:sz w:val="18"/>
                <w:szCs w:val="18"/>
              </w:rPr>
              <w:t xml:space="preserve">~10.4 pp</w:t>
            </w:r>
          </w:p>
        </w:tc>
        <w:tc>
          <w:tcPr>
            <w:tcW w:type="dxa" w:w="2880"/>
            <w:tcBorders>
              <w:top w:val="single" w:color="D0D0D0" w:sz="3"/>
              <w:left w:val="single" w:color="D0D0D0" w:sz="3"/>
              <w:bottom w:val="single" w:color="D0D0D0" w:sz="3"/>
              <w:right w:val="single" w:color="D0D0D0" w:sz="3"/>
            </w:tcBorders>
            <w:shd w:fill="F5F5F5" w:val="clear"/>
            <w:tcMar>
              <w:top w:type="dxa" w:w="60"/>
              <w:left w:type="dxa" w:w="110"/>
              <w:bottom w:type="dxa" w:w="60"/>
              <w:right w:type="dxa" w:w="110"/>
            </w:tcMar>
          </w:tcPr>
          <w:p>
            <w:pPr>
              <w:spacing w:before="0" w:after="0"/>
              <w:jc w:val="left"/>
            </w:pPr>
            <w:r>
              <w:rPr>
                <w:rFonts w:ascii="Calibri" w:cs="Calibri" w:eastAsia="Calibri" w:hAnsi="Calibri"/>
                <w:b w:val="false"/>
                <w:bCs w:val="false"/>
                <w:i w:val="false"/>
                <w:iCs w:val="false"/>
                <w:caps w:val="false"/>
                <w:color w:val="1A1A1A"/>
                <w:sz w:val="18"/>
                <w:szCs w:val="18"/>
              </w:rPr>
              <w:t xml:space="preserve">Largest single-year spike; buffer stable on surface but built on inertia</w:t>
            </w:r>
          </w:p>
        </w:tc>
      </w:tr>
    </w:tbl>
    <w:p>
      <w:pPr>
        <w:spacing w:before="0" w:after="120"/>
      </w:pPr>
      <w:r>
        <w:rPr>
          <w:rFonts w:ascii="Calibri" w:cs="Calibri" w:eastAsia="Calibri" w:hAnsi="Calibri"/>
          <w:b w:val="false"/>
          <w:bCs w:val="false"/>
          <w:i w:val="false"/>
          <w:iCs w:val="false"/>
          <w:caps w:val="false"/>
          <w:color w:val="1A1A1A"/>
          <w:sz w:val="22"/>
          <w:szCs w:val="22"/>
        </w:rPr>
        <w:t xml:space="preserve"/>
      </w:r>
    </w:p>
    <w:p>
      <w:pPr>
        <w:spacing w:before="0" w:after="160" w:line="276"/>
        <w:jc w:val="both"/>
      </w:pPr>
      <w:r>
        <w:rPr>
          <w:rFonts w:ascii="Calibri" w:cs="Calibri" w:eastAsia="Calibri" w:hAnsi="Calibri"/>
          <w:b w:val="false"/>
          <w:bCs w:val="false"/>
          <w:i w:val="false"/>
          <w:iCs w:val="false"/>
          <w:caps w:val="false"/>
          <w:color w:val="1A1A1A"/>
          <w:sz w:val="22"/>
          <w:szCs w:val="22"/>
        </w:rPr>
        <w:t xml:space="preserve">From 2007 to 2012, following Cyclone Sidr in 2007 and Cyclone Aila in 2009, the adaptation buffer collapsed to 1.2 percentage points while undernourishment rose 2.8 percentage points. Bangladesh was now performing almost exactly as its vulnerability score would predict, demonstrating how rapidly climate shocks can erode food security gains.</w:t>
      </w:r>
    </w:p>
    <w:p>
      <w:pPr>
        <w:spacing w:before="0" w:after="160" w:line="276"/>
        <w:jc w:val="both"/>
      </w:pPr>
      <w:r>
        <w:rPr>
          <w:rFonts w:ascii="Calibri" w:cs="Calibri" w:eastAsia="Calibri" w:hAnsi="Calibri"/>
          <w:b w:val="false"/>
          <w:bCs w:val="false"/>
          <w:i w:val="false"/>
          <w:iCs w:val="false"/>
          <w:caps w:val="false"/>
          <w:color w:val="1A1A1A"/>
          <w:sz w:val="22"/>
          <w:szCs w:val="22"/>
        </w:rPr>
        <w:t xml:space="preserve">From 2012 to 2020, a combination of domestic plans and international aid — including the Bangladesh Delta Plan 2100 — helped Bangladesh recover. Undernourishment fell steadily from 18.2% to 10.9% by 2020, and the adaptation buffer rebuilt to 7 percentage points (FAO, “Suite of Food Security Indicators”). Recovery is possible, but it is slow. Collapse can be immediate.</w:t>
      </w:r>
    </w:p>
    <w:p>
      <w:pPr>
        <w:spacing w:before="0" w:after="160" w:line="276"/>
        <w:jc w:val="both"/>
      </w:pPr>
      <w:r>
        <w:rPr>
          <w:rFonts w:ascii="Calibri" w:cs="Calibri" w:eastAsia="Calibri" w:hAnsi="Calibri"/>
          <w:b w:val="false"/>
          <w:bCs w:val="false"/>
          <w:i w:val="false"/>
          <w:iCs w:val="false"/>
          <w:caps w:val="false"/>
          <w:color w:val="1A1A1A"/>
          <w:sz w:val="22"/>
          <w:szCs w:val="22"/>
        </w:rPr>
        <w:t xml:space="preserve">In the 2020s, the warning signs are showing again. In 2021, Bangladesh’s vulnerability score jumped from 0.528 to 0.557 — the largest single-year spike in the dataset — erasing a decade of built-up climate resilience progress in 12 months. It remains elevated at 0.569 and 0.568 in 2022 and 2023, respectively, returning to 2007 levels (Notre Dame Global Adaptation Initiative). Undernourishment continues falling slightly due to momentum from prior investments, making the situation appear stable on the surface. However, the period between 2007 and 2012 established the pattern: vulnerability rises first, and undernourishment follows.</w:t>
      </w:r>
    </w:p>
    <w:p>
      <w:pPr>
        <w:spacing w:before="0" w:after="160" w:line="276"/>
        <w:jc w:val="both"/>
      </w:pPr>
      <w:r>
        <w:rPr>
          <w:rFonts w:ascii="Calibri" w:cs="Calibri" w:eastAsia="Calibri" w:hAnsi="Calibri"/>
          <w:b w:val="false"/>
          <w:bCs w:val="false"/>
          <w:i w:val="false"/>
          <w:iCs w:val="false"/>
          <w:caps w:val="false"/>
          <w:color w:val="1A1A1A"/>
          <w:sz w:val="22"/>
          <w:szCs w:val="22"/>
        </w:rPr>
        <w:t xml:space="preserve">Compounding this vulnerability, in 2025, the United States significantly reduced its foreign aid commitments. This included a USAID channel that had provided $3.2 billion over a decade to help Bangladesh combat climate change (Mahmud). Bangladesh was forced to suspend multiple climate development projects, including the Feed the Future Bangladesh Climate Smart Agriculture Project.</w:t>
      </w:r>
    </w:p>
    <w:p>
      <w:pPr>
        <w:spacing w:before="180" w:after="80"/>
      </w:pPr>
      <w:r>
        <w:rPr>
          <w:rFonts w:ascii="Calibri" w:cs="Calibri" w:eastAsia="Calibri" w:hAnsi="Calibri"/>
          <w:b/>
          <w:bCs/>
          <w:i w:val="false"/>
          <w:iCs w:val="false"/>
          <w:caps w:val="false"/>
          <w:color w:val="1B4F72"/>
          <w:sz w:val="22"/>
          <w:szCs w:val="22"/>
        </w:rPr>
        <w:t xml:space="preserve">Known Solutions</w:t>
      </w:r>
    </w:p>
    <w:p>
      <w:pPr>
        <w:spacing w:before="0" w:after="160" w:line="276"/>
        <w:jc w:val="both"/>
      </w:pPr>
      <w:r>
        <w:rPr>
          <w:rFonts w:ascii="Calibri" w:cs="Calibri" w:eastAsia="Calibri" w:hAnsi="Calibri"/>
          <w:b w:val="false"/>
          <w:bCs w:val="false"/>
          <w:i w:val="false"/>
          <w:iCs w:val="false"/>
          <w:caps w:val="false"/>
          <w:color w:val="1A1A1A"/>
          <w:sz w:val="22"/>
          <w:szCs w:val="22"/>
        </w:rPr>
        <w:t xml:space="preserve">Bangladesh is not short on ideas for fighting hunger — it is short on a strategy that puts the right ideas together. Several solutions have already been tried, both locally and by neighboring countries, with varying levels of success.</w:t>
      </w:r>
    </w:p>
    <w:p>
      <w:pPr>
        <w:spacing w:before="0" w:after="160" w:line="276"/>
        <w:jc w:val="both"/>
      </w:pPr>
      <w:r>
        <w:rPr>
          <w:rFonts w:ascii="Calibri" w:cs="Calibri" w:eastAsia="Calibri" w:hAnsi="Calibri"/>
          <w:b w:val="false"/>
          <w:bCs w:val="false"/>
          <w:i w:val="false"/>
          <w:iCs w:val="false"/>
          <w:caps w:val="false"/>
          <w:color w:val="1A1A1A"/>
          <w:sz w:val="22"/>
          <w:szCs w:val="22"/>
        </w:rPr>
        <w:t xml:space="preserve">The most direct existing solution is school feeding. The World Food Programme currently reaches 15 million ultra-poor Bangladeshis through fortified rice and biscuit programs (WFP, “School Feeding Evaluation”). These programs have measurably reduced anemia and improved school enrollment by 4.2% while cutting dropout rates by 7.5%. When children receive a guaranteed meal at school, families no longer have to choose between sending a child to class or keeping them home to work. For the poorest families, this single meal may be the only reliable source of protein and micronutrients a child receives all day. India runs a similar midday meal scheme reaching over 100 million children, making it the largest school feeding program in the world. Bangladesh’s version is effective but far smaller in scale — and it has a critical weakness: the meals stop the moment the funding does.</w:t>
      </w:r>
    </w:p>
    <w:p>
      <w:pPr>
        <w:spacing w:before="0" w:after="160" w:line="276"/>
        <w:jc w:val="both"/>
      </w:pPr>
      <w:r>
        <w:rPr>
          <w:rFonts w:ascii="Calibri" w:cs="Calibri" w:eastAsia="Calibri" w:hAnsi="Calibri"/>
          <w:b w:val="false"/>
          <w:bCs w:val="false"/>
          <w:i w:val="false"/>
          <w:iCs w:val="false"/>
          <w:caps w:val="false"/>
          <w:color w:val="1A1A1A"/>
          <w:sz w:val="22"/>
          <w:szCs w:val="22"/>
        </w:rPr>
        <w:t xml:space="preserve">A second set of solutions involves climate-resilient agriculture. Rising sea levels have pushed saltwater deep into Bangladesh’s coastal farmland, rendering over one million hectares partially unproductive. Farmers in these zones have watched their yields decline year after year as soil salinity climbs. The Bangladesh Rice Research Institute (BRRI) has developed saline-tolerant varieties — BRRI dhan97 and dhan99 — that can produce an additional two tons per hectare even in heavily saline soil (CGIAR, “Salt-Tolerant Rice”). Deploying these varieties across the coast would reverse a trend that is currently pushing farming families off their land and into urban slums. Similarly, flood-tolerant Sub1 rice, developed by the International Rice Research Institute (IRRI), has been tested in Bangladesh’s most flood-prone regions. Farmers who adopted Sub1 rice saw 55% higher profits and 15% higher rice consumption, even after severe flooding (CGIAR, “Flood-Tolerant Rice”). For a country where a single monsoon flood can destroy an entire season’s harvest, flood-tolerant varieties mean the difference between a family eating and a family migrating. Alternate Wetting and Drying (AWD) irrigation — a technique where rice paddies are periodically drained rather than continuously flooded — saves 27% of water while increasing yields by 500 kg per hectare (IRRI). Vietnam adopted AWD nationally and saw dramatic reductions in both water use and methane emissions, proving that this approach works at scale. AWD irrigation takes on additional urgency given the Himalayan glacial melt. The glaciers that feed the Ganges and Brahmaputra have lost 12% of their area since 1990, and dry-season river flows are projected to decline as this melt accelerates (ICIMOD, “HKH Glacier Outlook”). A technique that saves 27% of irrigation water is not merely efficient — it is insurance against a future where the water supply itself is shrinking.</w:t>
      </w:r>
    </w:p>
    <w:p>
      <w:pPr>
        <w:spacing w:before="0" w:after="160" w:line="276"/>
        <w:jc w:val="both"/>
      </w:pPr>
      <w:r>
        <w:rPr>
          <w:rFonts w:ascii="Calibri" w:cs="Calibri" w:eastAsia="Calibri" w:hAnsi="Calibri"/>
          <w:b w:val="false"/>
          <w:bCs w:val="false"/>
          <w:i w:val="false"/>
          <w:iCs w:val="false"/>
          <w:caps w:val="false"/>
          <w:color w:val="1A1A1A"/>
          <w:sz w:val="22"/>
          <w:szCs w:val="22"/>
        </w:rPr>
        <w:t xml:space="preserve">A third category is damage prevention. After a cyclone or flood, the food that has already been grown is often the first casualty. Bangladesh currently loses over 11% of its rice harvest to post-harvest spoilage — insects, moisture, and mold destroy food that families worked months to produce (“Hermetic Bag Storage”). Hermetic storage bags, which cost less than a single harvest’s value, reduce these losses to under 1%. This is not a new technology; it is simply one that has not yet been distributed at scale. The same logic applies to flood forecasting: the World Bank’s B-STRONG project, approved at $270 million, would give farmers 3–8 days of warning before a major flood — enough time to harvest early, move livestock, and protect stored grain (World Bank, “Flood Risk Reduction”). Each day of warning saves an estimated $2,525 per household per flood event. Farmer insurance, meanwhile, prevents the most devastating long-term consequence of crop failure: land abandonment. When an uninsured farmer loses a harvest, the family often has no choice but to sell the land and migrate to Dhaka’s slums. Insurance payouts — even modest ones of 10,000 BDT per event — keep farmers on their fields, maintaining food production capacity for the next season (World Bank, “Agricultural Insurance”). The BNP’s proposed Farmers Card, which bundles insurance with subsidies, loans, and fair pricing, directly targets this cycle of loss and abandonment (Hossain and Abbas).</w:t>
      </w:r>
    </w:p>
    <w:p>
      <w:pPr>
        <w:spacing w:before="180" w:after="80"/>
      </w:pPr>
      <w:r>
        <w:rPr>
          <w:rFonts w:ascii="Calibri" w:cs="Calibri" w:eastAsia="Calibri" w:hAnsi="Calibri"/>
          <w:b/>
          <w:bCs/>
          <w:i w:val="false"/>
          <w:iCs w:val="false"/>
          <w:caps w:val="false"/>
          <w:color w:val="1B4F72"/>
          <w:sz w:val="22"/>
          <w:szCs w:val="22"/>
        </w:rPr>
        <w:t xml:space="preserve">Policy Optimization Model</w:t>
      </w:r>
    </w:p>
    <w:p>
      <w:pPr>
        <w:spacing w:before="0" w:after="160" w:line="276"/>
        <w:jc w:val="both"/>
      </w:pPr>
      <w:r>
        <w:rPr>
          <w:rFonts w:ascii="Calibri" w:cs="Calibri" w:eastAsia="Calibri" w:hAnsi="Calibri"/>
          <w:b w:val="false"/>
          <w:bCs w:val="false"/>
          <w:i w:val="false"/>
          <w:iCs w:val="false"/>
          <w:caps w:val="false"/>
          <w:color w:val="1A1A1A"/>
          <w:sz w:val="22"/>
          <w:szCs w:val="22"/>
        </w:rPr>
        <w:t xml:space="preserve">Each of these three categories is promising on its own, but the real question is how to combine them. Bangladesh has roughly $8 billion per year available for climate adaptation — derived from the Bangladesh Delta Plan 2100’s annual allocation of 2.5% of GDP (“Bangladesh’s Climate Resilience”), guaranteed commitments from the World Bank, Asian Development Bank, and Green Climate Fund, and projected FDI growth that the BNP has pledged to increase to 2.5% of GDP (Hossain and Abbas). Bangladesh defines extreme poverty as consuming fewer than 1,805 kcal per day, while the national average is 2,393 kcal (“Per Capita Caloric Intake”; “The Extreme Poverty in Bangladesh”). With 18 million undernourished citizens each consuming roughly 600–800 fewer calories per day than needed, the total caloric deficit that must be closed is approximately 4.6 trillion calories per year (FAO, “Suite of Food Security Indicators”). The question is not whether to act, but how to allocate limited resources across many competing priorities for maximum impact.</w:t>
      </w:r>
    </w:p>
    <w:p>
      <w:pPr>
        <w:spacing w:before="0" w:after="160" w:line="276"/>
        <w:jc w:val="both"/>
      </w:pPr>
      <w:r>
        <w:rPr>
          <w:rFonts w:ascii="Calibri" w:cs="Calibri" w:eastAsia="Calibri" w:hAnsi="Calibri"/>
          <w:b w:val="false"/>
          <w:bCs w:val="false"/>
          <w:i w:val="false"/>
          <w:iCs w:val="false"/>
          <w:caps w:val="false"/>
          <w:color w:val="1A1A1A"/>
          <w:sz w:val="22"/>
          <w:szCs w:val="22"/>
        </w:rPr>
        <w:t xml:space="preserve">To answer this, I built a constrained optimization model across 13 evidence-based policies spanning food production, direct nutrition, and damage prevention. The core challenge was comparability: AWD irrigation produces additional tons of rice, school feeding directly reaches children, and farmer insurance prevents economic losses measured in dollars. I converted every policy’s output into a single common unit — additional people lifted out of undernourishment — using caloric equivalencies (see Appendix B.2). For damage avoidance policies, I used a marginal impact formula to ensure only the incremental gain attributable to each policy was counted, rather than the total value of the crops being protected.</w:t>
      </w:r>
    </w:p>
    <w:p>
      <w:pPr>
        <w:spacing w:before="0" w:after="160" w:line="276"/>
        <w:jc w:val="both"/>
      </w:pPr>
      <w:r>
        <w:rPr>
          <w:rFonts w:ascii="Calibri" w:cs="Calibri" w:eastAsia="Calibri" w:hAnsi="Calibri"/>
          <w:b w:val="false"/>
          <w:bCs w:val="false"/>
          <w:i w:val="false"/>
          <w:iCs w:val="false"/>
          <w:caps w:val="false"/>
          <w:color w:val="1A1A1A"/>
          <w:sz w:val="22"/>
          <w:szCs w:val="22"/>
        </w:rPr>
        <w:t xml:space="preserve">The hundredth dollar spent on any policy is never as effective as the first. The easiest farmers adopt new seeds first, the most accessible land gets irrigated first, and later expansion reaches progressively harder-to-serve populations. I modeled each policy’s impact as a concave power function with diminishing returns exponents calibrated from IRRI field trials, World Bank evaluations, and FAO scaling analyses (see Appendix B.4). Seven pairs of policies with documented complementarity received synergy bonuses — for example, saline-tolerant rice and AWD irrigation both target the same coastal farming system, and deploying both together produces compounding gains (see Appendix B.5).</w:t>
      </w:r>
    </w:p>
    <w:p>
      <w:pPr>
        <w:spacing w:before="0" w:after="160" w:line="276"/>
        <w:jc w:val="both"/>
      </w:pPr>
      <w:r>
        <w:rPr>
          <w:rFonts w:ascii="Calibri" w:cs="Calibri" w:eastAsia="Calibri" w:hAnsi="Calibri"/>
          <w:b w:val="false"/>
          <w:bCs w:val="false"/>
          <w:i w:val="false"/>
          <w:iCs w:val="false"/>
          <w:caps w:val="false"/>
          <w:color w:val="1A1A1A"/>
          <w:sz w:val="22"/>
          <w:szCs w:val="22"/>
        </w:rPr>
        <w:t xml:space="preserve">Bangladesh’s political landscape introduces constraints that a purely technical model would miss. The Awami League created the BDP 2100 framework, but the newly elected BNP has a historical rivalry with the Awami League and is likely to distance itself from Awami-era programs (Immigration and Refugee Board of Canada). Outright cancellation would cost billions in international aid and contradict the BNP’s stated FDI goals, so the most probable scenario is rebranding with partial underfunding. I applied a 40% effectiveness discount to all BDP 2100-linked policies and required at least 35% of the budget to flow to BNP-aligned policies to reflect political feasibility. People lifted from undernourishment were valued at $285 per person per year in direct food cost savings (WFP, “Bangladesh Market Monitor”).</w:t>
      </w:r>
    </w:p>
    <w:p>
      <w:pPr>
        <w:spacing w:before="0" w:after="160" w:line="276"/>
        <w:jc w:val="both"/>
      </w:pPr>
      <w:r>
        <w:rPr>
          <w:rFonts w:ascii="Calibri" w:cs="Calibri" w:eastAsia="Calibri" w:hAnsi="Calibri"/>
          <w:b w:val="false"/>
          <w:bCs w:val="false"/>
          <w:i w:val="false"/>
          <w:iCs w:val="false"/>
          <w:caps w:val="false"/>
          <w:color w:val="1A1A1A"/>
          <w:sz w:val="22"/>
          <w:szCs w:val="22"/>
        </w:rPr>
        <w:t xml:space="preserve">I ran the model both as a single-year allocation and as a multi-year simulation: $8 billion per year for 5 years (one BNP term), with impact measured over 20 years. The multi-year model distinguishes between capital policies — one-time investments whose benefits persist for decades — and operational policies that require continuous annual funding. Full model parameters, all 13 policy data sheets, synergy evidence, and simulation results are provided in the Appendix.</w:t>
      </w:r>
    </w:p>
    <w:p>
      <w:pPr>
        <w:spacing w:before="0" w:after="160" w:line="276"/>
        <w:jc w:val="both"/>
      </w:pPr>
      <w:r>
        <w:rPr>
          <w:rFonts w:ascii="Calibri" w:cs="Calibri" w:eastAsia="Calibri" w:hAnsi="Calibri"/>
          <w:b w:val="false"/>
          <w:bCs w:val="false"/>
          <w:i w:val="false"/>
          <w:iCs w:val="false"/>
          <w:caps w:val="false"/>
          <w:color w:val="1A1A1A"/>
          <w:sz w:val="22"/>
          <w:szCs w:val="22"/>
        </w:rPr>
        <w:t xml:space="preserve">In a single year, the model closes the entire undernourishment deficit with a 23% resilience buffer, funding 10 of 13 policies. The multi-year simulation reveals that all 11 capital policies can be fully funded within just two years at $11.2 billion total. Over 20 years, capital investments deliver 3.2 times more food security per dollar than operational programs, because a storage facility built in year one protects harvests every year after, saline-tolerant rice planted in year two feeds families for a decade, and solar-powered irrigation pumps keep running long after the initial investment. Feeding programs are still essential — they close the immediate caloric gap while infrastructure ramps up — but lasting food security must be built on durable investments, not temporary programs.</w:t>
      </w:r>
    </w:p>
    <w:p>
      <w:pPr>
        <w:pBdr>
          <w:bottom w:val="single" w:color="8B6914" w:sz="6" w:space="4"/>
        </w:pBdr>
        <w:spacing w:before="280" w:after="120"/>
      </w:pPr>
      <w:r>
        <w:rPr>
          <w:rFonts w:ascii="Calibri" w:cs="Calibri" w:eastAsia="Calibri" w:hAnsi="Calibri"/>
          <w:b/>
          <w:bCs/>
          <w:i w:val="false"/>
          <w:iCs w:val="false"/>
          <w:caps w:val="false"/>
          <w:color w:val="1B4F72"/>
          <w:sz w:val="22"/>
          <w:szCs w:val="22"/>
        </w:rPr>
        <w:t xml:space="preserve">MY RECOMMENDATION</w:t>
      </w:r>
    </w:p>
    <w:p>
      <w:pPr>
        <w:spacing w:before="0" w:after="160" w:line="276"/>
        <w:jc w:val="both"/>
      </w:pPr>
      <w:r>
        <w:rPr>
          <w:rFonts w:ascii="Calibri" w:cs="Calibri" w:eastAsia="Calibri" w:hAnsi="Calibri"/>
          <w:b w:val="false"/>
          <w:bCs w:val="false"/>
          <w:i w:val="false"/>
          <w:iCs w:val="false"/>
          <w:caps w:val="false"/>
          <w:color w:val="1A1A1A"/>
          <w:sz w:val="22"/>
          <w:szCs w:val="22"/>
        </w:rPr>
        <w:t xml:space="preserve">The model’s optimal allocation tells a clear story: invest heavily in permanent infrastructure during years one and two, then maintain direct nutrition programs through year five. The data shows why this sequence matters and what it would mean for the 18 million Bangladeshis currently going hungry.</w:t>
      </w:r>
    </w:p>
    <w:p>
      <w:pPr>
        <w:spacing w:before="120" w:after="80"/>
        <w:jc w:val="center"/>
      </w:pPr>
      <w:r>
        <w:rPr>
          <w:rFonts w:ascii="Calibri" w:cs="Calibri" w:eastAsia="Calibri" w:hAnsi="Calibri"/>
          <w:b/>
          <w:bCs/>
          <w:i/>
          <w:iCs/>
          <w:caps w:val="false"/>
          <w:color w:val="555555"/>
          <w:sz w:val="19"/>
          <w:szCs w:val="19"/>
        </w:rPr>
        <w:t xml:space="preserve">Table 2. Single-Year Optimal Policy Allocation ($8.0B Budget)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2100"/>
        <w:gridCol w:w="1880"/>
      </w:tblGrid>
      <w:tr>
        <w:trPr>
          <w:tblHeader/>
        </w:trPr>
        <w:tc>
          <w:tcPr>
            <w:tcW w:type="dxa" w:w="36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tcPr>
          <w:p>
            <w:pPr>
              <w:spacing w:before="0" w:after="0"/>
              <w:jc w:val="center"/>
            </w:pPr>
            <w:r>
              <w:rPr>
                <w:rFonts w:ascii="Calibri" w:cs="Calibri" w:eastAsia="Calibri" w:hAnsi="Calibri"/>
                <w:b/>
                <w:bCs/>
                <w:i w:val="false"/>
                <w:iCs w:val="false"/>
                <w:caps w:val="false"/>
                <w:color w:val="FFFFFF"/>
                <w:sz w:val="18"/>
                <w:szCs w:val="18"/>
              </w:rPr>
              <w:t xml:space="preserve">Policy</w:t>
            </w:r>
          </w:p>
        </w:tc>
        <w:tc>
          <w:tcPr>
            <w:tcW w:type="dxa" w:w="15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tcPr>
          <w:p>
            <w:pPr>
              <w:spacing w:before="0" w:after="0"/>
              <w:jc w:val="center"/>
            </w:pPr>
            <w:r>
              <w:rPr>
                <w:rFonts w:ascii="Calibri" w:cs="Calibri" w:eastAsia="Calibri" w:hAnsi="Calibri"/>
                <w:b/>
                <w:bCs/>
                <w:i w:val="false"/>
                <w:iCs w:val="false"/>
                <w:caps w:val="false"/>
                <w:color w:val="FFFFFF"/>
                <w:sz w:val="18"/>
                <w:szCs w:val="18"/>
              </w:rPr>
              <w:t xml:space="preserve">Allocation</w:t>
            </w:r>
          </w:p>
        </w:tc>
        <w:tc>
          <w:tcPr>
            <w:tcW w:type="dxa" w:w="21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tcPr>
          <w:p>
            <w:pPr>
              <w:spacing w:before="0" w:after="0"/>
              <w:jc w:val="center"/>
            </w:pPr>
            <w:r>
              <w:rPr>
                <w:rFonts w:ascii="Calibri" w:cs="Calibri" w:eastAsia="Calibri" w:hAnsi="Calibri"/>
                <w:b/>
                <w:bCs/>
                <w:i w:val="false"/>
                <w:iCs w:val="false"/>
                <w:caps w:val="false"/>
                <w:color w:val="FFFFFF"/>
                <w:sz w:val="18"/>
                <w:szCs w:val="18"/>
              </w:rPr>
              <w:t xml:space="preserve">People Equivalent</w:t>
            </w:r>
          </w:p>
        </w:tc>
        <w:tc>
          <w:tcPr>
            <w:tcW w:type="dxa" w:w="188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tcPr>
          <w:p>
            <w:pPr>
              <w:spacing w:before="0" w:after="0"/>
              <w:jc w:val="center"/>
            </w:pPr>
            <w:r>
              <w:rPr>
                <w:rFonts w:ascii="Calibri" w:cs="Calibri" w:eastAsia="Calibri" w:hAnsi="Calibri"/>
                <w:b/>
                <w:bCs/>
                <w:i w:val="false"/>
                <w:iCs w:val="false"/>
                <w:caps w:val="false"/>
                <w:color w:val="FFFFFF"/>
                <w:sz w:val="18"/>
                <w:szCs w:val="18"/>
              </w:rPr>
              <w:t xml:space="preserve">Tags</w:t>
            </w:r>
          </w:p>
        </w:tc>
      </w:tr>
      <w:tr>
        <w:tc>
          <w:tcPr>
            <w:tcW w:type="dxa" w:w="3600"/>
            <w:tcBorders>
              <w:top w:val="single" w:color="D0D0D0" w:sz="3"/>
              <w:left w:val="single" w:color="D0D0D0" w:sz="3"/>
              <w:bottom w:val="single" w:color="D0D0D0" w:sz="3"/>
              <w:right w:val="single" w:color="D0D0D0" w:sz="3"/>
            </w:tcBorders>
            <w:shd w:fill="FFFFFF" w:val="clear"/>
            <w:tcMar>
              <w:top w:type="dxa" w:w="60"/>
              <w:left w:type="dxa" w:w="110"/>
              <w:bottom w:type="dxa" w:w="60"/>
              <w:right w:type="dxa" w:w="110"/>
            </w:tcMar>
          </w:tcPr>
          <w:p>
            <w:pPr>
              <w:spacing w:before="0" w:after="0"/>
              <w:jc w:val="left"/>
            </w:pPr>
            <w:r>
              <w:rPr>
                <w:rFonts w:ascii="Calibri" w:cs="Calibri" w:eastAsia="Calibri" w:hAnsi="Calibri"/>
                <w:b w:val="false"/>
                <w:bCs w:val="false"/>
                <w:i w:val="false"/>
                <w:iCs w:val="false"/>
                <w:caps w:val="false"/>
                <w:color w:val="1A1A1A"/>
                <w:sz w:val="18"/>
                <w:szCs w:val="18"/>
              </w:rPr>
              <w:t xml:space="preserve">Fortified rice &amp; school feeding</w:t>
            </w:r>
          </w:p>
        </w:tc>
        <w:tc>
          <w:tcPr>
            <w:tcW w:type="dxa" w:w="1500"/>
            <w:tcBorders>
              <w:top w:val="single" w:color="D0D0D0" w:sz="3"/>
              <w:left w:val="single" w:color="D0D0D0" w:sz="3"/>
              <w:bottom w:val="single" w:color="D0D0D0" w:sz="3"/>
              <w:right w:val="single" w:color="D0D0D0" w:sz="3"/>
            </w:tcBorders>
            <w:shd w:fill="FFFFFF" w:val="clear"/>
            <w:tcMar>
              <w:top w:type="dxa" w:w="60"/>
              <w:left w:type="dxa" w:w="110"/>
              <w:bottom w:type="dxa" w:w="60"/>
              <w:right w:type="dxa" w:w="110"/>
            </w:tcMar>
          </w:tcPr>
          <w:p>
            <w:pPr>
              <w:spacing w:before="0" w:after="0"/>
              <w:jc w:val="center"/>
            </w:pPr>
            <w:r>
              <w:rPr>
                <w:rFonts w:ascii="Calibri" w:cs="Calibri" w:eastAsia="Calibri" w:hAnsi="Calibri"/>
                <w:b w:val="false"/>
                <w:bCs w:val="false"/>
                <w:i w:val="false"/>
                <w:iCs w:val="false"/>
                <w:caps w:val="false"/>
                <w:color w:val="1A1A1A"/>
                <w:sz w:val="18"/>
                <w:szCs w:val="18"/>
              </w:rPr>
              <w:t xml:space="preserve">$1,800M</w:t>
            </w:r>
          </w:p>
        </w:tc>
        <w:tc>
          <w:tcPr>
            <w:tcW w:type="dxa" w:w="2100"/>
            <w:tcBorders>
              <w:top w:val="single" w:color="D0D0D0" w:sz="3"/>
              <w:left w:val="single" w:color="D0D0D0" w:sz="3"/>
              <w:bottom w:val="single" w:color="D0D0D0" w:sz="3"/>
              <w:right w:val="single" w:color="D0D0D0" w:sz="3"/>
            </w:tcBorders>
            <w:shd w:fill="FFFFFF" w:val="clear"/>
            <w:tcMar>
              <w:top w:type="dxa" w:w="60"/>
              <w:left w:type="dxa" w:w="110"/>
              <w:bottom w:type="dxa" w:w="60"/>
              <w:right w:type="dxa" w:w="110"/>
            </w:tcMar>
          </w:tcPr>
          <w:p>
            <w:pPr>
              <w:spacing w:before="0" w:after="0"/>
              <w:jc w:val="right"/>
            </w:pPr>
            <w:r>
              <w:rPr>
                <w:rFonts w:ascii="Calibri" w:cs="Calibri" w:eastAsia="Calibri" w:hAnsi="Calibri"/>
                <w:b w:val="false"/>
                <w:bCs w:val="false"/>
                <w:i w:val="false"/>
                <w:iCs w:val="false"/>
                <w:caps w:val="false"/>
                <w:color w:val="1A1A1A"/>
                <w:sz w:val="18"/>
                <w:szCs w:val="18"/>
              </w:rPr>
              <w:t xml:space="preserve">11,472,365</w:t>
            </w:r>
          </w:p>
        </w:tc>
        <w:tc>
          <w:tcPr>
            <w:tcW w:type="dxa" w:w="1880"/>
            <w:tcBorders>
              <w:top w:val="single" w:color="D0D0D0" w:sz="3"/>
              <w:left w:val="single" w:color="D0D0D0" w:sz="3"/>
              <w:bottom w:val="single" w:color="D0D0D0" w:sz="3"/>
              <w:right w:val="single" w:color="D0D0D0" w:sz="3"/>
            </w:tcBorders>
            <w:shd w:fill="FFFFFF" w:val="clear"/>
            <w:tcMar>
              <w:top w:type="dxa" w:w="60"/>
              <w:left w:type="dxa" w:w="110"/>
              <w:bottom w:type="dxa" w:w="60"/>
              <w:right w:type="dxa" w:w="110"/>
            </w:tcMar>
          </w:tcPr>
          <w:p>
            <w:pPr>
              <w:spacing w:before="0" w:after="0"/>
              <w:jc w:val="center"/>
            </w:pPr>
            <w:r>
              <w:rPr>
                <w:rFonts w:ascii="Calibri" w:cs="Calibri" w:eastAsia="Calibri" w:hAnsi="Calibri"/>
                <w:b w:val="false"/>
                <w:bCs w:val="false"/>
                <w:i w:val="false"/>
                <w:iCs w:val="false"/>
                <w:caps w:val="false"/>
                <w:color w:val="1A1A1A"/>
                <w:sz w:val="18"/>
                <w:szCs w:val="18"/>
              </w:rPr>
              <w:t xml:space="preserve">—</w:t>
            </w:r>
          </w:p>
        </w:tc>
      </w:tr>
      <w:tr>
        <w:tc>
          <w:tcPr>
            <w:tcW w:type="dxa" w:w="3600"/>
            <w:tcBorders>
              <w:top w:val="single" w:color="D0D0D0" w:sz="3"/>
              <w:left w:val="single" w:color="D0D0D0" w:sz="3"/>
              <w:bottom w:val="single" w:color="D0D0D0" w:sz="3"/>
              <w:right w:val="single" w:color="D0D0D0" w:sz="3"/>
            </w:tcBorders>
            <w:shd w:fill="F5F5F5" w:val="clear"/>
            <w:tcMar>
              <w:top w:type="dxa" w:w="60"/>
              <w:left w:type="dxa" w:w="110"/>
              <w:bottom w:type="dxa" w:w="60"/>
              <w:right w:type="dxa" w:w="110"/>
            </w:tcMar>
          </w:tcPr>
          <w:p>
            <w:pPr>
              <w:spacing w:before="0" w:after="0"/>
              <w:jc w:val="left"/>
            </w:pPr>
            <w:r>
              <w:rPr>
                <w:rFonts w:ascii="Calibri" w:cs="Calibri" w:eastAsia="Calibri" w:hAnsi="Calibri"/>
                <w:b w:val="false"/>
                <w:bCs w:val="false"/>
                <w:i w:val="false"/>
                <w:iCs w:val="false"/>
                <w:caps w:val="false"/>
                <w:color w:val="1A1A1A"/>
                <w:sz w:val="18"/>
                <w:szCs w:val="18"/>
              </w:rPr>
              <w:t xml:space="preserve">Saline-tolerant rice</w:t>
            </w:r>
          </w:p>
        </w:tc>
        <w:tc>
          <w:tcPr>
            <w:tcW w:type="dxa" w:w="1500"/>
            <w:tcBorders>
              <w:top w:val="single" w:color="D0D0D0" w:sz="3"/>
              <w:left w:val="single" w:color="D0D0D0" w:sz="3"/>
              <w:bottom w:val="single" w:color="D0D0D0" w:sz="3"/>
              <w:right w:val="single" w:color="D0D0D0" w:sz="3"/>
            </w:tcBorders>
            <w:shd w:fill="F5F5F5" w:val="clear"/>
            <w:tcMar>
              <w:top w:type="dxa" w:w="60"/>
              <w:left w:type="dxa" w:w="110"/>
              <w:bottom w:type="dxa" w:w="60"/>
              <w:right w:type="dxa" w:w="110"/>
            </w:tcMar>
          </w:tcPr>
          <w:p>
            <w:pPr>
              <w:spacing w:before="0" w:after="0"/>
              <w:jc w:val="center"/>
            </w:pPr>
            <w:r>
              <w:rPr>
                <w:rFonts w:ascii="Calibri" w:cs="Calibri" w:eastAsia="Calibri" w:hAnsi="Calibri"/>
                <w:b w:val="false"/>
                <w:bCs w:val="false"/>
                <w:i w:val="false"/>
                <w:iCs w:val="false"/>
                <w:caps w:val="false"/>
                <w:color w:val="1A1A1A"/>
                <w:sz w:val="18"/>
                <w:szCs w:val="18"/>
              </w:rPr>
              <w:t xml:space="preserve">$1,500M</w:t>
            </w:r>
          </w:p>
        </w:tc>
        <w:tc>
          <w:tcPr>
            <w:tcW w:type="dxa" w:w="2100"/>
            <w:tcBorders>
              <w:top w:val="single" w:color="D0D0D0" w:sz="3"/>
              <w:left w:val="single" w:color="D0D0D0" w:sz="3"/>
              <w:bottom w:val="single" w:color="D0D0D0" w:sz="3"/>
              <w:right w:val="single" w:color="D0D0D0" w:sz="3"/>
            </w:tcBorders>
            <w:shd w:fill="F5F5F5" w:val="clear"/>
            <w:tcMar>
              <w:top w:type="dxa" w:w="60"/>
              <w:left w:type="dxa" w:w="110"/>
              <w:bottom w:type="dxa" w:w="60"/>
              <w:right w:type="dxa" w:w="110"/>
            </w:tcMar>
          </w:tcPr>
          <w:p>
            <w:pPr>
              <w:spacing w:before="0" w:after="0"/>
              <w:jc w:val="right"/>
            </w:pPr>
            <w:r>
              <w:rPr>
                <w:rFonts w:ascii="Calibri" w:cs="Calibri" w:eastAsia="Calibri" w:hAnsi="Calibri"/>
                <w:b w:val="false"/>
                <w:bCs w:val="false"/>
                <w:i w:val="false"/>
                <w:iCs w:val="false"/>
                <w:caps w:val="false"/>
                <w:color w:val="1A1A1A"/>
                <w:sz w:val="18"/>
                <w:szCs w:val="18"/>
              </w:rPr>
              <w:t xml:space="preserve">2,964,259</w:t>
            </w:r>
          </w:p>
        </w:tc>
        <w:tc>
          <w:tcPr>
            <w:tcW w:type="dxa" w:w="1880"/>
            <w:tcBorders>
              <w:top w:val="single" w:color="D0D0D0" w:sz="3"/>
              <w:left w:val="single" w:color="D0D0D0" w:sz="3"/>
              <w:bottom w:val="single" w:color="D0D0D0" w:sz="3"/>
              <w:right w:val="single" w:color="D0D0D0" w:sz="3"/>
            </w:tcBorders>
            <w:shd w:fill="F5F5F5" w:val="clear"/>
            <w:tcMar>
              <w:top w:type="dxa" w:w="60"/>
              <w:left w:type="dxa" w:w="110"/>
              <w:bottom w:type="dxa" w:w="60"/>
              <w:right w:type="dxa" w:w="110"/>
            </w:tcMar>
          </w:tcPr>
          <w:p>
            <w:pPr>
              <w:spacing w:before="0" w:after="0"/>
              <w:jc w:val="center"/>
            </w:pPr>
            <w:r>
              <w:rPr>
                <w:rFonts w:ascii="Calibri" w:cs="Calibri" w:eastAsia="Calibri" w:hAnsi="Calibri"/>
                <w:b w:val="false"/>
                <w:bCs w:val="false"/>
                <w:i w:val="false"/>
                <w:iCs w:val="false"/>
                <w:caps w:val="false"/>
                <w:color w:val="1A1A1A"/>
                <w:sz w:val="18"/>
                <w:szCs w:val="18"/>
              </w:rPr>
              <w:t xml:space="preserve">BDP2100</w:t>
            </w:r>
          </w:p>
        </w:tc>
      </w:tr>
      <w:tr>
        <w:tc>
          <w:tcPr>
            <w:tcW w:type="dxa" w:w="3600"/>
            <w:tcBorders>
              <w:top w:val="single" w:color="D0D0D0" w:sz="3"/>
              <w:left w:val="single" w:color="D0D0D0" w:sz="3"/>
              <w:bottom w:val="single" w:color="D0D0D0" w:sz="3"/>
              <w:right w:val="single" w:color="D0D0D0" w:sz="3"/>
            </w:tcBorders>
            <w:shd w:fill="FFFFFF" w:val="clear"/>
            <w:tcMar>
              <w:top w:type="dxa" w:w="60"/>
              <w:left w:type="dxa" w:w="110"/>
              <w:bottom w:type="dxa" w:w="60"/>
              <w:right w:type="dxa" w:w="110"/>
            </w:tcMar>
          </w:tcPr>
          <w:p>
            <w:pPr>
              <w:spacing w:before="0" w:after="0"/>
              <w:jc w:val="left"/>
            </w:pPr>
            <w:r>
              <w:rPr>
                <w:rFonts w:ascii="Calibri" w:cs="Calibri" w:eastAsia="Calibri" w:hAnsi="Calibri"/>
                <w:b w:val="false"/>
                <w:bCs w:val="false"/>
                <w:i w:val="false"/>
                <w:iCs w:val="false"/>
                <w:caps w:val="false"/>
                <w:color w:val="1A1A1A"/>
                <w:sz w:val="18"/>
                <w:szCs w:val="18"/>
              </w:rPr>
              <w:t xml:space="preserve">Renewable energy for irrigation</w:t>
            </w:r>
          </w:p>
        </w:tc>
        <w:tc>
          <w:tcPr>
            <w:tcW w:type="dxa" w:w="1500"/>
            <w:tcBorders>
              <w:top w:val="single" w:color="D0D0D0" w:sz="3"/>
              <w:left w:val="single" w:color="D0D0D0" w:sz="3"/>
              <w:bottom w:val="single" w:color="D0D0D0" w:sz="3"/>
              <w:right w:val="single" w:color="D0D0D0" w:sz="3"/>
            </w:tcBorders>
            <w:shd w:fill="FFFFFF" w:val="clear"/>
            <w:tcMar>
              <w:top w:type="dxa" w:w="60"/>
              <w:left w:type="dxa" w:w="110"/>
              <w:bottom w:type="dxa" w:w="60"/>
              <w:right w:type="dxa" w:w="110"/>
            </w:tcMar>
          </w:tcPr>
          <w:p>
            <w:pPr>
              <w:spacing w:before="0" w:after="0"/>
              <w:jc w:val="center"/>
            </w:pPr>
            <w:r>
              <w:rPr>
                <w:rFonts w:ascii="Calibri" w:cs="Calibri" w:eastAsia="Calibri" w:hAnsi="Calibri"/>
                <w:b w:val="false"/>
                <w:bCs w:val="false"/>
                <w:i w:val="false"/>
                <w:iCs w:val="false"/>
                <w:caps w:val="false"/>
                <w:color w:val="1A1A1A"/>
                <w:sz w:val="18"/>
                <w:szCs w:val="18"/>
              </w:rPr>
              <w:t xml:space="preserve">$1,200M</w:t>
            </w:r>
          </w:p>
        </w:tc>
        <w:tc>
          <w:tcPr>
            <w:tcW w:type="dxa" w:w="2100"/>
            <w:tcBorders>
              <w:top w:val="single" w:color="D0D0D0" w:sz="3"/>
              <w:left w:val="single" w:color="D0D0D0" w:sz="3"/>
              <w:bottom w:val="single" w:color="D0D0D0" w:sz="3"/>
              <w:right w:val="single" w:color="D0D0D0" w:sz="3"/>
            </w:tcBorders>
            <w:shd w:fill="FFFFFF" w:val="clear"/>
            <w:tcMar>
              <w:top w:type="dxa" w:w="60"/>
              <w:left w:type="dxa" w:w="110"/>
              <w:bottom w:type="dxa" w:w="60"/>
              <w:right w:type="dxa" w:w="110"/>
            </w:tcMar>
          </w:tcPr>
          <w:p>
            <w:pPr>
              <w:spacing w:before="0" w:after="0"/>
              <w:jc w:val="right"/>
            </w:pPr>
            <w:r>
              <w:rPr>
                <w:rFonts w:ascii="Calibri" w:cs="Calibri" w:eastAsia="Calibri" w:hAnsi="Calibri"/>
                <w:b w:val="false"/>
                <w:bCs w:val="false"/>
                <w:i w:val="false"/>
                <w:iCs w:val="false"/>
                <w:caps w:val="false"/>
                <w:color w:val="1A1A1A"/>
                <w:sz w:val="18"/>
                <w:szCs w:val="18"/>
              </w:rPr>
              <w:t xml:space="preserve">1,200,477</w:t>
            </w:r>
          </w:p>
        </w:tc>
        <w:tc>
          <w:tcPr>
            <w:tcW w:type="dxa" w:w="1880"/>
            <w:tcBorders>
              <w:top w:val="single" w:color="D0D0D0" w:sz="3"/>
              <w:left w:val="single" w:color="D0D0D0" w:sz="3"/>
              <w:bottom w:val="single" w:color="D0D0D0" w:sz="3"/>
              <w:right w:val="single" w:color="D0D0D0" w:sz="3"/>
            </w:tcBorders>
            <w:shd w:fill="FFFFFF" w:val="clear"/>
            <w:tcMar>
              <w:top w:type="dxa" w:w="60"/>
              <w:left w:type="dxa" w:w="110"/>
              <w:bottom w:type="dxa" w:w="60"/>
              <w:right w:type="dxa" w:w="110"/>
            </w:tcMar>
          </w:tcPr>
          <w:p>
            <w:pPr>
              <w:spacing w:before="0" w:after="0"/>
              <w:jc w:val="center"/>
            </w:pPr>
            <w:r>
              <w:rPr>
                <w:rFonts w:ascii="Calibri" w:cs="Calibri" w:eastAsia="Calibri" w:hAnsi="Calibri"/>
                <w:b w:val="false"/>
                <w:bCs w:val="false"/>
                <w:i w:val="false"/>
                <w:iCs w:val="false"/>
                <w:caps w:val="false"/>
                <w:color w:val="1A1A1A"/>
                <w:sz w:val="18"/>
                <w:szCs w:val="18"/>
              </w:rPr>
              <w:t xml:space="preserve">BNP</w:t>
            </w:r>
          </w:p>
        </w:tc>
      </w:tr>
      <w:tr>
        <w:tc>
          <w:tcPr>
            <w:tcW w:type="dxa" w:w="3600"/>
            <w:tcBorders>
              <w:top w:val="single" w:color="D0D0D0" w:sz="3"/>
              <w:left w:val="single" w:color="D0D0D0" w:sz="3"/>
              <w:bottom w:val="single" w:color="D0D0D0" w:sz="3"/>
              <w:right w:val="single" w:color="D0D0D0" w:sz="3"/>
            </w:tcBorders>
            <w:shd w:fill="F5F5F5" w:val="clear"/>
            <w:tcMar>
              <w:top w:type="dxa" w:w="60"/>
              <w:left w:type="dxa" w:w="110"/>
              <w:bottom w:type="dxa" w:w="60"/>
              <w:right w:type="dxa" w:w="110"/>
            </w:tcMar>
          </w:tcPr>
          <w:p>
            <w:pPr>
              <w:spacing w:before="0" w:after="0"/>
              <w:jc w:val="left"/>
            </w:pPr>
            <w:r>
              <w:rPr>
                <w:rFonts w:ascii="Calibri" w:cs="Calibri" w:eastAsia="Calibri" w:hAnsi="Calibri"/>
                <w:b w:val="false"/>
                <w:bCs w:val="false"/>
                <w:i w:val="false"/>
                <w:iCs w:val="false"/>
                <w:caps w:val="false"/>
                <w:color w:val="1A1A1A"/>
                <w:sz w:val="18"/>
                <w:szCs w:val="18"/>
              </w:rPr>
              <w:t xml:space="preserve">Post-harvest storage</w:t>
            </w:r>
          </w:p>
        </w:tc>
        <w:tc>
          <w:tcPr>
            <w:tcW w:type="dxa" w:w="1500"/>
            <w:tcBorders>
              <w:top w:val="single" w:color="D0D0D0" w:sz="3"/>
              <w:left w:val="single" w:color="D0D0D0" w:sz="3"/>
              <w:bottom w:val="single" w:color="D0D0D0" w:sz="3"/>
              <w:right w:val="single" w:color="D0D0D0" w:sz="3"/>
            </w:tcBorders>
            <w:shd w:fill="F5F5F5" w:val="clear"/>
            <w:tcMar>
              <w:top w:type="dxa" w:w="60"/>
              <w:left w:type="dxa" w:w="110"/>
              <w:bottom w:type="dxa" w:w="60"/>
              <w:right w:type="dxa" w:w="110"/>
            </w:tcMar>
          </w:tcPr>
          <w:p>
            <w:pPr>
              <w:spacing w:before="0" w:after="0"/>
              <w:jc w:val="center"/>
            </w:pPr>
            <w:r>
              <w:rPr>
                <w:rFonts w:ascii="Calibri" w:cs="Calibri" w:eastAsia="Calibri" w:hAnsi="Calibri"/>
                <w:b w:val="false"/>
                <w:bCs w:val="false"/>
                <w:i w:val="false"/>
                <w:iCs w:val="false"/>
                <w:caps w:val="false"/>
                <w:color w:val="1A1A1A"/>
                <w:sz w:val="18"/>
                <w:szCs w:val="18"/>
              </w:rPr>
              <w:t xml:space="preserve">$1,200M</w:t>
            </w:r>
          </w:p>
        </w:tc>
        <w:tc>
          <w:tcPr>
            <w:tcW w:type="dxa" w:w="2100"/>
            <w:tcBorders>
              <w:top w:val="single" w:color="D0D0D0" w:sz="3"/>
              <w:left w:val="single" w:color="D0D0D0" w:sz="3"/>
              <w:bottom w:val="single" w:color="D0D0D0" w:sz="3"/>
              <w:right w:val="single" w:color="D0D0D0" w:sz="3"/>
            </w:tcBorders>
            <w:shd w:fill="F5F5F5" w:val="clear"/>
            <w:tcMar>
              <w:top w:type="dxa" w:w="60"/>
              <w:left w:type="dxa" w:w="110"/>
              <w:bottom w:type="dxa" w:w="60"/>
              <w:right w:type="dxa" w:w="110"/>
            </w:tcMar>
          </w:tcPr>
          <w:p>
            <w:pPr>
              <w:spacing w:before="0" w:after="0"/>
              <w:jc w:val="right"/>
            </w:pPr>
            <w:r>
              <w:rPr>
                <w:rFonts w:ascii="Calibri" w:cs="Calibri" w:eastAsia="Calibri" w:hAnsi="Calibri"/>
                <w:b w:val="false"/>
                <w:bCs w:val="false"/>
                <w:i w:val="false"/>
                <w:iCs w:val="false"/>
                <w:caps w:val="false"/>
                <w:color w:val="1A1A1A"/>
                <w:sz w:val="18"/>
                <w:szCs w:val="18"/>
              </w:rPr>
              <w:t xml:space="preserve">2,278,814</w:t>
            </w:r>
          </w:p>
        </w:tc>
        <w:tc>
          <w:tcPr>
            <w:tcW w:type="dxa" w:w="1880"/>
            <w:tcBorders>
              <w:top w:val="single" w:color="D0D0D0" w:sz="3"/>
              <w:left w:val="single" w:color="D0D0D0" w:sz="3"/>
              <w:bottom w:val="single" w:color="D0D0D0" w:sz="3"/>
              <w:right w:val="single" w:color="D0D0D0" w:sz="3"/>
            </w:tcBorders>
            <w:shd w:fill="F5F5F5" w:val="clear"/>
            <w:tcMar>
              <w:top w:type="dxa" w:w="60"/>
              <w:left w:type="dxa" w:w="110"/>
              <w:bottom w:type="dxa" w:w="60"/>
              <w:right w:type="dxa" w:w="110"/>
            </w:tcMar>
          </w:tcPr>
          <w:p>
            <w:pPr>
              <w:spacing w:before="0" w:after="0"/>
              <w:jc w:val="center"/>
            </w:pPr>
            <w:r>
              <w:rPr>
                <w:rFonts w:ascii="Calibri" w:cs="Calibri" w:eastAsia="Calibri" w:hAnsi="Calibri"/>
                <w:b w:val="false"/>
                <w:bCs w:val="false"/>
                <w:i w:val="false"/>
                <w:iCs w:val="false"/>
                <w:caps w:val="false"/>
                <w:color w:val="1A1A1A"/>
                <w:sz w:val="18"/>
                <w:szCs w:val="18"/>
              </w:rPr>
              <w:t xml:space="preserve">—</w:t>
            </w:r>
          </w:p>
        </w:tc>
      </w:tr>
      <w:tr>
        <w:tc>
          <w:tcPr>
            <w:tcW w:type="dxa" w:w="3600"/>
            <w:tcBorders>
              <w:top w:val="single" w:color="D0D0D0" w:sz="3"/>
              <w:left w:val="single" w:color="D0D0D0" w:sz="3"/>
              <w:bottom w:val="single" w:color="D0D0D0" w:sz="3"/>
              <w:right w:val="single" w:color="D0D0D0" w:sz="3"/>
            </w:tcBorders>
            <w:shd w:fill="FFFFFF" w:val="clear"/>
            <w:tcMar>
              <w:top w:type="dxa" w:w="60"/>
              <w:left w:type="dxa" w:w="110"/>
              <w:bottom w:type="dxa" w:w="60"/>
              <w:right w:type="dxa" w:w="110"/>
            </w:tcMar>
          </w:tcPr>
          <w:p>
            <w:pPr>
              <w:spacing w:before="0" w:after="0"/>
              <w:jc w:val="left"/>
            </w:pPr>
            <w:r>
              <w:rPr>
                <w:rFonts w:ascii="Calibri" w:cs="Calibri" w:eastAsia="Calibri" w:hAnsi="Calibri"/>
                <w:b w:val="false"/>
                <w:bCs w:val="false"/>
                <w:i w:val="false"/>
                <w:iCs w:val="false"/>
                <w:caps w:val="false"/>
                <w:color w:val="1A1A1A"/>
                <w:sz w:val="18"/>
                <w:szCs w:val="18"/>
              </w:rPr>
              <w:t xml:space="preserve">AWD irrigation</w:t>
            </w:r>
          </w:p>
        </w:tc>
        <w:tc>
          <w:tcPr>
            <w:tcW w:type="dxa" w:w="1500"/>
            <w:tcBorders>
              <w:top w:val="single" w:color="D0D0D0" w:sz="3"/>
              <w:left w:val="single" w:color="D0D0D0" w:sz="3"/>
              <w:bottom w:val="single" w:color="D0D0D0" w:sz="3"/>
              <w:right w:val="single" w:color="D0D0D0" w:sz="3"/>
            </w:tcBorders>
            <w:shd w:fill="FFFFFF" w:val="clear"/>
            <w:tcMar>
              <w:top w:type="dxa" w:w="60"/>
              <w:left w:type="dxa" w:w="110"/>
              <w:bottom w:type="dxa" w:w="60"/>
              <w:right w:type="dxa" w:w="110"/>
            </w:tcMar>
          </w:tcPr>
          <w:p>
            <w:pPr>
              <w:spacing w:before="0" w:after="0"/>
              <w:jc w:val="center"/>
            </w:pPr>
            <w:r>
              <w:rPr>
                <w:rFonts w:ascii="Calibri" w:cs="Calibri" w:eastAsia="Calibri" w:hAnsi="Calibri"/>
                <w:b w:val="false"/>
                <w:bCs w:val="false"/>
                <w:i w:val="false"/>
                <w:iCs w:val="false"/>
                <w:caps w:val="false"/>
                <w:color w:val="1A1A1A"/>
                <w:sz w:val="18"/>
                <w:szCs w:val="18"/>
              </w:rPr>
              <w:t xml:space="preserve">$1,000M</w:t>
            </w:r>
          </w:p>
        </w:tc>
        <w:tc>
          <w:tcPr>
            <w:tcW w:type="dxa" w:w="2100"/>
            <w:tcBorders>
              <w:top w:val="single" w:color="D0D0D0" w:sz="3"/>
              <w:left w:val="single" w:color="D0D0D0" w:sz="3"/>
              <w:bottom w:val="single" w:color="D0D0D0" w:sz="3"/>
              <w:right w:val="single" w:color="D0D0D0" w:sz="3"/>
            </w:tcBorders>
            <w:shd w:fill="FFFFFF" w:val="clear"/>
            <w:tcMar>
              <w:top w:type="dxa" w:w="60"/>
              <w:left w:type="dxa" w:w="110"/>
              <w:bottom w:type="dxa" w:w="60"/>
              <w:right w:type="dxa" w:w="110"/>
            </w:tcMar>
          </w:tcPr>
          <w:p>
            <w:pPr>
              <w:spacing w:before="0" w:after="0"/>
              <w:jc w:val="right"/>
            </w:pPr>
            <w:r>
              <w:rPr>
                <w:rFonts w:ascii="Calibri" w:cs="Calibri" w:eastAsia="Calibri" w:hAnsi="Calibri"/>
                <w:b w:val="false"/>
                <w:bCs w:val="false"/>
                <w:i w:val="false"/>
                <w:iCs w:val="false"/>
                <w:caps w:val="false"/>
                <w:color w:val="1A1A1A"/>
                <w:sz w:val="18"/>
                <w:szCs w:val="18"/>
              </w:rPr>
              <w:t xml:space="preserve">1,871,215</w:t>
            </w:r>
          </w:p>
        </w:tc>
        <w:tc>
          <w:tcPr>
            <w:tcW w:type="dxa" w:w="1880"/>
            <w:tcBorders>
              <w:top w:val="single" w:color="D0D0D0" w:sz="3"/>
              <w:left w:val="single" w:color="D0D0D0" w:sz="3"/>
              <w:bottom w:val="single" w:color="D0D0D0" w:sz="3"/>
              <w:right w:val="single" w:color="D0D0D0" w:sz="3"/>
            </w:tcBorders>
            <w:shd w:fill="FFFFFF" w:val="clear"/>
            <w:tcMar>
              <w:top w:type="dxa" w:w="60"/>
              <w:left w:type="dxa" w:w="110"/>
              <w:bottom w:type="dxa" w:w="60"/>
              <w:right w:type="dxa" w:w="110"/>
            </w:tcMar>
          </w:tcPr>
          <w:p>
            <w:pPr>
              <w:spacing w:before="0" w:after="0"/>
              <w:jc w:val="center"/>
            </w:pPr>
            <w:r>
              <w:rPr>
                <w:rFonts w:ascii="Calibri" w:cs="Calibri" w:eastAsia="Calibri" w:hAnsi="Calibri"/>
                <w:b w:val="false"/>
                <w:bCs w:val="false"/>
                <w:i w:val="false"/>
                <w:iCs w:val="false"/>
                <w:caps w:val="false"/>
                <w:color w:val="1A1A1A"/>
                <w:sz w:val="18"/>
                <w:szCs w:val="18"/>
              </w:rPr>
              <w:t xml:space="preserve">BNP, BDP2100</w:t>
            </w:r>
          </w:p>
        </w:tc>
      </w:tr>
      <w:tr>
        <w:tc>
          <w:tcPr>
            <w:tcW w:type="dxa" w:w="3600"/>
            <w:tcBorders>
              <w:top w:val="single" w:color="D0D0D0" w:sz="3"/>
              <w:left w:val="single" w:color="D0D0D0" w:sz="3"/>
              <w:bottom w:val="single" w:color="D0D0D0" w:sz="3"/>
              <w:right w:val="single" w:color="D0D0D0" w:sz="3"/>
            </w:tcBorders>
            <w:shd w:fill="F5F5F5" w:val="clear"/>
            <w:tcMar>
              <w:top w:type="dxa" w:w="60"/>
              <w:left w:type="dxa" w:w="110"/>
              <w:bottom w:type="dxa" w:w="60"/>
              <w:right w:type="dxa" w:w="110"/>
            </w:tcMar>
          </w:tcPr>
          <w:p>
            <w:pPr>
              <w:spacing w:before="0" w:after="0"/>
              <w:jc w:val="left"/>
            </w:pPr>
            <w:r>
              <w:rPr>
                <w:rFonts w:ascii="Calibri" w:cs="Calibri" w:eastAsia="Calibri" w:hAnsi="Calibri"/>
                <w:b w:val="false"/>
                <w:bCs w:val="false"/>
                <w:i w:val="false"/>
                <w:iCs w:val="false"/>
                <w:caps w:val="false"/>
                <w:color w:val="1A1A1A"/>
                <w:sz w:val="18"/>
                <w:szCs w:val="18"/>
              </w:rPr>
              <w:t xml:space="preserve">Flood-tolerant rice</w:t>
            </w:r>
          </w:p>
        </w:tc>
        <w:tc>
          <w:tcPr>
            <w:tcW w:type="dxa" w:w="1500"/>
            <w:tcBorders>
              <w:top w:val="single" w:color="D0D0D0" w:sz="3"/>
              <w:left w:val="single" w:color="D0D0D0" w:sz="3"/>
              <w:bottom w:val="single" w:color="D0D0D0" w:sz="3"/>
              <w:right w:val="single" w:color="D0D0D0" w:sz="3"/>
            </w:tcBorders>
            <w:shd w:fill="F5F5F5" w:val="clear"/>
            <w:tcMar>
              <w:top w:type="dxa" w:w="60"/>
              <w:left w:type="dxa" w:w="110"/>
              <w:bottom w:type="dxa" w:w="60"/>
              <w:right w:type="dxa" w:w="110"/>
            </w:tcMar>
          </w:tcPr>
          <w:p>
            <w:pPr>
              <w:spacing w:before="0" w:after="0"/>
              <w:jc w:val="center"/>
            </w:pPr>
            <w:r>
              <w:rPr>
                <w:rFonts w:ascii="Calibri" w:cs="Calibri" w:eastAsia="Calibri" w:hAnsi="Calibri"/>
                <w:b w:val="false"/>
                <w:bCs w:val="false"/>
                <w:i w:val="false"/>
                <w:iCs w:val="false"/>
                <w:caps w:val="false"/>
                <w:color w:val="1A1A1A"/>
                <w:sz w:val="18"/>
                <w:szCs w:val="18"/>
              </w:rPr>
              <w:t xml:space="preserve">$499M</w:t>
            </w:r>
          </w:p>
        </w:tc>
        <w:tc>
          <w:tcPr>
            <w:tcW w:type="dxa" w:w="2100"/>
            <w:tcBorders>
              <w:top w:val="single" w:color="D0D0D0" w:sz="3"/>
              <w:left w:val="single" w:color="D0D0D0" w:sz="3"/>
              <w:bottom w:val="single" w:color="D0D0D0" w:sz="3"/>
              <w:right w:val="single" w:color="D0D0D0" w:sz="3"/>
            </w:tcBorders>
            <w:shd w:fill="F5F5F5" w:val="clear"/>
            <w:tcMar>
              <w:top w:type="dxa" w:w="60"/>
              <w:left w:type="dxa" w:w="110"/>
              <w:bottom w:type="dxa" w:w="60"/>
              <w:right w:type="dxa" w:w="110"/>
            </w:tcMar>
          </w:tcPr>
          <w:p>
            <w:pPr>
              <w:spacing w:before="0" w:after="0"/>
              <w:jc w:val="right"/>
            </w:pPr>
            <w:r>
              <w:rPr>
                <w:rFonts w:ascii="Calibri" w:cs="Calibri" w:eastAsia="Calibri" w:hAnsi="Calibri"/>
                <w:b w:val="false"/>
                <w:bCs w:val="false"/>
                <w:i w:val="false"/>
                <w:iCs w:val="false"/>
                <w:caps w:val="false"/>
                <w:color w:val="1A1A1A"/>
                <w:sz w:val="18"/>
                <w:szCs w:val="18"/>
              </w:rPr>
              <w:t xml:space="preserve">565,935</w:t>
            </w:r>
          </w:p>
        </w:tc>
        <w:tc>
          <w:tcPr>
            <w:tcW w:type="dxa" w:w="1880"/>
            <w:tcBorders>
              <w:top w:val="single" w:color="D0D0D0" w:sz="3"/>
              <w:left w:val="single" w:color="D0D0D0" w:sz="3"/>
              <w:bottom w:val="single" w:color="D0D0D0" w:sz="3"/>
              <w:right w:val="single" w:color="D0D0D0" w:sz="3"/>
            </w:tcBorders>
            <w:shd w:fill="F5F5F5" w:val="clear"/>
            <w:tcMar>
              <w:top w:type="dxa" w:w="60"/>
              <w:left w:type="dxa" w:w="110"/>
              <w:bottom w:type="dxa" w:w="60"/>
              <w:right w:type="dxa" w:w="110"/>
            </w:tcMar>
          </w:tcPr>
          <w:p>
            <w:pPr>
              <w:spacing w:before="0" w:after="0"/>
              <w:jc w:val="center"/>
            </w:pPr>
            <w:r>
              <w:rPr>
                <w:rFonts w:ascii="Calibri" w:cs="Calibri" w:eastAsia="Calibri" w:hAnsi="Calibri"/>
                <w:b w:val="false"/>
                <w:bCs w:val="false"/>
                <w:i w:val="false"/>
                <w:iCs w:val="false"/>
                <w:caps w:val="false"/>
                <w:color w:val="1A1A1A"/>
                <w:sz w:val="18"/>
                <w:szCs w:val="18"/>
              </w:rPr>
              <w:t xml:space="preserve">BDP2100</w:t>
            </w:r>
          </w:p>
        </w:tc>
      </w:tr>
      <w:tr>
        <w:tc>
          <w:tcPr>
            <w:tcW w:type="dxa" w:w="3600"/>
            <w:tcBorders>
              <w:top w:val="single" w:color="D0D0D0" w:sz="3"/>
              <w:left w:val="single" w:color="D0D0D0" w:sz="3"/>
              <w:bottom w:val="single" w:color="D0D0D0" w:sz="3"/>
              <w:right w:val="single" w:color="D0D0D0" w:sz="3"/>
            </w:tcBorders>
            <w:shd w:fill="FFFFFF" w:val="clear"/>
            <w:tcMar>
              <w:top w:type="dxa" w:w="60"/>
              <w:left w:type="dxa" w:w="110"/>
              <w:bottom w:type="dxa" w:w="60"/>
              <w:right w:type="dxa" w:w="110"/>
            </w:tcMar>
          </w:tcPr>
          <w:p>
            <w:pPr>
              <w:spacing w:before="0" w:after="0"/>
              <w:jc w:val="left"/>
            </w:pPr>
            <w:r>
              <w:rPr>
                <w:rFonts w:ascii="Calibri" w:cs="Calibri" w:eastAsia="Calibri" w:hAnsi="Calibri"/>
                <w:b w:val="false"/>
                <w:bCs w:val="false"/>
                <w:i w:val="false"/>
                <w:iCs w:val="false"/>
                <w:caps w:val="false"/>
                <w:color w:val="1A1A1A"/>
                <w:sz w:val="18"/>
                <w:szCs w:val="18"/>
              </w:rPr>
              <w:t xml:space="preserve">Crop diversification</w:t>
            </w:r>
          </w:p>
        </w:tc>
        <w:tc>
          <w:tcPr>
            <w:tcW w:type="dxa" w:w="1500"/>
            <w:tcBorders>
              <w:top w:val="single" w:color="D0D0D0" w:sz="3"/>
              <w:left w:val="single" w:color="D0D0D0" w:sz="3"/>
              <w:bottom w:val="single" w:color="D0D0D0" w:sz="3"/>
              <w:right w:val="single" w:color="D0D0D0" w:sz="3"/>
            </w:tcBorders>
            <w:shd w:fill="FFFFFF" w:val="clear"/>
            <w:tcMar>
              <w:top w:type="dxa" w:w="60"/>
              <w:left w:type="dxa" w:w="110"/>
              <w:bottom w:type="dxa" w:w="60"/>
              <w:right w:type="dxa" w:w="110"/>
            </w:tcMar>
          </w:tcPr>
          <w:p>
            <w:pPr>
              <w:spacing w:before="0" w:after="0"/>
              <w:jc w:val="center"/>
            </w:pPr>
            <w:r>
              <w:rPr>
                <w:rFonts w:ascii="Calibri" w:cs="Calibri" w:eastAsia="Calibri" w:hAnsi="Calibri"/>
                <w:b w:val="false"/>
                <w:bCs w:val="false"/>
                <w:i w:val="false"/>
                <w:iCs w:val="false"/>
                <w:caps w:val="false"/>
                <w:color w:val="1A1A1A"/>
                <w:sz w:val="18"/>
                <w:szCs w:val="18"/>
              </w:rPr>
              <w:t xml:space="preserve">$200M</w:t>
            </w:r>
          </w:p>
        </w:tc>
        <w:tc>
          <w:tcPr>
            <w:tcW w:type="dxa" w:w="2100"/>
            <w:tcBorders>
              <w:top w:val="single" w:color="D0D0D0" w:sz="3"/>
              <w:left w:val="single" w:color="D0D0D0" w:sz="3"/>
              <w:bottom w:val="single" w:color="D0D0D0" w:sz="3"/>
              <w:right w:val="single" w:color="D0D0D0" w:sz="3"/>
            </w:tcBorders>
            <w:shd w:fill="FFFFFF" w:val="clear"/>
            <w:tcMar>
              <w:top w:type="dxa" w:w="60"/>
              <w:left w:type="dxa" w:w="110"/>
              <w:bottom w:type="dxa" w:w="60"/>
              <w:right w:type="dxa" w:w="110"/>
            </w:tcMar>
          </w:tcPr>
          <w:p>
            <w:pPr>
              <w:spacing w:before="0" w:after="0"/>
              <w:jc w:val="right"/>
            </w:pPr>
            <w:r>
              <w:rPr>
                <w:rFonts w:ascii="Calibri" w:cs="Calibri" w:eastAsia="Calibri" w:hAnsi="Calibri"/>
                <w:b w:val="false"/>
                <w:bCs w:val="false"/>
                <w:i w:val="false"/>
                <w:iCs w:val="false"/>
                <w:caps w:val="false"/>
                <w:color w:val="1A1A1A"/>
                <w:sz w:val="18"/>
                <w:szCs w:val="18"/>
              </w:rPr>
              <w:t xml:space="preserve">152,220</w:t>
            </w:r>
          </w:p>
        </w:tc>
        <w:tc>
          <w:tcPr>
            <w:tcW w:type="dxa" w:w="1880"/>
            <w:tcBorders>
              <w:top w:val="single" w:color="D0D0D0" w:sz="3"/>
              <w:left w:val="single" w:color="D0D0D0" w:sz="3"/>
              <w:bottom w:val="single" w:color="D0D0D0" w:sz="3"/>
              <w:right w:val="single" w:color="D0D0D0" w:sz="3"/>
            </w:tcBorders>
            <w:shd w:fill="FFFFFF" w:val="clear"/>
            <w:tcMar>
              <w:top w:type="dxa" w:w="60"/>
              <w:left w:type="dxa" w:w="110"/>
              <w:bottom w:type="dxa" w:w="60"/>
              <w:right w:type="dxa" w:w="110"/>
            </w:tcMar>
          </w:tcPr>
          <w:p>
            <w:pPr>
              <w:spacing w:before="0" w:after="0"/>
              <w:jc w:val="center"/>
            </w:pPr>
            <w:r>
              <w:rPr>
                <w:rFonts w:ascii="Calibri" w:cs="Calibri" w:eastAsia="Calibri" w:hAnsi="Calibri"/>
                <w:b w:val="false"/>
                <w:bCs w:val="false"/>
                <w:i w:val="false"/>
                <w:iCs w:val="false"/>
                <w:caps w:val="false"/>
                <w:color w:val="1A1A1A"/>
                <w:sz w:val="18"/>
                <w:szCs w:val="18"/>
              </w:rPr>
              <w:t xml:space="preserve">—</w:t>
            </w:r>
          </w:p>
        </w:tc>
      </w:tr>
      <w:tr>
        <w:tc>
          <w:tcPr>
            <w:tcW w:type="dxa" w:w="3600"/>
            <w:tcBorders>
              <w:top w:val="single" w:color="D0D0D0" w:sz="3"/>
              <w:left w:val="single" w:color="D0D0D0" w:sz="3"/>
              <w:bottom w:val="single" w:color="D0D0D0" w:sz="3"/>
              <w:right w:val="single" w:color="D0D0D0" w:sz="3"/>
            </w:tcBorders>
            <w:shd w:fill="F5F5F5" w:val="clear"/>
            <w:tcMar>
              <w:top w:type="dxa" w:w="60"/>
              <w:left w:type="dxa" w:w="110"/>
              <w:bottom w:type="dxa" w:w="60"/>
              <w:right w:type="dxa" w:w="110"/>
            </w:tcMar>
          </w:tcPr>
          <w:p>
            <w:pPr>
              <w:spacing w:before="0" w:after="0"/>
              <w:jc w:val="left"/>
            </w:pPr>
            <w:r>
              <w:rPr>
                <w:rFonts w:ascii="Calibri" w:cs="Calibri" w:eastAsia="Calibri" w:hAnsi="Calibri"/>
                <w:b w:val="false"/>
                <w:bCs w:val="false"/>
                <w:i w:val="false"/>
                <w:iCs w:val="false"/>
                <w:caps w:val="false"/>
                <w:color w:val="1A1A1A"/>
                <w:sz w:val="18"/>
                <w:szCs w:val="18"/>
              </w:rPr>
              <w:t xml:space="preserve">Farmer insurance</w:t>
            </w:r>
          </w:p>
        </w:tc>
        <w:tc>
          <w:tcPr>
            <w:tcW w:type="dxa" w:w="1500"/>
            <w:tcBorders>
              <w:top w:val="single" w:color="D0D0D0" w:sz="3"/>
              <w:left w:val="single" w:color="D0D0D0" w:sz="3"/>
              <w:bottom w:val="single" w:color="D0D0D0" w:sz="3"/>
              <w:right w:val="single" w:color="D0D0D0" w:sz="3"/>
            </w:tcBorders>
            <w:shd w:fill="F5F5F5" w:val="clear"/>
            <w:tcMar>
              <w:top w:type="dxa" w:w="60"/>
              <w:left w:type="dxa" w:w="110"/>
              <w:bottom w:type="dxa" w:w="60"/>
              <w:right w:type="dxa" w:w="110"/>
            </w:tcMar>
          </w:tcPr>
          <w:p>
            <w:pPr>
              <w:spacing w:before="0" w:after="0"/>
              <w:jc w:val="center"/>
            </w:pPr>
            <w:r>
              <w:rPr>
                <w:rFonts w:ascii="Calibri" w:cs="Calibri" w:eastAsia="Calibri" w:hAnsi="Calibri"/>
                <w:b w:val="false"/>
                <w:bCs w:val="false"/>
                <w:i w:val="false"/>
                <w:iCs w:val="false"/>
                <w:caps w:val="false"/>
                <w:color w:val="1A1A1A"/>
                <w:sz w:val="18"/>
                <w:szCs w:val="18"/>
              </w:rPr>
              <w:t xml:space="preserve">$200M</w:t>
            </w:r>
          </w:p>
        </w:tc>
        <w:tc>
          <w:tcPr>
            <w:tcW w:type="dxa" w:w="2100"/>
            <w:tcBorders>
              <w:top w:val="single" w:color="D0D0D0" w:sz="3"/>
              <w:left w:val="single" w:color="D0D0D0" w:sz="3"/>
              <w:bottom w:val="single" w:color="D0D0D0" w:sz="3"/>
              <w:right w:val="single" w:color="D0D0D0" w:sz="3"/>
            </w:tcBorders>
            <w:shd w:fill="F5F5F5" w:val="clear"/>
            <w:tcMar>
              <w:top w:type="dxa" w:w="60"/>
              <w:left w:type="dxa" w:w="110"/>
              <w:bottom w:type="dxa" w:w="60"/>
              <w:right w:type="dxa" w:w="110"/>
            </w:tcMar>
          </w:tcPr>
          <w:p>
            <w:pPr>
              <w:spacing w:before="0" w:after="0"/>
              <w:jc w:val="right"/>
            </w:pPr>
            <w:r>
              <w:rPr>
                <w:rFonts w:ascii="Calibri" w:cs="Calibri" w:eastAsia="Calibri" w:hAnsi="Calibri"/>
                <w:b w:val="false"/>
                <w:bCs w:val="false"/>
                <w:i w:val="false"/>
                <w:iCs w:val="false"/>
                <w:caps w:val="false"/>
                <w:color w:val="1A1A1A"/>
                <w:sz w:val="18"/>
                <w:szCs w:val="18"/>
              </w:rPr>
              <w:t xml:space="preserve">98,995</w:t>
            </w:r>
          </w:p>
        </w:tc>
        <w:tc>
          <w:tcPr>
            <w:tcW w:type="dxa" w:w="1880"/>
            <w:tcBorders>
              <w:top w:val="single" w:color="D0D0D0" w:sz="3"/>
              <w:left w:val="single" w:color="D0D0D0" w:sz="3"/>
              <w:bottom w:val="single" w:color="D0D0D0" w:sz="3"/>
              <w:right w:val="single" w:color="D0D0D0" w:sz="3"/>
            </w:tcBorders>
            <w:shd w:fill="F5F5F5" w:val="clear"/>
            <w:tcMar>
              <w:top w:type="dxa" w:w="60"/>
              <w:left w:type="dxa" w:w="110"/>
              <w:bottom w:type="dxa" w:w="60"/>
              <w:right w:type="dxa" w:w="110"/>
            </w:tcMar>
          </w:tcPr>
          <w:p>
            <w:pPr>
              <w:spacing w:before="0" w:after="0"/>
              <w:jc w:val="center"/>
            </w:pPr>
            <w:r>
              <w:rPr>
                <w:rFonts w:ascii="Calibri" w:cs="Calibri" w:eastAsia="Calibri" w:hAnsi="Calibri"/>
                <w:b w:val="false"/>
                <w:bCs w:val="false"/>
                <w:i w:val="false"/>
                <w:iCs w:val="false"/>
                <w:caps w:val="false"/>
                <w:color w:val="1A1A1A"/>
                <w:sz w:val="18"/>
                <w:szCs w:val="18"/>
              </w:rPr>
              <w:t xml:space="preserve">BNP</w:t>
            </w:r>
          </w:p>
        </w:tc>
      </w:tr>
      <w:tr>
        <w:tc>
          <w:tcPr>
            <w:tcW w:type="dxa" w:w="3600"/>
            <w:tcBorders>
              <w:top w:val="single" w:color="D0D0D0" w:sz="3"/>
              <w:left w:val="single" w:color="D0D0D0" w:sz="3"/>
              <w:bottom w:val="single" w:color="D0D0D0" w:sz="3"/>
              <w:right w:val="single" w:color="D0D0D0" w:sz="3"/>
            </w:tcBorders>
            <w:shd w:fill="FFFFFF" w:val="clear"/>
            <w:tcMar>
              <w:top w:type="dxa" w:w="60"/>
              <w:left w:type="dxa" w:w="110"/>
              <w:bottom w:type="dxa" w:w="60"/>
              <w:right w:type="dxa" w:w="110"/>
            </w:tcMar>
          </w:tcPr>
          <w:p>
            <w:pPr>
              <w:spacing w:before="0" w:after="0"/>
              <w:jc w:val="left"/>
            </w:pPr>
            <w:r>
              <w:rPr>
                <w:rFonts w:ascii="Calibri" w:cs="Calibri" w:eastAsia="Calibri" w:hAnsi="Calibri"/>
                <w:b w:val="false"/>
                <w:bCs w:val="false"/>
                <w:i w:val="false"/>
                <w:iCs w:val="false"/>
                <w:caps w:val="false"/>
                <w:color w:val="1A1A1A"/>
                <w:sz w:val="18"/>
                <w:szCs w:val="18"/>
              </w:rPr>
              <w:t xml:space="preserve">River/canal excavation</w:t>
            </w:r>
          </w:p>
        </w:tc>
        <w:tc>
          <w:tcPr>
            <w:tcW w:type="dxa" w:w="1500"/>
            <w:tcBorders>
              <w:top w:val="single" w:color="D0D0D0" w:sz="3"/>
              <w:left w:val="single" w:color="D0D0D0" w:sz="3"/>
              <w:bottom w:val="single" w:color="D0D0D0" w:sz="3"/>
              <w:right w:val="single" w:color="D0D0D0" w:sz="3"/>
            </w:tcBorders>
            <w:shd w:fill="FFFFFF" w:val="clear"/>
            <w:tcMar>
              <w:top w:type="dxa" w:w="60"/>
              <w:left w:type="dxa" w:w="110"/>
              <w:bottom w:type="dxa" w:w="60"/>
              <w:right w:type="dxa" w:w="110"/>
            </w:tcMar>
          </w:tcPr>
          <w:p>
            <w:pPr>
              <w:spacing w:before="0" w:after="0"/>
              <w:jc w:val="center"/>
            </w:pPr>
            <w:r>
              <w:rPr>
                <w:rFonts w:ascii="Calibri" w:cs="Calibri" w:eastAsia="Calibri" w:hAnsi="Calibri"/>
                <w:b w:val="false"/>
                <w:bCs w:val="false"/>
                <w:i w:val="false"/>
                <w:iCs w:val="false"/>
                <w:caps w:val="false"/>
                <w:color w:val="1A1A1A"/>
                <w:sz w:val="18"/>
                <w:szCs w:val="18"/>
              </w:rPr>
              <w:t xml:space="preserve">$200M</w:t>
            </w:r>
          </w:p>
        </w:tc>
        <w:tc>
          <w:tcPr>
            <w:tcW w:type="dxa" w:w="2100"/>
            <w:tcBorders>
              <w:top w:val="single" w:color="D0D0D0" w:sz="3"/>
              <w:left w:val="single" w:color="D0D0D0" w:sz="3"/>
              <w:bottom w:val="single" w:color="D0D0D0" w:sz="3"/>
              <w:right w:val="single" w:color="D0D0D0" w:sz="3"/>
            </w:tcBorders>
            <w:shd w:fill="FFFFFF" w:val="clear"/>
            <w:tcMar>
              <w:top w:type="dxa" w:w="60"/>
              <w:left w:type="dxa" w:w="110"/>
              <w:bottom w:type="dxa" w:w="60"/>
              <w:right w:type="dxa" w:w="110"/>
            </w:tcMar>
          </w:tcPr>
          <w:p>
            <w:pPr>
              <w:spacing w:before="0" w:after="0"/>
              <w:jc w:val="right"/>
            </w:pPr>
            <w:r>
              <w:rPr>
                <w:rFonts w:ascii="Calibri" w:cs="Calibri" w:eastAsia="Calibri" w:hAnsi="Calibri"/>
                <w:b w:val="false"/>
                <w:bCs w:val="false"/>
                <w:i w:val="false"/>
                <w:iCs w:val="false"/>
                <w:caps w:val="false"/>
                <w:color w:val="1A1A1A"/>
                <w:sz w:val="18"/>
                <w:szCs w:val="18"/>
              </w:rPr>
              <w:t xml:space="preserve">21,860</w:t>
            </w:r>
          </w:p>
        </w:tc>
        <w:tc>
          <w:tcPr>
            <w:tcW w:type="dxa" w:w="1880"/>
            <w:tcBorders>
              <w:top w:val="single" w:color="D0D0D0" w:sz="3"/>
              <w:left w:val="single" w:color="D0D0D0" w:sz="3"/>
              <w:bottom w:val="single" w:color="D0D0D0" w:sz="3"/>
              <w:right w:val="single" w:color="D0D0D0" w:sz="3"/>
            </w:tcBorders>
            <w:shd w:fill="FFFFFF" w:val="clear"/>
            <w:tcMar>
              <w:top w:type="dxa" w:w="60"/>
              <w:left w:type="dxa" w:w="110"/>
              <w:bottom w:type="dxa" w:w="60"/>
              <w:right w:type="dxa" w:w="110"/>
            </w:tcMar>
          </w:tcPr>
          <w:p>
            <w:pPr>
              <w:spacing w:before="0" w:after="0"/>
              <w:jc w:val="center"/>
            </w:pPr>
            <w:r>
              <w:rPr>
                <w:rFonts w:ascii="Calibri" w:cs="Calibri" w:eastAsia="Calibri" w:hAnsi="Calibri"/>
                <w:b w:val="false"/>
                <w:bCs w:val="false"/>
                <w:i w:val="false"/>
                <w:iCs w:val="false"/>
                <w:caps w:val="false"/>
                <w:color w:val="1A1A1A"/>
                <w:sz w:val="18"/>
                <w:szCs w:val="18"/>
              </w:rPr>
              <w:t xml:space="preserve">BNP</w:t>
            </w:r>
          </w:p>
        </w:tc>
      </w:tr>
      <w:tr>
        <w:tc>
          <w:tcPr>
            <w:tcW w:type="dxa" w:w="3600"/>
            <w:tcBorders>
              <w:top w:val="single" w:color="D0D0D0" w:sz="3"/>
              <w:left w:val="single" w:color="D0D0D0" w:sz="3"/>
              <w:bottom w:val="single" w:color="D0D0D0" w:sz="3"/>
              <w:right w:val="single" w:color="D0D0D0" w:sz="3"/>
            </w:tcBorders>
            <w:shd w:fill="F5F5F5" w:val="clear"/>
            <w:tcMar>
              <w:top w:type="dxa" w:w="60"/>
              <w:left w:type="dxa" w:w="110"/>
              <w:bottom w:type="dxa" w:w="60"/>
              <w:right w:type="dxa" w:w="110"/>
            </w:tcMar>
          </w:tcPr>
          <w:p>
            <w:pPr>
              <w:spacing w:before="0" w:after="0"/>
              <w:jc w:val="left"/>
            </w:pPr>
            <w:r>
              <w:rPr>
                <w:rFonts w:ascii="Calibri" w:cs="Calibri" w:eastAsia="Calibri" w:hAnsi="Calibri"/>
                <w:b w:val="false"/>
                <w:bCs w:val="false"/>
                <w:i w:val="false"/>
                <w:iCs w:val="false"/>
                <w:caps w:val="false"/>
                <w:color w:val="1A1A1A"/>
                <w:sz w:val="18"/>
                <w:szCs w:val="18"/>
              </w:rPr>
              <w:t xml:space="preserve">Tree planting</w:t>
            </w:r>
          </w:p>
        </w:tc>
        <w:tc>
          <w:tcPr>
            <w:tcW w:type="dxa" w:w="1500"/>
            <w:tcBorders>
              <w:top w:val="single" w:color="D0D0D0" w:sz="3"/>
              <w:left w:val="single" w:color="D0D0D0" w:sz="3"/>
              <w:bottom w:val="single" w:color="D0D0D0" w:sz="3"/>
              <w:right w:val="single" w:color="D0D0D0" w:sz="3"/>
            </w:tcBorders>
            <w:shd w:fill="F5F5F5" w:val="clear"/>
            <w:tcMar>
              <w:top w:type="dxa" w:w="60"/>
              <w:left w:type="dxa" w:w="110"/>
              <w:bottom w:type="dxa" w:w="60"/>
              <w:right w:type="dxa" w:w="110"/>
            </w:tcMar>
          </w:tcPr>
          <w:p>
            <w:pPr>
              <w:spacing w:before="0" w:after="0"/>
              <w:jc w:val="center"/>
            </w:pPr>
            <w:r>
              <w:rPr>
                <w:rFonts w:ascii="Calibri" w:cs="Calibri" w:eastAsia="Calibri" w:hAnsi="Calibri"/>
                <w:b w:val="false"/>
                <w:bCs w:val="false"/>
                <w:i w:val="false"/>
                <w:iCs w:val="false"/>
                <w:caps w:val="false"/>
                <w:color w:val="1A1A1A"/>
                <w:sz w:val="18"/>
                <w:szCs w:val="18"/>
              </w:rPr>
              <w:t xml:space="preserve">$200M</w:t>
            </w:r>
          </w:p>
        </w:tc>
        <w:tc>
          <w:tcPr>
            <w:tcW w:type="dxa" w:w="2100"/>
            <w:tcBorders>
              <w:top w:val="single" w:color="D0D0D0" w:sz="3"/>
              <w:left w:val="single" w:color="D0D0D0" w:sz="3"/>
              <w:bottom w:val="single" w:color="D0D0D0" w:sz="3"/>
              <w:right w:val="single" w:color="D0D0D0" w:sz="3"/>
            </w:tcBorders>
            <w:shd w:fill="F5F5F5" w:val="clear"/>
            <w:tcMar>
              <w:top w:type="dxa" w:w="60"/>
              <w:left w:type="dxa" w:w="110"/>
              <w:bottom w:type="dxa" w:w="60"/>
              <w:right w:type="dxa" w:w="110"/>
            </w:tcMar>
          </w:tcPr>
          <w:p>
            <w:pPr>
              <w:spacing w:before="0" w:after="0"/>
              <w:jc w:val="right"/>
            </w:pPr>
            <w:r>
              <w:rPr>
                <w:rFonts w:ascii="Calibri" w:cs="Calibri" w:eastAsia="Calibri" w:hAnsi="Calibri"/>
                <w:b w:val="false"/>
                <w:bCs w:val="false"/>
                <w:i w:val="false"/>
                <w:iCs w:val="false"/>
                <w:caps w:val="false"/>
                <w:color w:val="1A1A1A"/>
                <w:sz w:val="18"/>
                <w:szCs w:val="18"/>
              </w:rPr>
              <w:t xml:space="preserve">17,480</w:t>
            </w:r>
          </w:p>
        </w:tc>
        <w:tc>
          <w:tcPr>
            <w:tcW w:type="dxa" w:w="1880"/>
            <w:tcBorders>
              <w:top w:val="single" w:color="D0D0D0" w:sz="3"/>
              <w:left w:val="single" w:color="D0D0D0" w:sz="3"/>
              <w:bottom w:val="single" w:color="D0D0D0" w:sz="3"/>
              <w:right w:val="single" w:color="D0D0D0" w:sz="3"/>
            </w:tcBorders>
            <w:shd w:fill="F5F5F5" w:val="clear"/>
            <w:tcMar>
              <w:top w:type="dxa" w:w="60"/>
              <w:left w:type="dxa" w:w="110"/>
              <w:bottom w:type="dxa" w:w="60"/>
              <w:right w:type="dxa" w:w="110"/>
            </w:tcMar>
          </w:tcPr>
          <w:p>
            <w:pPr>
              <w:spacing w:before="0" w:after="0"/>
              <w:jc w:val="center"/>
            </w:pPr>
            <w:r>
              <w:rPr>
                <w:rFonts w:ascii="Calibri" w:cs="Calibri" w:eastAsia="Calibri" w:hAnsi="Calibri"/>
                <w:b w:val="false"/>
                <w:bCs w:val="false"/>
                <w:i w:val="false"/>
                <w:iCs w:val="false"/>
                <w:caps w:val="false"/>
                <w:color w:val="1A1A1A"/>
                <w:sz w:val="18"/>
                <w:szCs w:val="18"/>
              </w:rPr>
              <w:t xml:space="preserve">BNP</w:t>
            </w:r>
          </w:p>
        </w:tc>
      </w:tr>
      <w:tr>
        <w:tc>
          <w:tcPr>
            <w:tcW w:type="dxa" w:w="3600"/>
            <w:tcBorders>
              <w:top w:val="single" w:color="D0D0D0" w:sz="3"/>
              <w:left w:val="single" w:color="D0D0D0" w:sz="3"/>
              <w:bottom w:val="single" w:color="D0D0D0" w:sz="3"/>
              <w:right w:val="single" w:color="D0D0D0" w:sz="3"/>
            </w:tcBorders>
            <w:shd w:fill="FFFFFF" w:val="clear"/>
            <w:tcMar>
              <w:top w:type="dxa" w:w="60"/>
              <w:left w:type="dxa" w:w="110"/>
              <w:bottom w:type="dxa" w:w="60"/>
              <w:right w:type="dxa" w:w="110"/>
            </w:tcMar>
          </w:tcPr>
          <w:p>
            <w:pPr>
              <w:spacing w:before="0" w:after="0"/>
              <w:jc w:val="left"/>
            </w:pPr>
            <w:r>
              <w:rPr>
                <w:rFonts w:ascii="Calibri" w:cs="Calibri" w:eastAsia="Calibri" w:hAnsi="Calibri"/>
                <w:b w:val="false"/>
                <w:bCs w:val="false"/>
                <w:i w:val="false"/>
                <w:iCs w:val="false"/>
                <w:caps w:val="false"/>
                <w:color w:val="1A1A1A"/>
                <w:sz w:val="18"/>
                <w:szCs w:val="18"/>
              </w:rPr>
              <w:t xml:space="preserve">Synergy bonus</w:t>
            </w:r>
          </w:p>
        </w:tc>
        <w:tc>
          <w:tcPr>
            <w:tcW w:type="dxa" w:w="1500"/>
            <w:tcBorders>
              <w:top w:val="single" w:color="D0D0D0" w:sz="3"/>
              <w:left w:val="single" w:color="D0D0D0" w:sz="3"/>
              <w:bottom w:val="single" w:color="D0D0D0" w:sz="3"/>
              <w:right w:val="single" w:color="D0D0D0" w:sz="3"/>
            </w:tcBorders>
            <w:shd w:fill="FFFFFF" w:val="clear"/>
            <w:tcMar>
              <w:top w:type="dxa" w:w="60"/>
              <w:left w:type="dxa" w:w="110"/>
              <w:bottom w:type="dxa" w:w="60"/>
              <w:right w:type="dxa" w:w="110"/>
            </w:tcMar>
          </w:tcPr>
          <w:p>
            <w:pPr>
              <w:spacing w:before="0" w:after="0"/>
              <w:jc w:val="center"/>
            </w:pPr>
            <w:r>
              <w:rPr>
                <w:rFonts w:ascii="Calibri" w:cs="Calibri" w:eastAsia="Calibri" w:hAnsi="Calibri"/>
                <w:b w:val="false"/>
                <w:bCs w:val="false"/>
                <w:i w:val="false"/>
                <w:iCs w:val="false"/>
                <w:caps w:val="false"/>
                <w:color w:val="1A1A1A"/>
                <w:sz w:val="18"/>
                <w:szCs w:val="18"/>
              </w:rPr>
              <w:t xml:space="preserve">—</w:t>
            </w:r>
          </w:p>
        </w:tc>
        <w:tc>
          <w:tcPr>
            <w:tcW w:type="dxa" w:w="2100"/>
            <w:tcBorders>
              <w:top w:val="single" w:color="D0D0D0" w:sz="3"/>
              <w:left w:val="single" w:color="D0D0D0" w:sz="3"/>
              <w:bottom w:val="single" w:color="D0D0D0" w:sz="3"/>
              <w:right w:val="single" w:color="D0D0D0" w:sz="3"/>
            </w:tcBorders>
            <w:shd w:fill="FFFFFF" w:val="clear"/>
            <w:tcMar>
              <w:top w:type="dxa" w:w="60"/>
              <w:left w:type="dxa" w:w="110"/>
              <w:bottom w:type="dxa" w:w="60"/>
              <w:right w:type="dxa" w:w="110"/>
            </w:tcMar>
          </w:tcPr>
          <w:p>
            <w:pPr>
              <w:spacing w:before="0" w:after="0"/>
              <w:jc w:val="right"/>
            </w:pPr>
            <w:r>
              <w:rPr>
                <w:rFonts w:ascii="Calibri" w:cs="Calibri" w:eastAsia="Calibri" w:hAnsi="Calibri"/>
                <w:b w:val="false"/>
                <w:bCs w:val="false"/>
                <w:i w:val="false"/>
                <w:iCs w:val="false"/>
                <w:caps w:val="false"/>
                <w:color w:val="1A1A1A"/>
                <w:sz w:val="18"/>
                <w:szCs w:val="18"/>
              </w:rPr>
              <w:t xml:space="preserve">+1,519,946</w:t>
            </w:r>
          </w:p>
        </w:tc>
        <w:tc>
          <w:tcPr>
            <w:tcW w:type="dxa" w:w="1880"/>
            <w:tcBorders>
              <w:top w:val="single" w:color="D0D0D0" w:sz="3"/>
              <w:left w:val="single" w:color="D0D0D0" w:sz="3"/>
              <w:bottom w:val="single" w:color="D0D0D0" w:sz="3"/>
              <w:right w:val="single" w:color="D0D0D0" w:sz="3"/>
            </w:tcBorders>
            <w:shd w:fill="FFFFFF" w:val="clear"/>
            <w:tcMar>
              <w:top w:type="dxa" w:w="60"/>
              <w:left w:type="dxa" w:w="110"/>
              <w:bottom w:type="dxa" w:w="60"/>
              <w:right w:type="dxa" w:w="110"/>
            </w:tcMar>
          </w:tcPr>
          <w:p>
            <w:pPr>
              <w:spacing w:before="0" w:after="0"/>
              <w:jc w:val="center"/>
            </w:pPr>
            <w:r>
              <w:rPr>
                <w:rFonts w:ascii="Calibri" w:cs="Calibri" w:eastAsia="Calibri" w:hAnsi="Calibri"/>
                <w:b w:val="false"/>
                <w:bCs w:val="false"/>
                <w:i w:val="false"/>
                <w:iCs w:val="false"/>
                <w:caps w:val="false"/>
                <w:color w:val="1A1A1A"/>
                <w:sz w:val="18"/>
                <w:szCs w:val="18"/>
              </w:rPr>
              <w:t xml:space="preserve">—</w:t>
            </w:r>
          </w:p>
        </w:tc>
      </w:tr>
      <w:tr>
        <w:tc>
          <w:tcPr>
            <w:tcW w:type="dxa" w:w="3600"/>
            <w:tcBorders>
              <w:top w:val="single" w:color="1B4F72" w:sz="4"/>
              <w:left w:val="single" w:color="1B4F72" w:sz="4"/>
              <w:bottom w:val="single" w:color="1B4F72" w:sz="4"/>
              <w:right w:val="single" w:color="1B4F72" w:sz="4"/>
            </w:tcBorders>
            <w:shd w:fill="1B4F72" w:val="clear"/>
            <w:tcMar>
              <w:top w:type="dxa" w:w="70"/>
              <w:left w:type="dxa" w:w="120"/>
              <w:bottom w:type="dxa" w:w="70"/>
              <w:right w:type="dxa" w:w="120"/>
            </w:tcMar>
          </w:tcPr>
          <w:p>
            <w:pPr>
              <w:spacing w:before="0" w:after="0"/>
              <w:jc w:val="center"/>
            </w:pPr>
            <w:r>
              <w:rPr>
                <w:rFonts w:ascii="Calibri" w:cs="Calibri" w:eastAsia="Calibri" w:hAnsi="Calibri"/>
                <w:b/>
                <w:bCs/>
                <w:i w:val="false"/>
                <w:iCs w:val="false"/>
                <w:caps w:val="false"/>
                <w:color w:val="FFFFFF"/>
                <w:sz w:val="18"/>
                <w:szCs w:val="18"/>
              </w:rPr>
              <w:t xml:space="preserve">GRAND TOTAL</w:t>
            </w:r>
          </w:p>
        </w:tc>
        <w:tc>
          <w:tcPr>
            <w:tcW w:type="dxa" w:w="1500"/>
            <w:tcBorders>
              <w:top w:val="single" w:color="1B4F72" w:sz="4"/>
              <w:left w:val="single" w:color="1B4F72" w:sz="4"/>
              <w:bottom w:val="single" w:color="1B4F72" w:sz="4"/>
              <w:right w:val="single" w:color="1B4F72" w:sz="4"/>
            </w:tcBorders>
            <w:shd w:fill="1B4F72" w:val="clear"/>
            <w:tcMar>
              <w:top w:type="dxa" w:w="70"/>
              <w:left w:type="dxa" w:w="120"/>
              <w:bottom w:type="dxa" w:w="70"/>
              <w:right w:type="dxa" w:w="120"/>
            </w:tcMar>
          </w:tcPr>
          <w:p>
            <w:pPr>
              <w:spacing w:before="0" w:after="0"/>
              <w:jc w:val="center"/>
            </w:pPr>
            <w:r>
              <w:rPr>
                <w:rFonts w:ascii="Calibri" w:cs="Calibri" w:eastAsia="Calibri" w:hAnsi="Calibri"/>
                <w:b/>
                <w:bCs/>
                <w:i w:val="false"/>
                <w:iCs w:val="false"/>
                <w:caps w:val="false"/>
                <w:color w:val="FFFFFF"/>
                <w:sz w:val="18"/>
                <w:szCs w:val="18"/>
              </w:rPr>
              <w:t xml:space="preserve">$7,999M</w:t>
            </w:r>
          </w:p>
        </w:tc>
        <w:tc>
          <w:tcPr>
            <w:tcW w:type="dxa" w:w="2100"/>
            <w:tcBorders>
              <w:top w:val="single" w:color="1B4F72" w:sz="4"/>
              <w:left w:val="single" w:color="1B4F72" w:sz="4"/>
              <w:bottom w:val="single" w:color="1B4F72" w:sz="4"/>
              <w:right w:val="single" w:color="1B4F72" w:sz="4"/>
            </w:tcBorders>
            <w:shd w:fill="1B4F72" w:val="clear"/>
            <w:tcMar>
              <w:top w:type="dxa" w:w="70"/>
              <w:left w:type="dxa" w:w="120"/>
              <w:bottom w:type="dxa" w:w="70"/>
              <w:right w:type="dxa" w:w="120"/>
            </w:tcMar>
          </w:tcPr>
          <w:p>
            <w:pPr>
              <w:spacing w:before="0" w:after="0"/>
              <w:jc w:val="center"/>
            </w:pPr>
            <w:r>
              <w:rPr>
                <w:rFonts w:ascii="Calibri" w:cs="Calibri" w:eastAsia="Calibri" w:hAnsi="Calibri"/>
                <w:b/>
                <w:bCs/>
                <w:i w:val="false"/>
                <w:iCs w:val="false"/>
                <w:caps w:val="false"/>
                <w:color w:val="FFFFFF"/>
                <w:sz w:val="18"/>
                <w:szCs w:val="18"/>
              </w:rPr>
              <w:t xml:space="preserve">22,163,566</w:t>
            </w:r>
          </w:p>
        </w:tc>
        <w:tc>
          <w:tcPr>
            <w:tcW w:type="dxa" w:w="1880"/>
            <w:tcBorders>
              <w:top w:val="single" w:color="1B4F72" w:sz="4"/>
              <w:left w:val="single" w:color="1B4F72" w:sz="4"/>
              <w:bottom w:val="single" w:color="1B4F72" w:sz="4"/>
              <w:right w:val="single" w:color="1B4F72" w:sz="4"/>
            </w:tcBorders>
            <w:shd w:fill="1B4F72" w:val="clear"/>
            <w:tcMar>
              <w:top w:type="dxa" w:w="70"/>
              <w:left w:type="dxa" w:w="120"/>
              <w:bottom w:type="dxa" w:w="70"/>
              <w:right w:type="dxa" w:w="120"/>
            </w:tcMar>
          </w:tcPr>
          <w:p>
            <w:pPr>
              <w:spacing w:before="0" w:after="0"/>
              <w:jc w:val="center"/>
            </w:pPr>
            <w:r>
              <w:rPr>
                <w:rFonts w:ascii="Calibri" w:cs="Calibri" w:eastAsia="Calibri" w:hAnsi="Calibri"/>
                <w:b/>
                <w:bCs/>
                <w:i w:val="false"/>
                <w:iCs w:val="false"/>
                <w:caps w:val="false"/>
                <w:color w:val="FFFFFF"/>
                <w:sz w:val="18"/>
                <w:szCs w:val="18"/>
              </w:rPr>
              <w:t xml:space="preserve">100% deficit + 23% buffer</w:t>
            </w:r>
          </w:p>
        </w:tc>
      </w:tr>
    </w:tbl>
    <w:p>
      <w:pPr>
        <w:spacing w:before="0" w:after="120"/>
      </w:pPr>
      <w:r>
        <w:rPr>
          <w:rFonts w:ascii="Calibri" w:cs="Calibri" w:eastAsia="Calibri" w:hAnsi="Calibri"/>
          <w:b w:val="false"/>
          <w:bCs w:val="false"/>
          <w:i w:val="false"/>
          <w:iCs w:val="false"/>
          <w:caps w:val="false"/>
          <w:color w:val="1A1A1A"/>
          <w:sz w:val="22"/>
          <w:szCs w:val="22"/>
        </w:rPr>
        <w:t xml:space="preserve"/>
      </w:r>
    </w:p>
    <w:p>
      <w:pPr>
        <w:spacing w:before="0" w:after="160" w:line="276"/>
        <w:jc w:val="both"/>
      </w:pPr>
      <w:r>
        <w:rPr>
          <w:rFonts w:ascii="Calibri" w:cs="Calibri" w:eastAsia="Calibri" w:hAnsi="Calibri"/>
          <w:b w:val="false"/>
          <w:bCs w:val="false"/>
          <w:i w:val="false"/>
          <w:iCs w:val="false"/>
          <w:caps w:val="false"/>
          <w:color w:val="1A1A1A"/>
          <w:sz w:val="22"/>
          <w:szCs w:val="22"/>
        </w:rPr>
        <w:t xml:space="preserve">The single largest allocation — $1.8 billion — goes to fortified school feeding, and for good reason. Every dollar spent on feeding produces immediate, measurable impact: children receive meals today, not next year. In a country where childhood stunting affects 28% of children under five, a guaranteed source of protein and micronutrients at school breaks the malnutrition cycle at its most critical point (Global Nutrition Report). When a stunted child grows into a stunted adult, their economic productivity is permanently reduced by an estimated 20–22% (Victora et al.). Feeding programs do not just fill stomachs — they protect the next generation’s earning potential and cognitive development. The limitation is that these benefits vanish the moment funding stops. This is why feeding must be paired with capital investments that outlast any single government’s budget.</w:t>
      </w:r>
    </w:p>
    <w:p>
      <w:pPr>
        <w:spacing w:before="0" w:after="160" w:line="276"/>
        <w:jc w:val="both"/>
      </w:pPr>
      <w:r>
        <w:rPr>
          <w:rFonts w:ascii="Calibri" w:cs="Calibri" w:eastAsia="Calibri" w:hAnsi="Calibri"/>
          <w:b w:val="false"/>
          <w:bCs w:val="false"/>
          <w:i w:val="false"/>
          <w:iCs w:val="false"/>
          <w:caps w:val="false"/>
          <w:color w:val="1A1A1A"/>
          <w:sz w:val="22"/>
          <w:szCs w:val="22"/>
        </w:rPr>
        <w:t xml:space="preserve">Saline-tolerant rice receives $1.5 billion because it addresses the root cause of hunger along Bangladesh’s 580-kilometer coastline. Rising sea levels have pushed saltwater into the Ganges-Brahmaputra delta, contaminating the soil that millions of farming families depend on. Each year, the salinity line moves further inland. Farmers who once harvested two crops per year now struggle to grow one, and many have abandoned their land entirely, migrating to Dhaka’s already overcrowded slums. Deploying BRRI dhan97 and dhan99 — varieties specifically bred to thrive in saline soil — across one million coastal hectares would reverse this migration pattern and restore productivity in regions where food insecurity is most severe. Unlike feeding programs, once these seeds are adopted, farmers replant them season after season. The model projects 45 million person-years of food security from this single investment over 20 years — the highest long-term return of any policy tested.</w:t>
      </w:r>
    </w:p>
    <w:p>
      <w:pPr>
        <w:spacing w:before="0" w:after="160" w:line="276"/>
        <w:jc w:val="both"/>
      </w:pPr>
      <w:r>
        <w:rPr>
          <w:rFonts w:ascii="Calibri" w:cs="Calibri" w:eastAsia="Calibri" w:hAnsi="Calibri"/>
          <w:b w:val="false"/>
          <w:bCs w:val="false"/>
          <w:i w:val="false"/>
          <w:iCs w:val="false"/>
          <w:caps w:val="false"/>
          <w:color w:val="1A1A1A"/>
          <w:sz w:val="22"/>
          <w:szCs w:val="22"/>
        </w:rPr>
        <w:t xml:space="preserve">Post-harvest storage ($1.2 billion) targets the most infuriating dimension of Bangladesh’s hunger problem: food that has already been grown but never reaches anyone’s plate. Over 11% of Bangladesh’s rice harvest is currently lost to insects, moisture, and mold during storage — enough to feed approximately 2.3 million people per year. Hermetic storage bags, which seal grain in airtight containers that suffocate pests without pesticides, reduce these losses to under 1%. The technology is simple, inexpensive, and proven — it has already been piloted successfully by the BAU/ADM Institute. Distributing these bags nationwide eliminates a source of food loss that is entirely preventable, producing 38 million person-years of food security at 32,014 people per dollar invested over 20 years — the highest per-dollar efficiency in the model.</w:t>
      </w:r>
    </w:p>
    <w:p>
      <w:pPr>
        <w:spacing w:before="0" w:after="160" w:line="276"/>
        <w:jc w:val="both"/>
      </w:pPr>
      <w:r>
        <w:rPr>
          <w:rFonts w:ascii="Calibri" w:cs="Calibri" w:eastAsia="Calibri" w:hAnsi="Calibri"/>
          <w:b w:val="false"/>
          <w:bCs w:val="false"/>
          <w:i w:val="false"/>
          <w:iCs w:val="false"/>
          <w:caps w:val="false"/>
          <w:color w:val="1A1A1A"/>
          <w:sz w:val="22"/>
          <w:szCs w:val="22"/>
        </w:rPr>
        <w:t xml:space="preserve">The model measures impact in the number of people fed, but the stronger effect is on Bangladesh’s structural climate vulnerability. Saline-tolerant rice directly counteracts saltwater intrusion — one of the primary mechanisms through which climate change destroys food production. AWD irrigation ($1.0 billion) reduces water dependence during increasingly erratic monsoons, meaning that when rainfall patterns shift, farmers are not helpless — a critical advantage given that 65% of the Brahmaputra’s dry-season flow originates from Himalayan glaciers that have lost 21% of their area in three decades and are melting at double the rate they were in 2000 (ICIMOD, “HKH Glacier Outlook”; “Rapid Himalayan Ice Melt”). Flood-tolerant rice protects harvests during the monsoon floods that climate models project will intensify by 30% over the coming decades (Jihan et al.). River and canal excavation ($200 million) reduces flood duration by 20%, lowering the physical damage that each climate shock inflicts. Tree planting ($200 million) stabilizes riverbanks, prevents erosion, and creates a biological buffer against storm surges. None of these effects show up as “people fed” in the model’s output, but they compound over time — each one reduces the probability and severity of the next climate shock.</w:t>
      </w:r>
    </w:p>
    <w:p>
      <w:pPr>
        <w:spacing w:before="0" w:after="160" w:line="276"/>
        <w:jc w:val="both"/>
      </w:pPr>
      <w:r>
        <w:rPr>
          <w:rFonts w:ascii="Calibri" w:cs="Calibri" w:eastAsia="Calibri" w:hAnsi="Calibri"/>
          <w:b w:val="false"/>
          <w:bCs w:val="false"/>
          <w:i w:val="false"/>
          <w:iCs w:val="false"/>
          <w:caps w:val="false"/>
          <w:color w:val="1A1A1A"/>
          <w:sz w:val="22"/>
          <w:szCs w:val="22"/>
        </w:rPr>
        <w:t xml:space="preserve">The Farmers Card proposed by the BNP — bundling insurance, subsidies, loans, and fair market prices — addresses the behavioral side of climate vulnerability. When farmers know they will be compensated for flood losses, they are more likely to invest in improved seeds, better storage, and new techniques. Without insurance, a rational farmer avoids risk, sticks with traditional varieties, and farms conservatively. Insurance unlocks the adoption of every other policy in the model. This is why the model’s synergy term between farmer insurance and flood-tolerant rice is significant: insurance removes the financial barrier that prevents farmers from planting improved varieties they know perform better.</w:t>
      </w:r>
    </w:p>
    <w:p>
      <w:pPr>
        <w:spacing w:before="0" w:after="160" w:line="276"/>
        <w:jc w:val="both"/>
      </w:pPr>
      <w:r>
        <w:rPr>
          <w:rFonts w:ascii="Calibri" w:cs="Calibri" w:eastAsia="Calibri" w:hAnsi="Calibri"/>
          <w:b w:val="false"/>
          <w:bCs w:val="false"/>
          <w:i w:val="false"/>
          <w:iCs w:val="false"/>
          <w:caps w:val="false"/>
          <w:color w:val="1A1A1A"/>
          <w:sz w:val="22"/>
          <w:szCs w:val="22"/>
        </w:rPr>
        <w:t xml:space="preserve">The multi-year simulation reveals the most important strategic insight. All 11 capital policies — every rice variety, every storage bag, every irrigation upgrade — can be fully funded within just two years at a total cost of $11.2 billion. After year two, only operational programs (feeding and insurance) require continued annual spending of $2.8 billion. During the five-year investment period, the entire undernourishment deficit is closed: 24.6 million people-equivalents of food security are generated annually against a target of 18 million, providing a 23% resilience buffer. Over 20 years, the model projects 218 million person-years of food security at a cost of $112 per person-year — well below the $285 annual food cost benchmark (WFP, “Bangladesh Market Monitor”).</w:t>
      </w:r>
    </w:p>
    <w:p>
      <w:pPr>
        <w:spacing w:before="120" w:after="80"/>
        <w:jc w:val="center"/>
      </w:pPr>
      <w:r>
        <w:rPr>
          <w:rFonts w:ascii="Calibri" w:cs="Calibri" w:eastAsia="Calibri" w:hAnsi="Calibri"/>
          <w:b/>
          <w:bCs/>
          <w:i/>
          <w:iCs/>
          <w:caps w:val="false"/>
          <w:color w:val="555555"/>
          <w:sz w:val="19"/>
          <w:szCs w:val="19"/>
        </w:rPr>
        <w:t xml:space="preserve">Table 3. 20-Year Impact Trajectory — Capital vs. Operational Policies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100"/>
        <w:gridCol w:w="2100"/>
        <w:gridCol w:w="1580"/>
        <w:gridCol w:w="2100"/>
      </w:tblGrid>
      <w:tr>
        <w:trPr>
          <w:tblHeader/>
        </w:trPr>
        <w:tc>
          <w:tcPr>
            <w:tcW w:type="dxa" w:w="12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tcPr>
          <w:p>
            <w:pPr>
              <w:spacing w:before="0" w:after="0"/>
              <w:jc w:val="center"/>
            </w:pPr>
            <w:r>
              <w:rPr>
                <w:rFonts w:ascii="Calibri" w:cs="Calibri" w:eastAsia="Calibri" w:hAnsi="Calibri"/>
                <w:b/>
                <w:bCs/>
                <w:i w:val="false"/>
                <w:iCs w:val="false"/>
                <w:caps w:val="false"/>
                <w:color w:val="FFFFFF"/>
                <w:sz w:val="18"/>
                <w:szCs w:val="18"/>
              </w:rPr>
              <w:t xml:space="preserve">Year</w:t>
            </w:r>
          </w:p>
        </w:tc>
        <w:tc>
          <w:tcPr>
            <w:tcW w:type="dxa" w:w="21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tcPr>
          <w:p>
            <w:pPr>
              <w:spacing w:before="0" w:after="0"/>
              <w:jc w:val="center"/>
            </w:pPr>
            <w:r>
              <w:rPr>
                <w:rFonts w:ascii="Calibri" w:cs="Calibri" w:eastAsia="Calibri" w:hAnsi="Calibri"/>
                <w:b/>
                <w:bCs/>
                <w:i w:val="false"/>
                <w:iCs w:val="false"/>
                <w:caps w:val="false"/>
                <w:color w:val="FFFFFF"/>
                <w:sz w:val="18"/>
                <w:szCs w:val="18"/>
              </w:rPr>
              <w:t xml:space="preserve">Capital Impact</w:t>
            </w:r>
          </w:p>
        </w:tc>
        <w:tc>
          <w:tcPr>
            <w:tcW w:type="dxa" w:w="21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tcPr>
          <w:p>
            <w:pPr>
              <w:spacing w:before="0" w:after="0"/>
              <w:jc w:val="center"/>
            </w:pPr>
            <w:r>
              <w:rPr>
                <w:rFonts w:ascii="Calibri" w:cs="Calibri" w:eastAsia="Calibri" w:hAnsi="Calibri"/>
                <w:b/>
                <w:bCs/>
                <w:i w:val="false"/>
                <w:iCs w:val="false"/>
                <w:caps w:val="false"/>
                <w:color w:val="FFFFFF"/>
                <w:sz w:val="18"/>
                <w:szCs w:val="18"/>
              </w:rPr>
              <w:t xml:space="preserve">Operational Impact</w:t>
            </w:r>
          </w:p>
        </w:tc>
        <w:tc>
          <w:tcPr>
            <w:tcW w:type="dxa" w:w="158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tcPr>
          <w:p>
            <w:pPr>
              <w:spacing w:before="0" w:after="0"/>
              <w:jc w:val="center"/>
            </w:pPr>
            <w:r>
              <w:rPr>
                <w:rFonts w:ascii="Calibri" w:cs="Calibri" w:eastAsia="Calibri" w:hAnsi="Calibri"/>
                <w:b/>
                <w:bCs/>
                <w:i w:val="false"/>
                <w:iCs w:val="false"/>
                <w:caps w:val="false"/>
                <w:color w:val="FFFFFF"/>
                <w:sz w:val="18"/>
                <w:szCs w:val="18"/>
              </w:rPr>
              <w:t xml:space="preserve">Synergy</w:t>
            </w:r>
          </w:p>
        </w:tc>
        <w:tc>
          <w:tcPr>
            <w:tcW w:type="dxa" w:w="21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tcPr>
          <w:p>
            <w:pPr>
              <w:spacing w:before="0" w:after="0"/>
              <w:jc w:val="center"/>
            </w:pPr>
            <w:r>
              <w:rPr>
                <w:rFonts w:ascii="Calibri" w:cs="Calibri" w:eastAsia="Calibri" w:hAnsi="Calibri"/>
                <w:b/>
                <w:bCs/>
                <w:i w:val="false"/>
                <w:iCs w:val="false"/>
                <w:caps w:val="false"/>
                <w:color w:val="FFFFFF"/>
                <w:sz w:val="18"/>
                <w:szCs w:val="18"/>
              </w:rPr>
              <w:t xml:space="preserve">Total (% of Deficit)</w:t>
            </w:r>
          </w:p>
        </w:tc>
      </w:tr>
      <w:tr>
        <w:tc>
          <w:tcPr>
            <w:tcW w:type="dxa" w:w="1200"/>
            <w:tcBorders>
              <w:top w:val="single" w:color="D0D0D0" w:sz="3"/>
              <w:left w:val="single" w:color="D0D0D0" w:sz="3"/>
              <w:bottom w:val="single" w:color="D0D0D0" w:sz="3"/>
              <w:right w:val="single" w:color="D0D0D0" w:sz="3"/>
            </w:tcBorders>
            <w:shd w:fill="FFFFFF" w:val="clear"/>
            <w:tcMar>
              <w:top w:type="dxa" w:w="60"/>
              <w:left w:type="dxa" w:w="110"/>
              <w:bottom w:type="dxa" w:w="60"/>
              <w:right w:type="dxa" w:w="110"/>
            </w:tcMar>
          </w:tcPr>
          <w:p>
            <w:pPr>
              <w:spacing w:before="0" w:after="0"/>
              <w:jc w:val="center"/>
            </w:pPr>
            <w:r>
              <w:rPr>
                <w:rFonts w:ascii="Calibri" w:cs="Calibri" w:eastAsia="Calibri" w:hAnsi="Calibri"/>
                <w:b w:val="false"/>
                <w:bCs w:val="false"/>
                <w:i w:val="false"/>
                <w:iCs w:val="false"/>
                <w:caps w:val="false"/>
                <w:color w:val="1A1A1A"/>
                <w:sz w:val="18"/>
                <w:szCs w:val="18"/>
              </w:rPr>
              <w:t xml:space="preserve">1</w:t>
            </w:r>
          </w:p>
        </w:tc>
        <w:tc>
          <w:tcPr>
            <w:tcW w:type="dxa" w:w="2100"/>
            <w:tcBorders>
              <w:top w:val="single" w:color="D0D0D0" w:sz="3"/>
              <w:left w:val="single" w:color="D0D0D0" w:sz="3"/>
              <w:bottom w:val="single" w:color="D0D0D0" w:sz="3"/>
              <w:right w:val="single" w:color="D0D0D0" w:sz="3"/>
            </w:tcBorders>
            <w:shd w:fill="FFFFFF" w:val="clear"/>
            <w:tcMar>
              <w:top w:type="dxa" w:w="60"/>
              <w:left w:type="dxa" w:w="110"/>
              <w:bottom w:type="dxa" w:w="60"/>
              <w:right w:type="dxa" w:w="110"/>
            </w:tcMar>
          </w:tcPr>
          <w:p>
            <w:pPr>
              <w:spacing w:before="0" w:after="0"/>
              <w:jc w:val="right"/>
            </w:pPr>
            <w:r>
              <w:rPr>
                <w:rFonts w:ascii="Calibri" w:cs="Calibri" w:eastAsia="Calibri" w:hAnsi="Calibri"/>
                <w:b w:val="false"/>
                <w:bCs w:val="false"/>
                <w:i w:val="false"/>
                <w:iCs w:val="false"/>
                <w:caps w:val="false"/>
                <w:color w:val="1A1A1A"/>
                <w:sz w:val="18"/>
                <w:szCs w:val="18"/>
              </w:rPr>
              <w:t xml:space="preserve">9,072,260</w:t>
            </w:r>
          </w:p>
        </w:tc>
        <w:tc>
          <w:tcPr>
            <w:tcW w:type="dxa" w:w="2100"/>
            <w:tcBorders>
              <w:top w:val="single" w:color="D0D0D0" w:sz="3"/>
              <w:left w:val="single" w:color="D0D0D0" w:sz="3"/>
              <w:bottom w:val="single" w:color="D0D0D0" w:sz="3"/>
              <w:right w:val="single" w:color="D0D0D0" w:sz="3"/>
            </w:tcBorders>
            <w:shd w:fill="FFFFFF" w:val="clear"/>
            <w:tcMar>
              <w:top w:type="dxa" w:w="60"/>
              <w:left w:type="dxa" w:w="110"/>
              <w:bottom w:type="dxa" w:w="60"/>
              <w:right w:type="dxa" w:w="110"/>
            </w:tcMar>
          </w:tcPr>
          <w:p>
            <w:pPr>
              <w:spacing w:before="0" w:after="0"/>
              <w:jc w:val="right"/>
            </w:pPr>
            <w:r>
              <w:rPr>
                <w:rFonts w:ascii="Calibri" w:cs="Calibri" w:eastAsia="Calibri" w:hAnsi="Calibri"/>
                <w:b w:val="false"/>
                <w:bCs w:val="false"/>
                <w:i w:val="false"/>
                <w:iCs w:val="false"/>
                <w:caps w:val="false"/>
                <w:color w:val="1A1A1A"/>
                <w:sz w:val="18"/>
                <w:szCs w:val="18"/>
              </w:rPr>
              <w:t xml:space="preserve">11,571,360</w:t>
            </w:r>
          </w:p>
        </w:tc>
        <w:tc>
          <w:tcPr>
            <w:tcW w:type="dxa" w:w="1580"/>
            <w:tcBorders>
              <w:top w:val="single" w:color="D0D0D0" w:sz="3"/>
              <w:left w:val="single" w:color="D0D0D0" w:sz="3"/>
              <w:bottom w:val="single" w:color="D0D0D0" w:sz="3"/>
              <w:right w:val="single" w:color="D0D0D0" w:sz="3"/>
            </w:tcBorders>
            <w:shd w:fill="FFFFFF" w:val="clear"/>
            <w:tcMar>
              <w:top w:type="dxa" w:w="60"/>
              <w:left w:type="dxa" w:w="110"/>
              <w:bottom w:type="dxa" w:w="60"/>
              <w:right w:type="dxa" w:w="110"/>
            </w:tcMar>
          </w:tcPr>
          <w:p>
            <w:pPr>
              <w:spacing w:before="0" w:after="0"/>
              <w:jc w:val="right"/>
            </w:pPr>
            <w:r>
              <w:rPr>
                <w:rFonts w:ascii="Calibri" w:cs="Calibri" w:eastAsia="Calibri" w:hAnsi="Calibri"/>
                <w:b w:val="false"/>
                <w:bCs w:val="false"/>
                <w:i w:val="false"/>
                <w:iCs w:val="false"/>
                <w:caps w:val="false"/>
                <w:color w:val="1A1A1A"/>
                <w:sz w:val="18"/>
                <w:szCs w:val="18"/>
              </w:rPr>
              <w:t xml:space="preserve">1,682,768</w:t>
            </w:r>
          </w:p>
        </w:tc>
        <w:tc>
          <w:tcPr>
            <w:tcW w:type="dxa" w:w="2100"/>
            <w:tcBorders>
              <w:top w:val="single" w:color="D0D0D0" w:sz="3"/>
              <w:left w:val="single" w:color="D0D0D0" w:sz="3"/>
              <w:bottom w:val="single" w:color="D0D0D0" w:sz="3"/>
              <w:right w:val="single" w:color="D0D0D0" w:sz="3"/>
            </w:tcBorders>
            <w:shd w:fill="FFFFFF" w:val="clear"/>
            <w:tcMar>
              <w:top w:type="dxa" w:w="60"/>
              <w:left w:type="dxa" w:w="110"/>
              <w:bottom w:type="dxa" w:w="60"/>
              <w:right w:type="dxa" w:w="110"/>
            </w:tcMar>
          </w:tcPr>
          <w:p>
            <w:pPr>
              <w:spacing w:before="0" w:after="0"/>
              <w:jc w:val="left"/>
            </w:pPr>
            <w:r>
              <w:rPr>
                <w:rFonts w:ascii="Calibri" w:cs="Calibri" w:eastAsia="Calibri" w:hAnsi="Calibri"/>
                <w:b w:val="false"/>
                <w:bCs w:val="false"/>
                <w:i w:val="false"/>
                <w:iCs w:val="false"/>
                <w:caps w:val="false"/>
                <w:color w:val="1A1A1A"/>
                <w:sz w:val="18"/>
                <w:szCs w:val="18"/>
              </w:rPr>
              <w:t xml:space="preserve">22,326,387 (100%)</w:t>
            </w:r>
          </w:p>
        </w:tc>
      </w:tr>
      <w:tr>
        <w:tc>
          <w:tcPr>
            <w:tcW w:type="dxa" w:w="1200"/>
            <w:tcBorders>
              <w:top w:val="single" w:color="D0D0D0" w:sz="3"/>
              <w:left w:val="single" w:color="D0D0D0" w:sz="3"/>
              <w:bottom w:val="single" w:color="D0D0D0" w:sz="3"/>
              <w:right w:val="single" w:color="D0D0D0" w:sz="3"/>
            </w:tcBorders>
            <w:shd w:fill="F5F5F5" w:val="clear"/>
            <w:tcMar>
              <w:top w:type="dxa" w:w="60"/>
              <w:left w:type="dxa" w:w="110"/>
              <w:bottom w:type="dxa" w:w="60"/>
              <w:right w:type="dxa" w:w="110"/>
            </w:tcMar>
          </w:tcPr>
          <w:p>
            <w:pPr>
              <w:spacing w:before="0" w:after="0"/>
              <w:jc w:val="center"/>
            </w:pPr>
            <w:r>
              <w:rPr>
                <w:rFonts w:ascii="Calibri" w:cs="Calibri" w:eastAsia="Calibri" w:hAnsi="Calibri"/>
                <w:b w:val="false"/>
                <w:bCs w:val="false"/>
                <w:i w:val="false"/>
                <w:iCs w:val="false"/>
                <w:caps w:val="false"/>
                <w:color w:val="1A1A1A"/>
                <w:sz w:val="18"/>
                <w:szCs w:val="18"/>
              </w:rPr>
              <w:t xml:space="preserve">2</w:t>
            </w:r>
          </w:p>
        </w:tc>
        <w:tc>
          <w:tcPr>
            <w:tcW w:type="dxa" w:w="2100"/>
            <w:tcBorders>
              <w:top w:val="single" w:color="D0D0D0" w:sz="3"/>
              <w:left w:val="single" w:color="D0D0D0" w:sz="3"/>
              <w:bottom w:val="single" w:color="D0D0D0" w:sz="3"/>
              <w:right w:val="single" w:color="D0D0D0" w:sz="3"/>
            </w:tcBorders>
            <w:shd w:fill="F5F5F5" w:val="clear"/>
            <w:tcMar>
              <w:top w:type="dxa" w:w="60"/>
              <w:left w:type="dxa" w:w="110"/>
              <w:bottom w:type="dxa" w:w="60"/>
              <w:right w:type="dxa" w:w="110"/>
            </w:tcMar>
          </w:tcPr>
          <w:p>
            <w:pPr>
              <w:spacing w:before="0" w:after="0"/>
              <w:jc w:val="right"/>
            </w:pPr>
            <w:r>
              <w:rPr>
                <w:rFonts w:ascii="Calibri" w:cs="Calibri" w:eastAsia="Calibri" w:hAnsi="Calibri"/>
                <w:b w:val="false"/>
                <w:bCs w:val="false"/>
                <w:i w:val="false"/>
                <w:iCs w:val="false"/>
                <w:caps w:val="false"/>
                <w:color w:val="1A1A1A"/>
                <w:sz w:val="18"/>
                <w:szCs w:val="18"/>
              </w:rPr>
              <w:t xml:space="preserve">10,289,472</w:t>
            </w:r>
          </w:p>
        </w:tc>
        <w:tc>
          <w:tcPr>
            <w:tcW w:type="dxa" w:w="2100"/>
            <w:tcBorders>
              <w:top w:val="single" w:color="D0D0D0" w:sz="3"/>
              <w:left w:val="single" w:color="D0D0D0" w:sz="3"/>
              <w:bottom w:val="single" w:color="D0D0D0" w:sz="3"/>
              <w:right w:val="single" w:color="D0D0D0" w:sz="3"/>
            </w:tcBorders>
            <w:shd w:fill="F5F5F5" w:val="clear"/>
            <w:tcMar>
              <w:top w:type="dxa" w:w="60"/>
              <w:left w:type="dxa" w:w="110"/>
              <w:bottom w:type="dxa" w:w="60"/>
              <w:right w:type="dxa" w:w="110"/>
            </w:tcMar>
          </w:tcPr>
          <w:p>
            <w:pPr>
              <w:spacing w:before="0" w:after="0"/>
              <w:jc w:val="right"/>
            </w:pPr>
            <w:r>
              <w:rPr>
                <w:rFonts w:ascii="Calibri" w:cs="Calibri" w:eastAsia="Calibri" w:hAnsi="Calibri"/>
                <w:b w:val="false"/>
                <w:bCs w:val="false"/>
                <w:i w:val="false"/>
                <w:iCs w:val="false"/>
                <w:caps w:val="false"/>
                <w:color w:val="1A1A1A"/>
                <w:sz w:val="18"/>
                <w:szCs w:val="18"/>
              </w:rPr>
              <w:t xml:space="preserve">11,693,724</w:t>
            </w:r>
          </w:p>
        </w:tc>
        <w:tc>
          <w:tcPr>
            <w:tcW w:type="dxa" w:w="1580"/>
            <w:tcBorders>
              <w:top w:val="single" w:color="D0D0D0" w:sz="3"/>
              <w:left w:val="single" w:color="D0D0D0" w:sz="3"/>
              <w:bottom w:val="single" w:color="D0D0D0" w:sz="3"/>
              <w:right w:val="single" w:color="D0D0D0" w:sz="3"/>
            </w:tcBorders>
            <w:shd w:fill="F5F5F5" w:val="clear"/>
            <w:tcMar>
              <w:top w:type="dxa" w:w="60"/>
              <w:left w:type="dxa" w:w="110"/>
              <w:bottom w:type="dxa" w:w="60"/>
              <w:right w:type="dxa" w:w="110"/>
            </w:tcMar>
          </w:tcPr>
          <w:p>
            <w:pPr>
              <w:spacing w:before="0" w:after="0"/>
              <w:jc w:val="right"/>
            </w:pPr>
            <w:r>
              <w:rPr>
                <w:rFonts w:ascii="Calibri" w:cs="Calibri" w:eastAsia="Calibri" w:hAnsi="Calibri"/>
                <w:b w:val="false"/>
                <w:bCs w:val="false"/>
                <w:i w:val="false"/>
                <w:iCs w:val="false"/>
                <w:caps w:val="false"/>
                <w:color w:val="1A1A1A"/>
                <w:sz w:val="18"/>
                <w:szCs w:val="18"/>
              </w:rPr>
              <w:t xml:space="preserve">2,628,528</w:t>
            </w:r>
          </w:p>
        </w:tc>
        <w:tc>
          <w:tcPr>
            <w:tcW w:type="dxa" w:w="2100"/>
            <w:tcBorders>
              <w:top w:val="single" w:color="D0D0D0" w:sz="3"/>
              <w:left w:val="single" w:color="D0D0D0" w:sz="3"/>
              <w:bottom w:val="single" w:color="D0D0D0" w:sz="3"/>
              <w:right w:val="single" w:color="D0D0D0" w:sz="3"/>
            </w:tcBorders>
            <w:shd w:fill="F5F5F5" w:val="clear"/>
            <w:tcMar>
              <w:top w:type="dxa" w:w="60"/>
              <w:left w:type="dxa" w:w="110"/>
              <w:bottom w:type="dxa" w:w="60"/>
              <w:right w:type="dxa" w:w="110"/>
            </w:tcMar>
          </w:tcPr>
          <w:p>
            <w:pPr>
              <w:spacing w:before="0" w:after="0"/>
              <w:jc w:val="left"/>
            </w:pPr>
            <w:r>
              <w:rPr>
                <w:rFonts w:ascii="Calibri" w:cs="Calibri" w:eastAsia="Calibri" w:hAnsi="Calibri"/>
                <w:b w:val="false"/>
                <w:bCs w:val="false"/>
                <w:i w:val="false"/>
                <w:iCs w:val="false"/>
                <w:caps w:val="false"/>
                <w:color w:val="1A1A1A"/>
                <w:sz w:val="18"/>
                <w:szCs w:val="18"/>
              </w:rPr>
              <w:t xml:space="preserve">24,611,724 (100%)</w:t>
            </w:r>
          </w:p>
        </w:tc>
      </w:tr>
      <w:tr>
        <w:tc>
          <w:tcPr>
            <w:tcW w:type="dxa" w:w="1200"/>
            <w:tcBorders>
              <w:top w:val="single" w:color="D0D0D0" w:sz="3"/>
              <w:left w:val="single" w:color="D0D0D0" w:sz="3"/>
              <w:bottom w:val="single" w:color="D0D0D0" w:sz="3"/>
              <w:right w:val="single" w:color="D0D0D0" w:sz="3"/>
            </w:tcBorders>
            <w:shd w:fill="FFFFFF" w:val="clear"/>
            <w:tcMar>
              <w:top w:type="dxa" w:w="60"/>
              <w:left w:type="dxa" w:w="110"/>
              <w:bottom w:type="dxa" w:w="60"/>
              <w:right w:type="dxa" w:w="110"/>
            </w:tcMar>
          </w:tcPr>
          <w:p>
            <w:pPr>
              <w:spacing w:before="0" w:after="0"/>
              <w:jc w:val="center"/>
            </w:pPr>
            <w:r>
              <w:rPr>
                <w:rFonts w:ascii="Calibri" w:cs="Calibri" w:eastAsia="Calibri" w:hAnsi="Calibri"/>
                <w:b w:val="false"/>
                <w:bCs w:val="false"/>
                <w:i w:val="false"/>
                <w:iCs w:val="false"/>
                <w:caps w:val="false"/>
                <w:color w:val="1A1A1A"/>
                <w:sz w:val="18"/>
                <w:szCs w:val="18"/>
              </w:rPr>
              <w:t xml:space="preserve">3–5</w:t>
            </w:r>
          </w:p>
        </w:tc>
        <w:tc>
          <w:tcPr>
            <w:tcW w:type="dxa" w:w="2100"/>
            <w:tcBorders>
              <w:top w:val="single" w:color="D0D0D0" w:sz="3"/>
              <w:left w:val="single" w:color="D0D0D0" w:sz="3"/>
              <w:bottom w:val="single" w:color="D0D0D0" w:sz="3"/>
              <w:right w:val="single" w:color="D0D0D0" w:sz="3"/>
            </w:tcBorders>
            <w:shd w:fill="FFFFFF" w:val="clear"/>
            <w:tcMar>
              <w:top w:type="dxa" w:w="60"/>
              <w:left w:type="dxa" w:w="110"/>
              <w:bottom w:type="dxa" w:w="60"/>
              <w:right w:type="dxa" w:w="110"/>
            </w:tcMar>
          </w:tcPr>
          <w:p>
            <w:pPr>
              <w:spacing w:before="0" w:after="0"/>
              <w:jc w:val="right"/>
            </w:pPr>
            <w:r>
              <w:rPr>
                <w:rFonts w:ascii="Calibri" w:cs="Calibri" w:eastAsia="Calibri" w:hAnsi="Calibri"/>
                <w:b w:val="false"/>
                <w:bCs w:val="false"/>
                <w:i w:val="false"/>
                <w:iCs w:val="false"/>
                <w:caps w:val="false"/>
                <w:color w:val="1A1A1A"/>
                <w:sz w:val="18"/>
                <w:szCs w:val="18"/>
              </w:rPr>
              <w:t xml:space="preserve">10,289,486</w:t>
            </w:r>
          </w:p>
        </w:tc>
        <w:tc>
          <w:tcPr>
            <w:tcW w:type="dxa" w:w="2100"/>
            <w:tcBorders>
              <w:top w:val="single" w:color="D0D0D0" w:sz="3"/>
              <w:left w:val="single" w:color="D0D0D0" w:sz="3"/>
              <w:bottom w:val="single" w:color="D0D0D0" w:sz="3"/>
              <w:right w:val="single" w:color="D0D0D0" w:sz="3"/>
            </w:tcBorders>
            <w:shd w:fill="FFFFFF" w:val="clear"/>
            <w:tcMar>
              <w:top w:type="dxa" w:w="60"/>
              <w:left w:type="dxa" w:w="110"/>
              <w:bottom w:type="dxa" w:w="60"/>
              <w:right w:type="dxa" w:w="110"/>
            </w:tcMar>
          </w:tcPr>
          <w:p>
            <w:pPr>
              <w:spacing w:before="0" w:after="0"/>
              <w:jc w:val="right"/>
            </w:pPr>
            <w:r>
              <w:rPr>
                <w:rFonts w:ascii="Calibri" w:cs="Calibri" w:eastAsia="Calibri" w:hAnsi="Calibri"/>
                <w:b w:val="false"/>
                <w:bCs w:val="false"/>
                <w:i w:val="false"/>
                <w:iCs w:val="false"/>
                <w:caps w:val="false"/>
                <w:color w:val="1A1A1A"/>
                <w:sz w:val="18"/>
                <w:szCs w:val="18"/>
              </w:rPr>
              <w:t xml:space="preserve">11,693,724</w:t>
            </w:r>
          </w:p>
        </w:tc>
        <w:tc>
          <w:tcPr>
            <w:tcW w:type="dxa" w:w="1580"/>
            <w:tcBorders>
              <w:top w:val="single" w:color="D0D0D0" w:sz="3"/>
              <w:left w:val="single" w:color="D0D0D0" w:sz="3"/>
              <w:bottom w:val="single" w:color="D0D0D0" w:sz="3"/>
              <w:right w:val="single" w:color="D0D0D0" w:sz="3"/>
            </w:tcBorders>
            <w:shd w:fill="FFFFFF" w:val="clear"/>
            <w:tcMar>
              <w:top w:type="dxa" w:w="60"/>
              <w:left w:type="dxa" w:w="110"/>
              <w:bottom w:type="dxa" w:w="60"/>
              <w:right w:type="dxa" w:w="110"/>
            </w:tcMar>
          </w:tcPr>
          <w:p>
            <w:pPr>
              <w:spacing w:before="0" w:after="0"/>
              <w:jc w:val="right"/>
            </w:pPr>
            <w:r>
              <w:rPr>
                <w:rFonts w:ascii="Calibri" w:cs="Calibri" w:eastAsia="Calibri" w:hAnsi="Calibri"/>
                <w:b w:val="false"/>
                <w:bCs w:val="false"/>
                <w:i w:val="false"/>
                <w:iCs w:val="false"/>
                <w:caps w:val="false"/>
                <w:color w:val="1A1A1A"/>
                <w:sz w:val="18"/>
                <w:szCs w:val="18"/>
              </w:rPr>
              <w:t xml:space="preserve">2,628,546</w:t>
            </w:r>
          </w:p>
        </w:tc>
        <w:tc>
          <w:tcPr>
            <w:tcW w:type="dxa" w:w="2100"/>
            <w:tcBorders>
              <w:top w:val="single" w:color="D0D0D0" w:sz="3"/>
              <w:left w:val="single" w:color="D0D0D0" w:sz="3"/>
              <w:bottom w:val="single" w:color="D0D0D0" w:sz="3"/>
              <w:right w:val="single" w:color="D0D0D0" w:sz="3"/>
            </w:tcBorders>
            <w:shd w:fill="FFFFFF" w:val="clear"/>
            <w:tcMar>
              <w:top w:type="dxa" w:w="60"/>
              <w:left w:type="dxa" w:w="110"/>
              <w:bottom w:type="dxa" w:w="60"/>
              <w:right w:type="dxa" w:w="110"/>
            </w:tcMar>
          </w:tcPr>
          <w:p>
            <w:pPr>
              <w:spacing w:before="0" w:after="0"/>
              <w:jc w:val="left"/>
            </w:pPr>
            <w:r>
              <w:rPr>
                <w:rFonts w:ascii="Calibri" w:cs="Calibri" w:eastAsia="Calibri" w:hAnsi="Calibri"/>
                <w:b w:val="false"/>
                <w:bCs w:val="false"/>
                <w:i w:val="false"/>
                <w:iCs w:val="false"/>
                <w:caps w:val="false"/>
                <w:color w:val="1A1A1A"/>
                <w:sz w:val="18"/>
                <w:szCs w:val="18"/>
              </w:rPr>
              <w:t xml:space="preserve">24,611,755 (100%)</w:t>
            </w:r>
          </w:p>
        </w:tc>
      </w:tr>
      <w:tr>
        <w:tc>
          <w:tcPr>
            <w:tcW w:type="dxa" w:w="1200"/>
            <w:tcBorders>
              <w:top w:val="single" w:color="D0D0D0" w:sz="3"/>
              <w:left w:val="single" w:color="D0D0D0" w:sz="3"/>
              <w:bottom w:val="single" w:color="D0D0D0" w:sz="3"/>
              <w:right w:val="single" w:color="D0D0D0" w:sz="3"/>
            </w:tcBorders>
            <w:shd w:fill="F5F5F5" w:val="clear"/>
            <w:tcMar>
              <w:top w:type="dxa" w:w="60"/>
              <w:left w:type="dxa" w:w="110"/>
              <w:bottom w:type="dxa" w:w="60"/>
              <w:right w:type="dxa" w:w="110"/>
            </w:tcMar>
          </w:tcPr>
          <w:p>
            <w:pPr>
              <w:spacing w:before="0" w:after="0"/>
              <w:jc w:val="center"/>
            </w:pPr>
            <w:r>
              <w:rPr>
                <w:rFonts w:ascii="Calibri" w:cs="Calibri" w:eastAsia="Calibri" w:hAnsi="Calibri"/>
                <w:b w:val="false"/>
                <w:bCs w:val="false"/>
                <w:i w:val="false"/>
                <w:iCs w:val="false"/>
                <w:caps w:val="false"/>
                <w:color w:val="1A1A1A"/>
                <w:sz w:val="18"/>
                <w:szCs w:val="18"/>
              </w:rPr>
              <w:t xml:space="preserve">6 (funding stops)</w:t>
            </w:r>
          </w:p>
        </w:tc>
        <w:tc>
          <w:tcPr>
            <w:tcW w:type="dxa" w:w="2100"/>
            <w:tcBorders>
              <w:top w:val="single" w:color="D0D0D0" w:sz="3"/>
              <w:left w:val="single" w:color="D0D0D0" w:sz="3"/>
              <w:bottom w:val="single" w:color="D0D0D0" w:sz="3"/>
              <w:right w:val="single" w:color="D0D0D0" w:sz="3"/>
            </w:tcBorders>
            <w:shd w:fill="F5F5F5" w:val="clear"/>
            <w:tcMar>
              <w:top w:type="dxa" w:w="60"/>
              <w:left w:type="dxa" w:w="110"/>
              <w:bottom w:type="dxa" w:w="60"/>
              <w:right w:type="dxa" w:w="110"/>
            </w:tcMar>
          </w:tcPr>
          <w:p>
            <w:pPr>
              <w:spacing w:before="0" w:after="0"/>
              <w:jc w:val="right"/>
            </w:pPr>
            <w:r>
              <w:rPr>
                <w:rFonts w:ascii="Calibri" w:cs="Calibri" w:eastAsia="Calibri" w:hAnsi="Calibri"/>
                <w:b w:val="false"/>
                <w:bCs w:val="false"/>
                <w:i w:val="false"/>
                <w:iCs w:val="false"/>
                <w:caps w:val="false"/>
                <w:color w:val="1A1A1A"/>
                <w:sz w:val="18"/>
                <w:szCs w:val="18"/>
              </w:rPr>
              <w:t xml:space="preserve">9,833,229</w:t>
            </w:r>
          </w:p>
        </w:tc>
        <w:tc>
          <w:tcPr>
            <w:tcW w:type="dxa" w:w="2100"/>
            <w:tcBorders>
              <w:top w:val="single" w:color="D0D0D0" w:sz="3"/>
              <w:left w:val="single" w:color="D0D0D0" w:sz="3"/>
              <w:bottom w:val="single" w:color="D0D0D0" w:sz="3"/>
              <w:right w:val="single" w:color="D0D0D0" w:sz="3"/>
            </w:tcBorders>
            <w:shd w:fill="F5F5F5" w:val="clear"/>
            <w:tcMar>
              <w:top w:type="dxa" w:w="60"/>
              <w:left w:type="dxa" w:w="110"/>
              <w:bottom w:type="dxa" w:w="60"/>
              <w:right w:type="dxa" w:w="110"/>
            </w:tcMar>
          </w:tcPr>
          <w:p>
            <w:pPr>
              <w:spacing w:before="0" w:after="0"/>
              <w:jc w:val="right"/>
            </w:pPr>
            <w:r>
              <w:rPr>
                <w:rFonts w:ascii="Calibri" w:cs="Calibri" w:eastAsia="Calibri" w:hAnsi="Calibri"/>
                <w:b w:val="false"/>
                <w:bCs w:val="false"/>
                <w:i w:val="false"/>
                <w:iCs w:val="false"/>
                <w:caps w:val="false"/>
                <w:color w:val="1A1A1A"/>
                <w:sz w:val="18"/>
                <w:szCs w:val="18"/>
              </w:rPr>
              <w:t xml:space="preserve">0</w:t>
            </w:r>
          </w:p>
        </w:tc>
        <w:tc>
          <w:tcPr>
            <w:tcW w:type="dxa" w:w="1580"/>
            <w:tcBorders>
              <w:top w:val="single" w:color="D0D0D0" w:sz="3"/>
              <w:left w:val="single" w:color="D0D0D0" w:sz="3"/>
              <w:bottom w:val="single" w:color="D0D0D0" w:sz="3"/>
              <w:right w:val="single" w:color="D0D0D0" w:sz="3"/>
            </w:tcBorders>
            <w:shd w:fill="F5F5F5" w:val="clear"/>
            <w:tcMar>
              <w:top w:type="dxa" w:w="60"/>
              <w:left w:type="dxa" w:w="110"/>
              <w:bottom w:type="dxa" w:w="60"/>
              <w:right w:type="dxa" w:w="110"/>
            </w:tcMar>
          </w:tcPr>
          <w:p>
            <w:pPr>
              <w:spacing w:before="0" w:after="0"/>
              <w:jc w:val="right"/>
            </w:pPr>
            <w:r>
              <w:rPr>
                <w:rFonts w:ascii="Calibri" w:cs="Calibri" w:eastAsia="Calibri" w:hAnsi="Calibri"/>
                <w:b w:val="false"/>
                <w:bCs w:val="false"/>
                <w:i w:val="false"/>
                <w:iCs w:val="false"/>
                <w:caps w:val="false"/>
                <w:color w:val="1A1A1A"/>
                <w:sz w:val="18"/>
                <w:szCs w:val="18"/>
              </w:rPr>
              <w:t xml:space="preserve">2,156,163</w:t>
            </w:r>
          </w:p>
        </w:tc>
        <w:tc>
          <w:tcPr>
            <w:tcW w:type="dxa" w:w="2100"/>
            <w:tcBorders>
              <w:top w:val="single" w:color="D0D0D0" w:sz="3"/>
              <w:left w:val="single" w:color="D0D0D0" w:sz="3"/>
              <w:bottom w:val="single" w:color="D0D0D0" w:sz="3"/>
              <w:right w:val="single" w:color="D0D0D0" w:sz="3"/>
            </w:tcBorders>
            <w:shd w:fill="F5F5F5" w:val="clear"/>
            <w:tcMar>
              <w:top w:type="dxa" w:w="60"/>
              <w:left w:type="dxa" w:w="110"/>
              <w:bottom w:type="dxa" w:w="60"/>
              <w:right w:type="dxa" w:w="110"/>
            </w:tcMar>
          </w:tcPr>
          <w:p>
            <w:pPr>
              <w:spacing w:before="0" w:after="0"/>
              <w:jc w:val="left"/>
            </w:pPr>
            <w:r>
              <w:rPr>
                <w:rFonts w:ascii="Calibri" w:cs="Calibri" w:eastAsia="Calibri" w:hAnsi="Calibri"/>
                <w:b w:val="false"/>
                <w:bCs w:val="false"/>
                <w:i w:val="false"/>
                <w:iCs w:val="false"/>
                <w:caps w:val="false"/>
                <w:color w:val="1A1A1A"/>
                <w:sz w:val="18"/>
                <w:szCs w:val="18"/>
              </w:rPr>
              <w:t xml:space="preserve">11,989,392 (66.4%)</w:t>
            </w:r>
          </w:p>
        </w:tc>
      </w:tr>
      <w:tr>
        <w:tc>
          <w:tcPr>
            <w:tcW w:type="dxa" w:w="1200"/>
            <w:tcBorders>
              <w:top w:val="single" w:color="D0D0D0" w:sz="3"/>
              <w:left w:val="single" w:color="D0D0D0" w:sz="3"/>
              <w:bottom w:val="single" w:color="D0D0D0" w:sz="3"/>
              <w:right w:val="single" w:color="D0D0D0" w:sz="3"/>
            </w:tcBorders>
            <w:shd w:fill="FFFFFF" w:val="clear"/>
            <w:tcMar>
              <w:top w:type="dxa" w:w="60"/>
              <w:left w:type="dxa" w:w="110"/>
              <w:bottom w:type="dxa" w:w="60"/>
              <w:right w:type="dxa" w:w="110"/>
            </w:tcMar>
          </w:tcPr>
          <w:p>
            <w:pPr>
              <w:spacing w:before="0" w:after="0"/>
              <w:jc w:val="center"/>
            </w:pPr>
            <w:r>
              <w:rPr>
                <w:rFonts w:ascii="Calibri" w:cs="Calibri" w:eastAsia="Calibri" w:hAnsi="Calibri"/>
                <w:b w:val="false"/>
                <w:bCs w:val="false"/>
                <w:i w:val="false"/>
                <w:iCs w:val="false"/>
                <w:caps w:val="false"/>
                <w:color w:val="1A1A1A"/>
                <w:sz w:val="18"/>
                <w:szCs w:val="18"/>
              </w:rPr>
              <w:t xml:space="preserve">10</w:t>
            </w:r>
          </w:p>
        </w:tc>
        <w:tc>
          <w:tcPr>
            <w:tcW w:type="dxa" w:w="2100"/>
            <w:tcBorders>
              <w:top w:val="single" w:color="D0D0D0" w:sz="3"/>
              <w:left w:val="single" w:color="D0D0D0" w:sz="3"/>
              <w:bottom w:val="single" w:color="D0D0D0" w:sz="3"/>
              <w:right w:val="single" w:color="D0D0D0" w:sz="3"/>
            </w:tcBorders>
            <w:shd w:fill="FFFFFF" w:val="clear"/>
            <w:tcMar>
              <w:top w:type="dxa" w:w="60"/>
              <w:left w:type="dxa" w:w="110"/>
              <w:bottom w:type="dxa" w:w="60"/>
              <w:right w:type="dxa" w:w="110"/>
            </w:tcMar>
          </w:tcPr>
          <w:p>
            <w:pPr>
              <w:spacing w:before="0" w:after="0"/>
              <w:jc w:val="right"/>
            </w:pPr>
            <w:r>
              <w:rPr>
                <w:rFonts w:ascii="Calibri" w:cs="Calibri" w:eastAsia="Calibri" w:hAnsi="Calibri"/>
                <w:b w:val="false"/>
                <w:bCs w:val="false"/>
                <w:i w:val="false"/>
                <w:iCs w:val="false"/>
                <w:caps w:val="false"/>
                <w:color w:val="1A1A1A"/>
                <w:sz w:val="18"/>
                <w:szCs w:val="18"/>
              </w:rPr>
              <w:t xml:space="preserve">8,214,713</w:t>
            </w:r>
          </w:p>
        </w:tc>
        <w:tc>
          <w:tcPr>
            <w:tcW w:type="dxa" w:w="2100"/>
            <w:tcBorders>
              <w:top w:val="single" w:color="D0D0D0" w:sz="3"/>
              <w:left w:val="single" w:color="D0D0D0" w:sz="3"/>
              <w:bottom w:val="single" w:color="D0D0D0" w:sz="3"/>
              <w:right w:val="single" w:color="D0D0D0" w:sz="3"/>
            </w:tcBorders>
            <w:shd w:fill="FFFFFF" w:val="clear"/>
            <w:tcMar>
              <w:top w:type="dxa" w:w="60"/>
              <w:left w:type="dxa" w:w="110"/>
              <w:bottom w:type="dxa" w:w="60"/>
              <w:right w:type="dxa" w:w="110"/>
            </w:tcMar>
          </w:tcPr>
          <w:p>
            <w:pPr>
              <w:spacing w:before="0" w:after="0"/>
              <w:jc w:val="right"/>
            </w:pPr>
            <w:r>
              <w:rPr>
                <w:rFonts w:ascii="Calibri" w:cs="Calibri" w:eastAsia="Calibri" w:hAnsi="Calibri"/>
                <w:b w:val="false"/>
                <w:bCs w:val="false"/>
                <w:i w:val="false"/>
                <w:iCs w:val="false"/>
                <w:caps w:val="false"/>
                <w:color w:val="1A1A1A"/>
                <w:sz w:val="18"/>
                <w:szCs w:val="18"/>
              </w:rPr>
              <w:t xml:space="preserve">0</w:t>
            </w:r>
          </w:p>
        </w:tc>
        <w:tc>
          <w:tcPr>
            <w:tcW w:type="dxa" w:w="1580"/>
            <w:tcBorders>
              <w:top w:val="single" w:color="D0D0D0" w:sz="3"/>
              <w:left w:val="single" w:color="D0D0D0" w:sz="3"/>
              <w:bottom w:val="single" w:color="D0D0D0" w:sz="3"/>
              <w:right w:val="single" w:color="D0D0D0" w:sz="3"/>
            </w:tcBorders>
            <w:shd w:fill="FFFFFF" w:val="clear"/>
            <w:tcMar>
              <w:top w:type="dxa" w:w="60"/>
              <w:left w:type="dxa" w:w="110"/>
              <w:bottom w:type="dxa" w:w="60"/>
              <w:right w:type="dxa" w:w="110"/>
            </w:tcMar>
          </w:tcPr>
          <w:p>
            <w:pPr>
              <w:spacing w:before="0" w:after="0"/>
              <w:jc w:val="right"/>
            </w:pPr>
            <w:r>
              <w:rPr>
                <w:rFonts w:ascii="Calibri" w:cs="Calibri" w:eastAsia="Calibri" w:hAnsi="Calibri"/>
                <w:b w:val="false"/>
                <w:bCs w:val="false"/>
                <w:i w:val="false"/>
                <w:iCs w:val="false"/>
                <w:caps w:val="false"/>
                <w:color w:val="1A1A1A"/>
                <w:sz w:val="18"/>
                <w:szCs w:val="18"/>
              </w:rPr>
              <w:t xml:space="preserve">1,438,207</w:t>
            </w:r>
          </w:p>
        </w:tc>
        <w:tc>
          <w:tcPr>
            <w:tcW w:type="dxa" w:w="2100"/>
            <w:tcBorders>
              <w:top w:val="single" w:color="D0D0D0" w:sz="3"/>
              <w:left w:val="single" w:color="D0D0D0" w:sz="3"/>
              <w:bottom w:val="single" w:color="D0D0D0" w:sz="3"/>
              <w:right w:val="single" w:color="D0D0D0" w:sz="3"/>
            </w:tcBorders>
            <w:shd w:fill="FFFFFF" w:val="clear"/>
            <w:tcMar>
              <w:top w:type="dxa" w:w="60"/>
              <w:left w:type="dxa" w:w="110"/>
              <w:bottom w:type="dxa" w:w="60"/>
              <w:right w:type="dxa" w:w="110"/>
            </w:tcMar>
          </w:tcPr>
          <w:p>
            <w:pPr>
              <w:spacing w:before="0" w:after="0"/>
              <w:jc w:val="left"/>
            </w:pPr>
            <w:r>
              <w:rPr>
                <w:rFonts w:ascii="Calibri" w:cs="Calibri" w:eastAsia="Calibri" w:hAnsi="Calibri"/>
                <w:b w:val="false"/>
                <w:bCs w:val="false"/>
                <w:i w:val="false"/>
                <w:iCs w:val="false"/>
                <w:caps w:val="false"/>
                <w:color w:val="1A1A1A"/>
                <w:sz w:val="18"/>
                <w:szCs w:val="18"/>
              </w:rPr>
              <w:t xml:space="preserve">9,652,919 (53.5%)</w:t>
            </w:r>
          </w:p>
        </w:tc>
      </w:tr>
      <w:tr>
        <w:tc>
          <w:tcPr>
            <w:tcW w:type="dxa" w:w="1200"/>
            <w:tcBorders>
              <w:top w:val="single" w:color="D0D0D0" w:sz="3"/>
              <w:left w:val="single" w:color="D0D0D0" w:sz="3"/>
              <w:bottom w:val="single" w:color="D0D0D0" w:sz="3"/>
              <w:right w:val="single" w:color="D0D0D0" w:sz="3"/>
            </w:tcBorders>
            <w:shd w:fill="F5F5F5" w:val="clear"/>
            <w:tcMar>
              <w:top w:type="dxa" w:w="60"/>
              <w:left w:type="dxa" w:w="110"/>
              <w:bottom w:type="dxa" w:w="60"/>
              <w:right w:type="dxa" w:w="110"/>
            </w:tcMar>
          </w:tcPr>
          <w:p>
            <w:pPr>
              <w:spacing w:before="0" w:after="0"/>
              <w:jc w:val="center"/>
            </w:pPr>
            <w:r>
              <w:rPr>
                <w:rFonts w:ascii="Calibri" w:cs="Calibri" w:eastAsia="Calibri" w:hAnsi="Calibri"/>
                <w:b w:val="false"/>
                <w:bCs w:val="false"/>
                <w:i w:val="false"/>
                <w:iCs w:val="false"/>
                <w:caps w:val="false"/>
                <w:color w:val="1A1A1A"/>
                <w:sz w:val="18"/>
                <w:szCs w:val="18"/>
              </w:rPr>
              <w:t xml:space="preserve">15</w:t>
            </w:r>
          </w:p>
        </w:tc>
        <w:tc>
          <w:tcPr>
            <w:tcW w:type="dxa" w:w="2100"/>
            <w:tcBorders>
              <w:top w:val="single" w:color="D0D0D0" w:sz="3"/>
              <w:left w:val="single" w:color="D0D0D0" w:sz="3"/>
              <w:bottom w:val="single" w:color="D0D0D0" w:sz="3"/>
              <w:right w:val="single" w:color="D0D0D0" w:sz="3"/>
            </w:tcBorders>
            <w:shd w:fill="F5F5F5" w:val="clear"/>
            <w:tcMar>
              <w:top w:type="dxa" w:w="60"/>
              <w:left w:type="dxa" w:w="110"/>
              <w:bottom w:type="dxa" w:w="60"/>
              <w:right w:type="dxa" w:w="110"/>
            </w:tcMar>
          </w:tcPr>
          <w:p>
            <w:pPr>
              <w:spacing w:before="0" w:after="0"/>
              <w:jc w:val="right"/>
            </w:pPr>
            <w:r>
              <w:rPr>
                <w:rFonts w:ascii="Calibri" w:cs="Calibri" w:eastAsia="Calibri" w:hAnsi="Calibri"/>
                <w:b w:val="false"/>
                <w:bCs w:val="false"/>
                <w:i w:val="false"/>
                <w:iCs w:val="false"/>
                <w:caps w:val="false"/>
                <w:color w:val="1A1A1A"/>
                <w:sz w:val="18"/>
                <w:szCs w:val="18"/>
              </w:rPr>
              <w:t xml:space="preserve">6,583,707</w:t>
            </w:r>
          </w:p>
        </w:tc>
        <w:tc>
          <w:tcPr>
            <w:tcW w:type="dxa" w:w="2100"/>
            <w:tcBorders>
              <w:top w:val="single" w:color="D0D0D0" w:sz="3"/>
              <w:left w:val="single" w:color="D0D0D0" w:sz="3"/>
              <w:bottom w:val="single" w:color="D0D0D0" w:sz="3"/>
              <w:right w:val="single" w:color="D0D0D0" w:sz="3"/>
            </w:tcBorders>
            <w:shd w:fill="F5F5F5" w:val="clear"/>
            <w:tcMar>
              <w:top w:type="dxa" w:w="60"/>
              <w:left w:type="dxa" w:w="110"/>
              <w:bottom w:type="dxa" w:w="60"/>
              <w:right w:type="dxa" w:w="110"/>
            </w:tcMar>
          </w:tcPr>
          <w:p>
            <w:pPr>
              <w:spacing w:before="0" w:after="0"/>
              <w:jc w:val="right"/>
            </w:pPr>
            <w:r>
              <w:rPr>
                <w:rFonts w:ascii="Calibri" w:cs="Calibri" w:eastAsia="Calibri" w:hAnsi="Calibri"/>
                <w:b w:val="false"/>
                <w:bCs w:val="false"/>
                <w:i w:val="false"/>
                <w:iCs w:val="false"/>
                <w:caps w:val="false"/>
                <w:color w:val="1A1A1A"/>
                <w:sz w:val="18"/>
                <w:szCs w:val="18"/>
              </w:rPr>
              <w:t xml:space="preserve">0</w:t>
            </w:r>
          </w:p>
        </w:tc>
        <w:tc>
          <w:tcPr>
            <w:tcW w:type="dxa" w:w="1580"/>
            <w:tcBorders>
              <w:top w:val="single" w:color="D0D0D0" w:sz="3"/>
              <w:left w:val="single" w:color="D0D0D0" w:sz="3"/>
              <w:bottom w:val="single" w:color="D0D0D0" w:sz="3"/>
              <w:right w:val="single" w:color="D0D0D0" w:sz="3"/>
            </w:tcBorders>
            <w:shd w:fill="F5F5F5" w:val="clear"/>
            <w:tcMar>
              <w:top w:type="dxa" w:w="60"/>
              <w:left w:type="dxa" w:w="110"/>
              <w:bottom w:type="dxa" w:w="60"/>
              <w:right w:type="dxa" w:w="110"/>
            </w:tcMar>
          </w:tcPr>
          <w:p>
            <w:pPr>
              <w:spacing w:before="0" w:after="0"/>
              <w:jc w:val="right"/>
            </w:pPr>
            <w:r>
              <w:rPr>
                <w:rFonts w:ascii="Calibri" w:cs="Calibri" w:eastAsia="Calibri" w:hAnsi="Calibri"/>
                <w:b w:val="false"/>
                <w:bCs w:val="false"/>
                <w:i w:val="false"/>
                <w:iCs w:val="false"/>
                <w:caps w:val="false"/>
                <w:color w:val="1A1A1A"/>
                <w:sz w:val="18"/>
                <w:szCs w:val="18"/>
              </w:rPr>
              <w:t xml:space="preserve">870,223</w:t>
            </w:r>
          </w:p>
        </w:tc>
        <w:tc>
          <w:tcPr>
            <w:tcW w:type="dxa" w:w="2100"/>
            <w:tcBorders>
              <w:top w:val="single" w:color="D0D0D0" w:sz="3"/>
              <w:left w:val="single" w:color="D0D0D0" w:sz="3"/>
              <w:bottom w:val="single" w:color="D0D0D0" w:sz="3"/>
              <w:right w:val="single" w:color="D0D0D0" w:sz="3"/>
            </w:tcBorders>
            <w:shd w:fill="F5F5F5" w:val="clear"/>
            <w:tcMar>
              <w:top w:type="dxa" w:w="60"/>
              <w:left w:type="dxa" w:w="110"/>
              <w:bottom w:type="dxa" w:w="60"/>
              <w:right w:type="dxa" w:w="110"/>
            </w:tcMar>
          </w:tcPr>
          <w:p>
            <w:pPr>
              <w:spacing w:before="0" w:after="0"/>
              <w:jc w:val="left"/>
            </w:pPr>
            <w:r>
              <w:rPr>
                <w:rFonts w:ascii="Calibri" w:cs="Calibri" w:eastAsia="Calibri" w:hAnsi="Calibri"/>
                <w:b w:val="false"/>
                <w:bCs w:val="false"/>
                <w:i w:val="false"/>
                <w:iCs w:val="false"/>
                <w:caps w:val="false"/>
                <w:color w:val="1A1A1A"/>
                <w:sz w:val="18"/>
                <w:szCs w:val="18"/>
              </w:rPr>
              <w:t xml:space="preserve">7,453,930 (41.3%)</w:t>
            </w:r>
          </w:p>
        </w:tc>
      </w:tr>
      <w:tr>
        <w:tc>
          <w:tcPr>
            <w:tcW w:type="dxa" w:w="1200"/>
            <w:tcBorders>
              <w:top w:val="single" w:color="D0D0D0" w:sz="3"/>
              <w:left w:val="single" w:color="D0D0D0" w:sz="3"/>
              <w:bottom w:val="single" w:color="D0D0D0" w:sz="3"/>
              <w:right w:val="single" w:color="D0D0D0" w:sz="3"/>
            </w:tcBorders>
            <w:shd w:fill="FFFFFF" w:val="clear"/>
            <w:tcMar>
              <w:top w:type="dxa" w:w="60"/>
              <w:left w:type="dxa" w:w="110"/>
              <w:bottom w:type="dxa" w:w="60"/>
              <w:right w:type="dxa" w:w="110"/>
            </w:tcMar>
          </w:tcPr>
          <w:p>
            <w:pPr>
              <w:spacing w:before="0" w:after="0"/>
              <w:jc w:val="center"/>
            </w:pPr>
            <w:r>
              <w:rPr>
                <w:rFonts w:ascii="Calibri" w:cs="Calibri" w:eastAsia="Calibri" w:hAnsi="Calibri"/>
                <w:b w:val="false"/>
                <w:bCs w:val="false"/>
                <w:i w:val="false"/>
                <w:iCs w:val="false"/>
                <w:caps w:val="false"/>
                <w:color w:val="1A1A1A"/>
                <w:sz w:val="18"/>
                <w:szCs w:val="18"/>
              </w:rPr>
              <w:t xml:space="preserve">20</w:t>
            </w:r>
          </w:p>
        </w:tc>
        <w:tc>
          <w:tcPr>
            <w:tcW w:type="dxa" w:w="2100"/>
            <w:tcBorders>
              <w:top w:val="single" w:color="D0D0D0" w:sz="3"/>
              <w:left w:val="single" w:color="D0D0D0" w:sz="3"/>
              <w:bottom w:val="single" w:color="D0D0D0" w:sz="3"/>
              <w:right w:val="single" w:color="D0D0D0" w:sz="3"/>
            </w:tcBorders>
            <w:shd w:fill="FFFFFF" w:val="clear"/>
            <w:tcMar>
              <w:top w:type="dxa" w:w="60"/>
              <w:left w:type="dxa" w:w="110"/>
              <w:bottom w:type="dxa" w:w="60"/>
              <w:right w:type="dxa" w:w="110"/>
            </w:tcMar>
          </w:tcPr>
          <w:p>
            <w:pPr>
              <w:spacing w:before="0" w:after="0"/>
              <w:jc w:val="right"/>
            </w:pPr>
            <w:r>
              <w:rPr>
                <w:rFonts w:ascii="Calibri" w:cs="Calibri" w:eastAsia="Calibri" w:hAnsi="Calibri"/>
                <w:b w:val="false"/>
                <w:bCs w:val="false"/>
                <w:i w:val="false"/>
                <w:iCs w:val="false"/>
                <w:caps w:val="false"/>
                <w:color w:val="1A1A1A"/>
                <w:sz w:val="18"/>
                <w:szCs w:val="18"/>
              </w:rPr>
              <w:t xml:space="preserve">5,296,290</w:t>
            </w:r>
          </w:p>
        </w:tc>
        <w:tc>
          <w:tcPr>
            <w:tcW w:type="dxa" w:w="2100"/>
            <w:tcBorders>
              <w:top w:val="single" w:color="D0D0D0" w:sz="3"/>
              <w:left w:val="single" w:color="D0D0D0" w:sz="3"/>
              <w:bottom w:val="single" w:color="D0D0D0" w:sz="3"/>
              <w:right w:val="single" w:color="D0D0D0" w:sz="3"/>
            </w:tcBorders>
            <w:shd w:fill="FFFFFF" w:val="clear"/>
            <w:tcMar>
              <w:top w:type="dxa" w:w="60"/>
              <w:left w:type="dxa" w:w="110"/>
              <w:bottom w:type="dxa" w:w="60"/>
              <w:right w:type="dxa" w:w="110"/>
            </w:tcMar>
          </w:tcPr>
          <w:p>
            <w:pPr>
              <w:spacing w:before="0" w:after="0"/>
              <w:jc w:val="right"/>
            </w:pPr>
            <w:r>
              <w:rPr>
                <w:rFonts w:ascii="Calibri" w:cs="Calibri" w:eastAsia="Calibri" w:hAnsi="Calibri"/>
                <w:b w:val="false"/>
                <w:bCs w:val="false"/>
                <w:i w:val="false"/>
                <w:iCs w:val="false"/>
                <w:caps w:val="false"/>
                <w:color w:val="1A1A1A"/>
                <w:sz w:val="18"/>
                <w:szCs w:val="18"/>
              </w:rPr>
              <w:t xml:space="preserve">0</w:t>
            </w:r>
          </w:p>
        </w:tc>
        <w:tc>
          <w:tcPr>
            <w:tcW w:type="dxa" w:w="1580"/>
            <w:tcBorders>
              <w:top w:val="single" w:color="D0D0D0" w:sz="3"/>
              <w:left w:val="single" w:color="D0D0D0" w:sz="3"/>
              <w:bottom w:val="single" w:color="D0D0D0" w:sz="3"/>
              <w:right w:val="single" w:color="D0D0D0" w:sz="3"/>
            </w:tcBorders>
            <w:shd w:fill="FFFFFF" w:val="clear"/>
            <w:tcMar>
              <w:top w:type="dxa" w:w="60"/>
              <w:left w:type="dxa" w:w="110"/>
              <w:bottom w:type="dxa" w:w="60"/>
              <w:right w:type="dxa" w:w="110"/>
            </w:tcMar>
          </w:tcPr>
          <w:p>
            <w:pPr>
              <w:spacing w:before="0" w:after="0"/>
              <w:jc w:val="right"/>
            </w:pPr>
            <w:r>
              <w:rPr>
                <w:rFonts w:ascii="Calibri" w:cs="Calibri" w:eastAsia="Calibri" w:hAnsi="Calibri"/>
                <w:b w:val="false"/>
                <w:bCs w:val="false"/>
                <w:i w:val="false"/>
                <w:iCs w:val="false"/>
                <w:caps w:val="false"/>
                <w:color w:val="1A1A1A"/>
                <w:sz w:val="18"/>
                <w:szCs w:val="18"/>
              </w:rPr>
              <w:t xml:space="preserve">528,536</w:t>
            </w:r>
          </w:p>
        </w:tc>
        <w:tc>
          <w:tcPr>
            <w:tcW w:type="dxa" w:w="2100"/>
            <w:tcBorders>
              <w:top w:val="single" w:color="D0D0D0" w:sz="3"/>
              <w:left w:val="single" w:color="D0D0D0" w:sz="3"/>
              <w:bottom w:val="single" w:color="D0D0D0" w:sz="3"/>
              <w:right w:val="single" w:color="D0D0D0" w:sz="3"/>
            </w:tcBorders>
            <w:shd w:fill="FFFFFF" w:val="clear"/>
            <w:tcMar>
              <w:top w:type="dxa" w:w="60"/>
              <w:left w:type="dxa" w:w="110"/>
              <w:bottom w:type="dxa" w:w="60"/>
              <w:right w:type="dxa" w:w="110"/>
            </w:tcMar>
          </w:tcPr>
          <w:p>
            <w:pPr>
              <w:spacing w:before="0" w:after="0"/>
              <w:jc w:val="left"/>
            </w:pPr>
            <w:r>
              <w:rPr>
                <w:rFonts w:ascii="Calibri" w:cs="Calibri" w:eastAsia="Calibri" w:hAnsi="Calibri"/>
                <w:b w:val="false"/>
                <w:bCs w:val="false"/>
                <w:i w:val="false"/>
                <w:iCs w:val="false"/>
                <w:caps w:val="false"/>
                <w:color w:val="1A1A1A"/>
                <w:sz w:val="18"/>
                <w:szCs w:val="18"/>
              </w:rPr>
              <w:t xml:space="preserve">5,824,826 (32.3%)</w:t>
            </w:r>
          </w:p>
        </w:tc>
      </w:tr>
    </w:tbl>
    <w:p>
      <w:pPr>
        <w:spacing w:before="0" w:after="120"/>
      </w:pPr>
      <w:r>
        <w:rPr>
          <w:rFonts w:ascii="Calibri" w:cs="Calibri" w:eastAsia="Calibri" w:hAnsi="Calibri"/>
          <w:b w:val="false"/>
          <w:bCs w:val="false"/>
          <w:i w:val="false"/>
          <w:iCs w:val="false"/>
          <w:caps w:val="false"/>
          <w:color w:val="1A1A1A"/>
          <w:sz w:val="22"/>
          <w:szCs w:val="22"/>
        </w:rPr>
        <w:t xml:space="preserve"/>
      </w:r>
    </w:p>
    <w:p>
      <w:pPr>
        <w:spacing w:before="0" w:after="160" w:line="276"/>
        <w:jc w:val="both"/>
      </w:pPr>
      <w:r>
        <w:rPr>
          <w:rFonts w:ascii="Calibri" w:cs="Calibri" w:eastAsia="Calibri" w:hAnsi="Calibri"/>
          <w:b w:val="false"/>
          <w:bCs w:val="false"/>
          <w:i w:val="false"/>
          <w:iCs w:val="false"/>
          <w:caps w:val="false"/>
          <w:color w:val="1A1A1A"/>
          <w:sz w:val="22"/>
          <w:szCs w:val="22"/>
        </w:rPr>
        <w:t xml:space="preserve">The critical finding is what happens in year six, when the BNP’s term ends, and operational budgets become uncertain. Impact drops 51% overnight as feeding and insurance programs lose funding. But capital investments — the rice varieties, the storage bags, the irrigation infrastructure — keep producing. At year 20, capital alone still covers 32.3% of the deficit, feeding 5.8 million people from investments made 15 years earlier. This is the central argument for front-loading: a single five-year term of disciplined capital investment creates food security that persists for a generation, regardless of what the next government decides.</w:t>
      </w:r>
    </w:p>
    <w:p>
      <w:pPr>
        <w:spacing w:before="0" w:after="160" w:line="276"/>
        <w:jc w:val="both"/>
      </w:pPr>
      <w:r>
        <w:rPr>
          <w:rFonts w:ascii="Calibri" w:cs="Calibri" w:eastAsia="Calibri" w:hAnsi="Calibri"/>
          <w:b w:val="false"/>
          <w:bCs w:val="false"/>
          <w:i w:val="false"/>
          <w:iCs w:val="false"/>
          <w:caps w:val="false"/>
          <w:color w:val="1A1A1A"/>
          <w:sz w:val="22"/>
          <w:szCs w:val="22"/>
        </w:rPr>
        <w:t xml:space="preserve">There are real limitations. The model assumes implementation efficiency at 80% of theoretical capacity — corruption, delays, and administrative overhead will reduce realized outcomes. Bangladesh ranks 149th out of 180 countries on Transparency International’s Corruption Perceptions Index (Transparency International). Operational programs produce zero impact once funding stops, creating a “vulnerability cliff” that the successor government inherits. The model treats policies as partially independent; in practice, governance quality and community engagement determine whether paper allocations translate to real results.</w:t>
      </w:r>
    </w:p>
    <w:p>
      <w:pPr>
        <w:spacing w:before="0" w:after="160" w:line="276"/>
        <w:jc w:val="both"/>
      </w:pPr>
      <w:r>
        <w:rPr>
          <w:rFonts w:ascii="Calibri" w:cs="Calibri" w:eastAsia="Calibri" w:hAnsi="Calibri"/>
          <w:b w:val="false"/>
          <w:bCs w:val="false"/>
          <w:i w:val="false"/>
          <w:iCs w:val="false"/>
          <w:caps w:val="false"/>
          <w:color w:val="1A1A1A"/>
          <w:sz w:val="22"/>
          <w:szCs w:val="22"/>
        </w:rPr>
        <w:t xml:space="preserve">Cultural norms must be considered. Approximately 75% of Bangladesh’s arable land is dedicated to rice cultivation, and the agricultural workforce is deeply traditional (Ahmed and Bhandari). Persuading farmers to adopt saline-tolerant varieties or AWD irrigation requires extensive extension services, not just seed distribution. Gender dynamics matter: women manage much of the household food preparation and garden cultivation, so programs that ignore women’s roles will underperform. The BNP’s political rivalry with the Awami League constrains which programs can realistically be continued, which is why the model includes a 40% discount on Awami-era BDP 2100 policies and a 35% funding floor for BNP priorities.</w:t>
      </w:r>
    </w:p>
    <w:p>
      <w:pPr>
        <w:spacing w:before="0" w:after="160" w:line="276"/>
        <w:jc w:val="both"/>
      </w:pPr>
      <w:r>
        <w:rPr>
          <w:rFonts w:ascii="Calibri" w:cs="Calibri" w:eastAsia="Calibri" w:hAnsi="Calibri"/>
          <w:b w:val="false"/>
          <w:bCs w:val="false"/>
          <w:i w:val="false"/>
          <w:iCs w:val="false"/>
          <w:caps w:val="false"/>
          <w:color w:val="1A1A1A"/>
          <w:sz w:val="22"/>
          <w:szCs w:val="22"/>
        </w:rPr>
        <w:t xml:space="preserve">Funding comes from the existing BDP 2100 framework (discounted for political risk), guaranteed international aid from the World Bank, ADB, Green Climate Fund, and projected FDI growth. No new taxes or borrowing are required — the money is already committed; the question is how to spend it. Implementation would flow through the Ministry of Agriculture, the Bangladesh Water Development Board, the Department of Disaster Management, and international partners, including the World Bank, ADB, WFP, and IRRI.</w:t>
      </w:r>
    </w:p>
    <w:p>
      <w:pPr>
        <w:spacing w:before="0" w:after="160" w:line="276"/>
        <w:jc w:val="both"/>
      </w:pPr>
      <w:r>
        <w:rPr>
          <w:rFonts w:ascii="Calibri" w:cs="Calibri" w:eastAsia="Calibri" w:hAnsi="Calibri"/>
          <w:b w:val="false"/>
          <w:bCs w:val="false"/>
          <w:i w:val="false"/>
          <w:iCs w:val="false"/>
          <w:caps w:val="false"/>
          <w:color w:val="1A1A1A"/>
          <w:sz w:val="22"/>
          <w:szCs w:val="22"/>
        </w:rPr>
        <w:t xml:space="preserve">The strongest resource Bangladesh has in its favor is its people. With 173 million citizens, a large agricultural workforce, and a generation of climate adaptation experience built since Cyclone Sidr, Bangladesh has the human capital to implement these policies at scale. The BNP manifesto explicitly commits to tree planting, river excavation, renewable energy, and farmer insurance — all of which appear in the model (Hossain and Abbas). This alignment between political priorities and evidence-based allocation means the recommendation is not just technically optimal but politically feasible.</w:t>
      </w:r>
    </w:p>
    <w:p>
      <w:pPr>
        <w:spacing w:before="0" w:after="160" w:line="276"/>
        <w:jc w:val="both"/>
      </w:pPr>
      <w:r>
        <w:rPr>
          <w:rFonts w:ascii="Calibri" w:cs="Calibri" w:eastAsia="Calibri" w:hAnsi="Calibri"/>
          <w:b w:val="false"/>
          <w:bCs w:val="false"/>
          <w:i w:val="false"/>
          <w:iCs w:val="false"/>
          <w:caps w:val="false"/>
          <w:color w:val="1A1A1A"/>
          <w:sz w:val="22"/>
          <w:szCs w:val="22"/>
        </w:rPr>
        <w:t xml:space="preserve">The central lesson is clear: Bangladesh does not need to choose between political feasibility and technical efficiency. A single five-year term of disciplined, front-loaded investment can generate food security gains that persist for a generation — even if the next government changes course.</w:t>
      </w:r>
    </w:p>
    <w:p>
      <w:pPr>
        <w:pBdr>
          <w:bottom w:val="single" w:color="8B6914" w:sz="6" w:space="4"/>
        </w:pBdr>
        <w:spacing w:before="280" w:after="120"/>
      </w:pPr>
      <w:r>
        <w:rPr>
          <w:rFonts w:ascii="Calibri" w:cs="Calibri" w:eastAsia="Calibri" w:hAnsi="Calibri"/>
          <w:b/>
          <w:bCs/>
          <w:i w:val="false"/>
          <w:iCs w:val="false"/>
          <w:caps w:val="false"/>
          <w:color w:val="1B4F72"/>
          <w:sz w:val="22"/>
          <w:szCs w:val="22"/>
        </w:rPr>
        <w:t xml:space="preserve">CONCLUSION</w:t>
      </w:r>
    </w:p>
    <w:p>
      <w:pPr>
        <w:spacing w:before="0" w:after="160" w:line="276"/>
        <w:jc w:val="both"/>
      </w:pPr>
      <w:r>
        <w:rPr>
          <w:rFonts w:ascii="Calibri" w:cs="Calibri" w:eastAsia="Calibri" w:hAnsi="Calibri"/>
          <w:b w:val="false"/>
          <w:bCs w:val="false"/>
          <w:i w:val="false"/>
          <w:iCs w:val="false"/>
          <w:caps w:val="false"/>
          <w:color w:val="1A1A1A"/>
          <w:sz w:val="22"/>
          <w:szCs w:val="22"/>
        </w:rPr>
        <w:t xml:space="preserve">Bangladesh was dealt a difficult hand. A very low elevation for most of the country, coupled with the world’s largest river delta and decades of political turmoil, ensures a road of challenges on the way to climate resiliency. In America, a natural disaster is an inconvenience. In Bangladesh, a single extreme weather event can eliminate decades of adaptation progress and endanger the lives of millions.</w:t>
      </w:r>
    </w:p>
    <w:p>
      <w:pPr>
        <w:spacing w:before="0" w:after="160" w:line="276"/>
        <w:jc w:val="both"/>
      </w:pPr>
      <w:r>
        <w:rPr>
          <w:rFonts w:ascii="Calibri" w:cs="Calibri" w:eastAsia="Calibri" w:hAnsi="Calibri"/>
          <w:b w:val="false"/>
          <w:bCs w:val="false"/>
          <w:i w:val="false"/>
          <w:iCs w:val="false"/>
          <w:caps w:val="false"/>
          <w:color w:val="1A1A1A"/>
          <w:sz w:val="22"/>
          <w:szCs w:val="22"/>
        </w:rPr>
        <w:t xml:space="preserve">However, the data shows that these challenges are solvable. My model demonstrates that $11.2 billion in capital investments over two years can permanently lift 18 million people out of undernourishment, and the benefits persist for a generation — 5.8 million people remain food-secure at year 20 from investments made during a single government term. Climate-tolerant crops reverse the damage that saltwater intrusion and flooding inflict on harvests. Early warning systems and insurance keep farmers on their land. Feeding programs protect children from the stunting that would permanently reduce their productivity as adults.</w:t>
      </w:r>
    </w:p>
    <w:p>
      <w:pPr>
        <w:spacing w:before="0" w:after="160" w:line="276"/>
        <w:jc w:val="both"/>
      </w:pPr>
      <w:r>
        <w:rPr>
          <w:rFonts w:ascii="Calibri" w:cs="Calibri" w:eastAsia="Calibri" w:hAnsi="Calibri"/>
          <w:b w:val="false"/>
          <w:bCs w:val="false"/>
          <w:i w:val="false"/>
          <w:iCs w:val="false"/>
          <w:caps w:val="false"/>
          <w:color w:val="1A1A1A"/>
          <w:sz w:val="22"/>
          <w:szCs w:val="22"/>
        </w:rPr>
        <w:t xml:space="preserve">I am hopeful for the new government. The Bangladesh National Party is cracking down on corruption and improving the operational efficiency of the government. However, they ought to maintain the majority of existing climate adaptation structures for diplomacy and funding. Cutting programs such as BDP 2100 seems politically enticing, but, in reality, it would sever close relationships with powerful allies and deplete Bangladesh’s already limited funding. Therefore, I call for Tarique Rahman and the leaders of the BNP to keep building upon the foundation that the interim government, led by Muhammad Yunus, began to construct after decades of degradation. I also call upon them to divert the majority of attracted Foreign Direct Investment into building climate resiliency, as it is the most critical issue of the present time.</w:t>
      </w:r>
    </w:p>
    <w:p>
      <w:pPr>
        <w:spacing w:before="0" w:after="320" w:line="276"/>
        <w:jc w:val="both"/>
      </w:pPr>
      <w:r>
        <w:rPr>
          <w:rFonts w:ascii="Calibri" w:cs="Calibri" w:eastAsia="Calibri" w:hAnsi="Calibri"/>
          <w:b/>
          <w:bCs/>
          <w:i w:val="false"/>
          <w:iCs w:val="false"/>
          <w:caps w:val="false"/>
          <w:color w:val="1B4F72"/>
          <w:sz w:val="22"/>
          <w:szCs w:val="22"/>
        </w:rPr>
        <w:t xml:space="preserve">As we have seen in historical trends, a period of stagnation is not stability — it is accumulated fragility.</w:t>
      </w:r>
    </w:p>
    <w:p>
      <w:pPr>
        <w:pBdr>
          <w:bottom w:val="single" w:color="8B6914" w:sz="6" w:space="4"/>
        </w:pBdr>
        <w:spacing w:before="280" w:after="120"/>
      </w:pPr>
      <w:r>
        <w:rPr>
          <w:rFonts w:ascii="Calibri" w:cs="Calibri" w:eastAsia="Calibri" w:hAnsi="Calibri"/>
          <w:b/>
          <w:bCs/>
          <w:i w:val="false"/>
          <w:iCs w:val="false"/>
          <w:caps w:val="false"/>
          <w:color w:val="1B4F72"/>
          <w:sz w:val="22"/>
          <w:szCs w:val="22"/>
        </w:rPr>
        <w:t xml:space="preserve">WORKS CITED</w:t>
      </w:r>
    </w:p>
    <w:p>
      <w:pPr>
        <w:spacing w:before="0" w:after="100" w:line="252"/>
        <w:ind w:left="720" w:hanging="720"/>
      </w:pPr>
      <w:r>
        <w:rPr>
          <w:rFonts w:ascii="Calibri" w:cs="Calibri" w:eastAsia="Calibri" w:hAnsi="Calibri"/>
          <w:b w:val="false"/>
          <w:bCs w:val="false"/>
          <w:i w:val="false"/>
          <w:iCs w:val="false"/>
          <w:caps w:val="false"/>
          <w:color w:val="1A1A1A"/>
          <w:sz w:val="18"/>
          <w:szCs w:val="18"/>
        </w:rPr>
        <w:t xml:space="preserve">Ahmed, Sharif, and Humnath Bhandari. “Diversifying Cropping for Sustainable Farming: Challenges and Opportunities in Bangladesh.” Rice Today, International Rice Research Institute, ricetoday.irri.org/diversifying-cropping-for-sustainable-farming-challenges-and-opportunities-in-bangladesh/. Accessed 6 Mar. 2026.</w:t>
      </w:r>
    </w:p>
    <w:p>
      <w:pPr>
        <w:spacing w:before="0" w:after="100" w:line="252"/>
        <w:ind w:left="720" w:hanging="720"/>
      </w:pPr>
      <w:r>
        <w:rPr>
          <w:rFonts w:ascii="Calibri" w:cs="Calibri" w:eastAsia="Calibri" w:hAnsi="Calibri"/>
          <w:b w:val="false"/>
          <w:bCs w:val="false"/>
          <w:i w:val="false"/>
          <w:iCs w:val="false"/>
          <w:caps w:val="false"/>
          <w:color w:val="1A1A1A"/>
          <w:sz w:val="18"/>
          <w:szCs w:val="18"/>
        </w:rPr>
        <w:t xml:space="preserve">“Average Household Size — Bangladesh.” ArcGIS, Esri, www.arcgis.com/home/item.html?id=692cee7e5a5e47dd86531ab0c6a00cff. Accessed 6 Mar. 2026.</w:t>
      </w:r>
    </w:p>
    <w:p>
      <w:pPr>
        <w:spacing w:before="0" w:after="100" w:line="252"/>
        <w:ind w:left="720" w:hanging="720"/>
      </w:pPr>
      <w:r>
        <w:rPr>
          <w:rFonts w:ascii="Calibri" w:cs="Calibri" w:eastAsia="Calibri" w:hAnsi="Calibri"/>
          <w:b w:val="false"/>
          <w:bCs w:val="false"/>
          <w:i w:val="false"/>
          <w:iCs w:val="false"/>
          <w:caps w:val="false"/>
          <w:color w:val="1A1A1A"/>
          <w:sz w:val="18"/>
          <w:szCs w:val="18"/>
        </w:rPr>
        <w:t xml:space="preserve">“Average Salary in Bangladesh.” Wage Indicator Foundation, wage.is/bangladesh/. Accessed 6 Mar. 2026.</w:t>
      </w:r>
    </w:p>
    <w:p>
      <w:pPr>
        <w:spacing w:before="0" w:after="100" w:line="252"/>
        <w:ind w:left="720" w:hanging="720"/>
      </w:pPr>
      <w:r>
        <w:rPr>
          <w:rFonts w:ascii="Calibri" w:cs="Calibri" w:eastAsia="Calibri" w:hAnsi="Calibri"/>
          <w:b w:val="false"/>
          <w:bCs w:val="false"/>
          <w:i w:val="false"/>
          <w:iCs w:val="false"/>
          <w:caps w:val="false"/>
          <w:color w:val="1A1A1A"/>
          <w:sz w:val="18"/>
          <w:szCs w:val="18"/>
        </w:rPr>
        <w:t xml:space="preserve">Bangladesh Meteorological Department. “Monsoon Rainfall.” BMD, www.bmd.gov.bd/p/Monsoon-Rainfall. Accessed 6 Mar. 2026.</w:t>
      </w:r>
    </w:p>
    <w:p>
      <w:pPr>
        <w:spacing w:before="0" w:after="100" w:line="252"/>
        <w:ind w:left="720" w:hanging="720"/>
      </w:pPr>
      <w:r>
        <w:rPr>
          <w:rFonts w:ascii="Calibri" w:cs="Calibri" w:eastAsia="Calibri" w:hAnsi="Calibri"/>
          <w:b w:val="false"/>
          <w:bCs w:val="false"/>
          <w:i w:val="false"/>
          <w:iCs w:val="false"/>
          <w:caps w:val="false"/>
          <w:color w:val="1A1A1A"/>
          <w:sz w:val="18"/>
          <w:szCs w:val="18"/>
        </w:rPr>
        <w:t xml:space="preserve">“Bangladesh Agricultural Insurance Solutions Appraisal Technical Report.” World Bank, documents.worldbank.org/en/publication/documents-reports/documentdetail/418491545057956149/bangladesh-agricultural-insurance-solutions-appraisal-technical-report. Accessed 6 Mar. 2026.</w:t>
      </w:r>
    </w:p>
    <w:p>
      <w:pPr>
        <w:spacing w:before="0" w:after="100" w:line="252"/>
        <w:ind w:left="720" w:hanging="720"/>
      </w:pPr>
      <w:r>
        <w:rPr>
          <w:rFonts w:ascii="Calibri" w:cs="Calibri" w:eastAsia="Calibri" w:hAnsi="Calibri"/>
          <w:b w:val="false"/>
          <w:bCs w:val="false"/>
          <w:i w:val="false"/>
          <w:iCs w:val="false"/>
          <w:caps w:val="false"/>
          <w:color w:val="1A1A1A"/>
          <w:sz w:val="18"/>
          <w:szCs w:val="18"/>
        </w:rPr>
        <w:t xml:space="preserve">“Bangladesh GDP (2025).” Worldometer, www.worldometers.info/gdp/bangladesh-gdp/. Accessed 6 Mar. 2026.</w:t>
      </w:r>
    </w:p>
    <w:p>
      <w:pPr>
        <w:spacing w:before="0" w:after="100" w:line="252"/>
        <w:ind w:left="720" w:hanging="720"/>
      </w:pPr>
      <w:r>
        <w:rPr>
          <w:rFonts w:ascii="Calibri" w:cs="Calibri" w:eastAsia="Calibri" w:hAnsi="Calibri"/>
          <w:b w:val="false"/>
          <w:bCs w:val="false"/>
          <w:i w:val="false"/>
          <w:iCs w:val="false"/>
          <w:caps w:val="false"/>
          <w:color w:val="1A1A1A"/>
          <w:sz w:val="18"/>
          <w:szCs w:val="18"/>
        </w:rPr>
        <w:t xml:space="preserve">“Bangladesh Market Monitor — April 2024.” World Food Programme, Apr. 2024, www.wfp.org/publications/wfp-bangladesh-market-monitor.</w:t>
      </w:r>
    </w:p>
    <w:p>
      <w:pPr>
        <w:spacing w:before="0" w:after="100" w:line="252"/>
        <w:ind w:left="720" w:hanging="720"/>
      </w:pPr>
      <w:r>
        <w:rPr>
          <w:rFonts w:ascii="Calibri" w:cs="Calibri" w:eastAsia="Calibri" w:hAnsi="Calibri"/>
          <w:b w:val="false"/>
          <w:bCs w:val="false"/>
          <w:i w:val="false"/>
          <w:iCs w:val="false"/>
          <w:caps w:val="false"/>
          <w:color w:val="1A1A1A"/>
          <w:sz w:val="18"/>
          <w:szCs w:val="18"/>
        </w:rPr>
        <w:t xml:space="preserve">“Bangladesh School Feeding USDA McGovern-Dole Grant (2020–2023) Evaluation.” World Food Programme, www.wfp.org/publications/bangladesh-school-feeding-usda-mcgovern-dole-grant-2020-2023-evaluation. Accessed 6 Mar. 2026.</w:t>
      </w:r>
    </w:p>
    <w:p>
      <w:pPr>
        <w:spacing w:before="0" w:after="100" w:line="252"/>
        <w:ind w:left="720" w:hanging="720"/>
      </w:pPr>
      <w:r>
        <w:rPr>
          <w:rFonts w:ascii="Calibri" w:cs="Calibri" w:eastAsia="Calibri" w:hAnsi="Calibri"/>
          <w:b w:val="false"/>
          <w:bCs w:val="false"/>
          <w:i w:val="false"/>
          <w:iCs w:val="false"/>
          <w:caps w:val="false"/>
          <w:color w:val="1A1A1A"/>
          <w:sz w:val="18"/>
          <w:szCs w:val="18"/>
        </w:rPr>
        <w:t xml:space="preserve">“Bangladesh vs. North Carolina Size Comparison.” MapFight, mapfight.xyz/compare/bd-vs-us.nc/. Accessed 6 Mar. 2026.</w:t>
      </w:r>
    </w:p>
    <w:p>
      <w:pPr>
        <w:spacing w:before="0" w:after="100" w:line="252"/>
        <w:ind w:left="720" w:hanging="720"/>
      </w:pPr>
      <w:r>
        <w:rPr>
          <w:rFonts w:ascii="Calibri" w:cs="Calibri" w:eastAsia="Calibri" w:hAnsi="Calibri"/>
          <w:b w:val="false"/>
          <w:bCs w:val="false"/>
          <w:i w:val="false"/>
          <w:iCs w:val="false"/>
          <w:caps w:val="false"/>
          <w:color w:val="1A1A1A"/>
          <w:sz w:val="18"/>
          <w:szCs w:val="18"/>
        </w:rPr>
        <w:t xml:space="preserve">“Bangladesh’s Climate Resilience Hinges on Tripling Delta Plan Budget.” The Daily Ittefaq, en.ittefaq.com.bd/13253/bangladesh%E2%80%99s-climate-resilience-hinges-on-tripling. Accessed 6 Mar. 2026.</w:t>
      </w:r>
    </w:p>
    <w:p>
      <w:pPr>
        <w:spacing w:before="0" w:after="100" w:line="252"/>
        <w:ind w:left="720" w:hanging="720"/>
      </w:pPr>
      <w:r>
        <w:rPr>
          <w:rFonts w:ascii="Calibri" w:cs="Calibri" w:eastAsia="Calibri" w:hAnsi="Calibri"/>
          <w:b w:val="false"/>
          <w:bCs w:val="false"/>
          <w:i w:val="false"/>
          <w:iCs w:val="false"/>
          <w:caps w:val="false"/>
          <w:color w:val="1A1A1A"/>
          <w:sz w:val="18"/>
          <w:szCs w:val="18"/>
        </w:rPr>
        <w:t xml:space="preserve">“BD’s 17% Areas Might Be Submerged, 30% of Farmland Lost by 2050.” The Financial Express, 1 Oct. 2024, today.thefinancialexpress.com.bd/metro-news/bds-17pc-areas-might-be-submerged-30pc-of-farm-land-lost-by-2050-1727721385.</w:t>
      </w:r>
    </w:p>
    <w:p>
      <w:pPr>
        <w:spacing w:before="0" w:after="100" w:line="252"/>
        <w:ind w:left="720" w:hanging="720"/>
      </w:pPr>
      <w:r>
        <w:rPr>
          <w:rFonts w:ascii="Calibri" w:cs="Calibri" w:eastAsia="Calibri" w:hAnsi="Calibri"/>
          <w:b w:val="false"/>
          <w:bCs w:val="false"/>
          <w:i w:val="false"/>
          <w:iCs w:val="false"/>
          <w:caps w:val="false"/>
          <w:color w:val="1A1A1A"/>
          <w:sz w:val="18"/>
          <w:szCs w:val="18"/>
        </w:rPr>
        <w:t xml:space="preserve">“Corruption Perceptions Index 2024.” Transparency International, 11 Feb. 2025, www.transparency.org/en/cpi/2024/index/bgd.</w:t>
      </w:r>
    </w:p>
    <w:p>
      <w:pPr>
        <w:spacing w:before="0" w:after="100" w:line="252"/>
        <w:ind w:left="720" w:hanging="720"/>
      </w:pPr>
      <w:r>
        <w:rPr>
          <w:rFonts w:ascii="Calibri" w:cs="Calibri" w:eastAsia="Calibri" w:hAnsi="Calibri"/>
          <w:b w:val="false"/>
          <w:bCs w:val="false"/>
          <w:i w:val="false"/>
          <w:iCs w:val="false"/>
          <w:caps w:val="false"/>
          <w:color w:val="1A1A1A"/>
          <w:sz w:val="18"/>
          <w:szCs w:val="18"/>
        </w:rPr>
        <w:t xml:space="preserve">“Country Nutrition Profiles: Bangladesh.” Global Nutrition Report, PATH, globalnutritionreport.org/resources/nutrition-profiles/asia/southern-asia/bangladesh/. Accessed 6 Mar. 2026.</w:t>
      </w:r>
    </w:p>
    <w:p>
      <w:pPr>
        <w:spacing w:before="0" w:after="100" w:line="252"/>
        <w:ind w:left="720" w:hanging="720"/>
      </w:pPr>
      <w:r>
        <w:rPr>
          <w:rFonts w:ascii="Calibri" w:cs="Calibri" w:eastAsia="Calibri" w:hAnsi="Calibri"/>
          <w:b w:val="false"/>
          <w:bCs w:val="false"/>
          <w:i w:val="false"/>
          <w:iCs w:val="false"/>
          <w:caps w:val="false"/>
          <w:color w:val="1A1A1A"/>
          <w:sz w:val="18"/>
          <w:szCs w:val="18"/>
        </w:rPr>
        <w:t xml:space="preserve">“Drinking Water and Sanitation Facilities in Rural Bangladesh.” The Financial Express, thefinancialexpress.com.bd/views/views/drinking-water-and-sanitation-facilities-in-rural-bangladesh-1633533122. Accessed 6 Mar. 2026.</w:t>
      </w:r>
    </w:p>
    <w:p>
      <w:pPr>
        <w:spacing w:before="0" w:after="100" w:line="252"/>
        <w:ind w:left="720" w:hanging="720"/>
      </w:pPr>
      <w:r>
        <w:rPr>
          <w:rFonts w:ascii="Calibri" w:cs="Calibri" w:eastAsia="Calibri" w:hAnsi="Calibri"/>
          <w:b w:val="false"/>
          <w:bCs w:val="false"/>
          <w:i w:val="false"/>
          <w:iCs w:val="false"/>
          <w:caps w:val="false"/>
          <w:color w:val="1A1A1A"/>
          <w:sz w:val="18"/>
          <w:szCs w:val="18"/>
        </w:rPr>
        <w:t xml:space="preserve">“Effectiveness of Hermetic Bag Storage for On-Farm Storage of Maize and Rice.” ASABE, elibrary.asabe.org/abstract.asp?JID=5&amp;AID=47946&amp;T=1. Accessed 6 Mar. 2026.</w:t>
      </w:r>
    </w:p>
    <w:p>
      <w:pPr>
        <w:spacing w:before="0" w:after="100" w:line="252"/>
        <w:ind w:left="720" w:hanging="720"/>
      </w:pPr>
      <w:r>
        <w:rPr>
          <w:rFonts w:ascii="Calibri" w:cs="Calibri" w:eastAsia="Calibri" w:hAnsi="Calibri"/>
          <w:b w:val="false"/>
          <w:bCs w:val="false"/>
          <w:i w:val="false"/>
          <w:iCs w:val="false"/>
          <w:caps w:val="false"/>
          <w:color w:val="1A1A1A"/>
          <w:sz w:val="18"/>
          <w:szCs w:val="18"/>
        </w:rPr>
        <w:t xml:space="preserve">“Energizing Finance: Clean Cooking in Bangladesh.” Sustainable Energy for All, 19 Nov. 2020, www.seforall.org/publications/energizing-finance-understanding-the-landscape-2020/energizing-finance-clean-cooking-in-bangladesh.</w:t>
      </w:r>
    </w:p>
    <w:p>
      <w:pPr>
        <w:spacing w:before="0" w:after="100" w:line="252"/>
        <w:ind w:left="720" w:hanging="720"/>
      </w:pPr>
      <w:r>
        <w:rPr>
          <w:rFonts w:ascii="Calibri" w:cs="Calibri" w:eastAsia="Calibri" w:hAnsi="Calibri"/>
          <w:b w:val="false"/>
          <w:bCs w:val="false"/>
          <w:i w:val="false"/>
          <w:iCs w:val="false"/>
          <w:caps w:val="false"/>
          <w:color w:val="1A1A1A"/>
          <w:sz w:val="18"/>
          <w:szCs w:val="18"/>
        </w:rPr>
        <w:t xml:space="preserve">“The Extreme Poverty in Bangladesh: An Overview.” BRAC University, dspace.bracu.ac.bd/xmlui/bitstream/handle/10361/12503/Title-1%20The%20Extreme%20Poverty%20in%20Bangladesh%20An%20Overview.pdf.</w:t>
      </w:r>
    </w:p>
    <w:p>
      <w:pPr>
        <w:spacing w:before="0" w:after="100" w:line="252"/>
        <w:ind w:left="720" w:hanging="720"/>
      </w:pPr>
      <w:r>
        <w:rPr>
          <w:rFonts w:ascii="Calibri" w:cs="Calibri" w:eastAsia="Calibri" w:hAnsi="Calibri"/>
          <w:b w:val="false"/>
          <w:bCs w:val="false"/>
          <w:i w:val="false"/>
          <w:iCs w:val="false"/>
          <w:caps w:val="false"/>
          <w:color w:val="1A1A1A"/>
          <w:sz w:val="18"/>
          <w:szCs w:val="18"/>
        </w:rPr>
        <w:t xml:space="preserve">“The Farmers Who Till the Harsh Coastal Lands of Bangladesh and the Salt-Tolerant Rice Varieties That Changed Their Story.” CGIAR, www.cgiar.org/news-events/news/the-farmers-who-till-the-harsh-coastal-lands-of-bangladesh-and-the-salt-tolerant-rice-varieties-that-changed-their-story/. Accessed 6 Mar. 2026.</w:t>
      </w:r>
    </w:p>
    <w:p>
      <w:pPr>
        <w:spacing w:before="0" w:after="100" w:line="252"/>
        <w:ind w:left="720" w:hanging="720"/>
      </w:pPr>
      <w:r>
        <w:rPr>
          <w:rFonts w:ascii="Calibri" w:cs="Calibri" w:eastAsia="Calibri" w:hAnsi="Calibri"/>
          <w:b w:val="false"/>
          <w:bCs w:val="false"/>
          <w:i w:val="false"/>
          <w:iCs w:val="false"/>
          <w:caps w:val="false"/>
          <w:color w:val="1A1A1A"/>
          <w:sz w:val="18"/>
          <w:szCs w:val="18"/>
        </w:rPr>
        <w:t xml:space="preserve">“Flood Management — Bangladesh Case Study.” World Bank, www.floodmanagement.info/publications/casestudies/cs_bangladesh_full.pdf. Accessed 6 Mar. 2026.</w:t>
      </w:r>
    </w:p>
    <w:p>
      <w:pPr>
        <w:spacing w:before="0" w:after="100" w:line="252"/>
        <w:ind w:left="720" w:hanging="720"/>
      </w:pPr>
      <w:r>
        <w:rPr>
          <w:rFonts w:ascii="Calibri" w:cs="Calibri" w:eastAsia="Calibri" w:hAnsi="Calibri"/>
          <w:b w:val="false"/>
          <w:bCs w:val="false"/>
          <w:i w:val="false"/>
          <w:iCs w:val="false"/>
          <w:caps w:val="false"/>
          <w:color w:val="1A1A1A"/>
          <w:sz w:val="18"/>
          <w:szCs w:val="18"/>
        </w:rPr>
        <w:t xml:space="preserve">“Flood-Tolerant Rice Improves Climate Resilience, Profitability, and Household Consumption in Bangladesh.” CGIAR, cgspace.cgiar.org/items/b67df9fe-d69a-4fc6-85bc-8789d0d1c4a0. Accessed 6 Mar. 2026.</w:t>
      </w:r>
    </w:p>
    <w:p>
      <w:pPr>
        <w:spacing w:before="0" w:after="100" w:line="252"/>
        <w:ind w:left="720" w:hanging="720"/>
      </w:pPr>
      <w:r>
        <w:rPr>
          <w:rFonts w:ascii="Calibri" w:cs="Calibri" w:eastAsia="Calibri" w:hAnsi="Calibri"/>
          <w:b w:val="false"/>
          <w:bCs w:val="false"/>
          <w:i w:val="false"/>
          <w:iCs w:val="false"/>
          <w:caps w:val="false"/>
          <w:color w:val="1A1A1A"/>
          <w:sz w:val="18"/>
          <w:szCs w:val="18"/>
        </w:rPr>
        <w:t xml:space="preserve">Food and Agriculture Organization of the United Nations. “Prevalence of Undernourishment (% of Population).” FAOSTAT, www.fao.org/faostat/en/#data/FS. Accessed 6 Mar. 2026.</w:t>
      </w:r>
    </w:p>
    <w:p>
      <w:pPr>
        <w:spacing w:before="0" w:after="100" w:line="252"/>
        <w:ind w:left="720" w:hanging="720"/>
      </w:pPr>
      <w:r>
        <w:rPr>
          <w:rFonts w:ascii="Calibri" w:cs="Calibri" w:eastAsia="Calibri" w:hAnsi="Calibri"/>
          <w:b w:val="false"/>
          <w:bCs w:val="false"/>
          <w:i w:val="false"/>
          <w:iCs w:val="false"/>
          <w:caps w:val="false"/>
          <w:color w:val="1A1A1A"/>
          <w:sz w:val="18"/>
          <w:szCs w:val="18"/>
        </w:rPr>
        <w:t xml:space="preserve">“Government of Bangladesh.” Facts and Details, factsanddetails.com/south-asia/Bangladesh/Government_Justice_Military_Bangladesh/entry-8191.html. Accessed 6 Mar. 2026.</w:t>
      </w:r>
    </w:p>
    <w:p>
      <w:pPr>
        <w:spacing w:before="0" w:after="100" w:line="252"/>
        <w:ind w:left="720" w:hanging="720"/>
      </w:pPr>
      <w:r>
        <w:rPr>
          <w:rFonts w:ascii="Calibri" w:cs="Calibri" w:eastAsia="Calibri" w:hAnsi="Calibri"/>
          <w:b w:val="false"/>
          <w:bCs w:val="false"/>
          <w:i w:val="false"/>
          <w:iCs w:val="false"/>
          <w:caps w:val="false"/>
          <w:color w:val="1A1A1A"/>
          <w:sz w:val="18"/>
          <w:szCs w:val="18"/>
        </w:rPr>
        <w:t xml:space="preserve">Grantham Research Institute on Climate Change and the Environment. Tackling Flooding in Bangladesh in a Changing Climate. London School of Economics, 2023.</w:t>
      </w:r>
    </w:p>
    <w:p>
      <w:pPr>
        <w:spacing w:before="0" w:after="100" w:line="252"/>
        <w:ind w:left="720" w:hanging="720"/>
      </w:pPr>
      <w:r>
        <w:rPr>
          <w:rFonts w:ascii="Calibri" w:cs="Calibri" w:eastAsia="Calibri" w:hAnsi="Calibri"/>
          <w:b w:val="false"/>
          <w:bCs w:val="false"/>
          <w:i w:val="false"/>
          <w:iCs w:val="false"/>
          <w:caps w:val="false"/>
          <w:color w:val="1A1A1A"/>
          <w:sz w:val="18"/>
          <w:szCs w:val="18"/>
        </w:rPr>
        <w:t xml:space="preserve">“Hindu Kush Himalaya Glaciers Losing Ice at Double the Rate since 2000, New ICIMOD Report Confirms.” ICIMOD, 21 Mar. 2026, www.icimod.org/press-releases/hindu-kush-himalaya-glaciers-losing-ice-at-double-the-rate-since-2000-new-icimod-report-confirm/.</w:t>
      </w:r>
    </w:p>
    <w:p>
      <w:pPr>
        <w:spacing w:before="0" w:after="100" w:line="252"/>
        <w:ind w:left="720" w:hanging="720"/>
      </w:pPr>
      <w:r>
        <w:rPr>
          <w:rFonts w:ascii="Calibri" w:cs="Calibri" w:eastAsia="Calibri" w:hAnsi="Calibri"/>
          <w:b w:val="false"/>
          <w:bCs w:val="false"/>
          <w:i w:val="false"/>
          <w:iCs w:val="false"/>
          <w:caps w:val="false"/>
          <w:color w:val="1A1A1A"/>
          <w:sz w:val="18"/>
          <w:szCs w:val="18"/>
        </w:rPr>
        <w:t xml:space="preserve">Hossain, Sajjad, and Md. Abbas. “BNP Promises a Govt Answerable Directly to Citizens.” The Daily Star, 7 Feb. 2026, www.thedailystar.net/news/national-election-2026/news/bnp-promises-govt-answerable-directly-citizens-4099891.</w:t>
      </w:r>
    </w:p>
    <w:p>
      <w:pPr>
        <w:spacing w:before="0" w:after="100" w:line="252"/>
        <w:ind w:left="720" w:hanging="720"/>
      </w:pPr>
      <w:r>
        <w:rPr>
          <w:rFonts w:ascii="Calibri" w:cs="Calibri" w:eastAsia="Calibri" w:hAnsi="Calibri"/>
          <w:b w:val="false"/>
          <w:bCs w:val="false"/>
          <w:i w:val="false"/>
          <w:iCs w:val="false"/>
          <w:caps w:val="false"/>
          <w:color w:val="1A1A1A"/>
          <w:sz w:val="18"/>
          <w:szCs w:val="18"/>
        </w:rPr>
        <w:t xml:space="preserve">“How the Climate Crisis Is Impacting Bangladesh.” The Climate Reality Project, www.climaterealityproject.org/blog/how-climate-crisis-impacting-bangladesh. Accessed 6 Mar. 2026.</w:t>
      </w:r>
    </w:p>
    <w:p>
      <w:pPr>
        <w:spacing w:before="0" w:after="100" w:line="252"/>
        <w:ind w:left="720" w:hanging="720"/>
      </w:pPr>
      <w:r>
        <w:rPr>
          <w:rFonts w:ascii="Calibri" w:cs="Calibri" w:eastAsia="Calibri" w:hAnsi="Calibri"/>
          <w:b w:val="false"/>
          <w:bCs w:val="false"/>
          <w:i w:val="false"/>
          <w:iCs w:val="false"/>
          <w:caps w:val="false"/>
          <w:color w:val="1A1A1A"/>
          <w:sz w:val="18"/>
          <w:szCs w:val="18"/>
        </w:rPr>
        <w:t xml:space="preserve">“Humanitarian Response Plan for Cyclone and Monsoon Floods in Bangladesh, June 2024 to March 2025.” United Nations Bangladesh, 26 Sept. 2024, bangladesh.un.org/en/279755-humanitarian-response-plan-cyclone-and-monsoon-floods-bangladesh-june-2024-march-2025.</w:t>
      </w:r>
    </w:p>
    <w:p>
      <w:pPr>
        <w:spacing w:before="0" w:after="100" w:line="252"/>
        <w:ind w:left="720" w:hanging="720"/>
      </w:pPr>
      <w:r>
        <w:rPr>
          <w:rFonts w:ascii="Calibri" w:cs="Calibri" w:eastAsia="Calibri" w:hAnsi="Calibri"/>
          <w:b w:val="false"/>
          <w:bCs w:val="false"/>
          <w:i w:val="false"/>
          <w:iCs w:val="false"/>
          <w:caps w:val="false"/>
          <w:color w:val="1A1A1A"/>
          <w:sz w:val="18"/>
          <w:szCs w:val="18"/>
        </w:rPr>
        <w:t xml:space="preserve">“Hundred-Year Storm Tides Will Occur Every Few Decades in Bangladesh, Scientists Report.” ScienceDaily, 11 Apr. 2025, www.sciencedaily.com/releases/2025/04/250411175457.htm.</w:t>
      </w:r>
    </w:p>
    <w:p>
      <w:pPr>
        <w:spacing w:before="0" w:after="100" w:line="252"/>
        <w:ind w:left="720" w:hanging="720"/>
      </w:pPr>
      <w:r>
        <w:rPr>
          <w:rFonts w:ascii="Calibri" w:cs="Calibri" w:eastAsia="Calibri" w:hAnsi="Calibri"/>
          <w:b w:val="false"/>
          <w:bCs w:val="false"/>
          <w:i w:val="false"/>
          <w:iCs w:val="false"/>
          <w:caps w:val="false"/>
          <w:color w:val="1A1A1A"/>
          <w:sz w:val="18"/>
          <w:szCs w:val="18"/>
        </w:rPr>
        <w:t xml:space="preserve">Immigration and Refugee Board of Canada. Bangladesh: Bangladesh Nationalist Party (BNP), Including Its Structure, Leaders, Membership. U.S. Department of Justice, 2015, www.justice.gov/sites/default/files/pages/attachments/2015/10/20/bgd105262.e.pdf.</w:t>
      </w:r>
    </w:p>
    <w:p>
      <w:pPr>
        <w:spacing w:before="0" w:after="100" w:line="252"/>
        <w:ind w:left="720" w:hanging="720"/>
      </w:pPr>
      <w:r>
        <w:rPr>
          <w:rFonts w:ascii="Calibri" w:cs="Calibri" w:eastAsia="Calibri" w:hAnsi="Calibri"/>
          <w:b w:val="false"/>
          <w:bCs w:val="false"/>
          <w:i w:val="false"/>
          <w:iCs w:val="false"/>
          <w:caps w:val="false"/>
          <w:color w:val="1A1A1A"/>
          <w:sz w:val="18"/>
          <w:szCs w:val="18"/>
        </w:rPr>
        <w:t xml:space="preserve">Jihan, Md. Akik Tanjil, et al. “Climate Change Scenario in Bangladesh: Historical Data Analysis and Future Projection Based on CMIP6 Model.” Scientific Reports, vol. 15, 2025, article 7856, doi:10.1038/s41598-024-81250-z.</w:t>
      </w:r>
    </w:p>
    <w:p>
      <w:pPr>
        <w:spacing w:before="0" w:after="100" w:line="252"/>
        <w:ind w:left="720" w:hanging="720"/>
      </w:pPr>
      <w:r>
        <w:rPr>
          <w:rFonts w:ascii="Calibri" w:cs="Calibri" w:eastAsia="Calibri" w:hAnsi="Calibri"/>
          <w:b w:val="false"/>
          <w:bCs w:val="false"/>
          <w:i w:val="false"/>
          <w:iCs w:val="false"/>
          <w:caps w:val="false"/>
          <w:color w:val="1A1A1A"/>
          <w:sz w:val="18"/>
          <w:szCs w:val="18"/>
        </w:rPr>
        <w:t xml:space="preserve">Mahmud, Lubaba. “Bangladesh at a Turning Point: Climate Commitments Amid Political Change.” Spheres of Influence, 1 June 2025, spheresofinfluence.ca/bangladesh-at-a-turning-point-climate-commitments-amid-political-change/.</w:t>
      </w:r>
    </w:p>
    <w:p>
      <w:pPr>
        <w:spacing w:before="0" w:after="100" w:line="252"/>
        <w:ind w:left="720" w:hanging="720"/>
      </w:pPr>
      <w:r>
        <w:rPr>
          <w:rFonts w:ascii="Calibri" w:cs="Calibri" w:eastAsia="Calibri" w:hAnsi="Calibri"/>
          <w:b w:val="false"/>
          <w:bCs w:val="false"/>
          <w:i w:val="false"/>
          <w:iCs w:val="false"/>
          <w:caps w:val="false"/>
          <w:color w:val="1A1A1A"/>
          <w:sz w:val="18"/>
          <w:szCs w:val="18"/>
        </w:rPr>
        <w:t xml:space="preserve">Nahr, M. Samin Sajid. “Bangladesh Up 7 Notches on Economic Freedom Index, Score Unchanged.” The Business Standard, 28 Feb. 2024.</w:t>
      </w:r>
    </w:p>
    <w:p>
      <w:pPr>
        <w:spacing w:before="0" w:after="100" w:line="252"/>
        <w:ind w:left="720" w:hanging="720"/>
      </w:pPr>
      <w:r>
        <w:rPr>
          <w:rFonts w:ascii="Calibri" w:cs="Calibri" w:eastAsia="Calibri" w:hAnsi="Calibri"/>
          <w:b w:val="false"/>
          <w:bCs w:val="false"/>
          <w:i w:val="false"/>
          <w:iCs w:val="false"/>
          <w:caps w:val="false"/>
          <w:color w:val="1A1A1A"/>
          <w:sz w:val="18"/>
          <w:szCs w:val="18"/>
        </w:rPr>
        <w:t xml:space="preserve">Notre Dame Global Adaptation Initiative. “ND-GAIN Country Index Data.” University of Notre Dame, gain.nd.edu/our-work/country-index/download-data/. Accessed 6 Mar. 2026.</w:t>
      </w:r>
    </w:p>
    <w:p>
      <w:pPr>
        <w:spacing w:before="0" w:after="100" w:line="252"/>
        <w:ind w:left="720" w:hanging="720"/>
      </w:pPr>
      <w:r>
        <w:rPr>
          <w:rFonts w:ascii="Calibri" w:cs="Calibri" w:eastAsia="Calibri" w:hAnsi="Calibri"/>
          <w:b w:val="false"/>
          <w:bCs w:val="false"/>
          <w:i w:val="false"/>
          <w:iCs w:val="false"/>
          <w:caps w:val="false"/>
          <w:color w:val="1A1A1A"/>
          <w:sz w:val="18"/>
          <w:szCs w:val="18"/>
        </w:rPr>
        <w:t xml:space="preserve">“Per Capita Caloric Intake in Bangladesh.” The Business Standard. Accessed 6 Mar. 2026.</w:t>
      </w:r>
    </w:p>
    <w:p>
      <w:pPr>
        <w:spacing w:before="0" w:after="100" w:line="252"/>
        <w:ind w:left="720" w:hanging="720"/>
      </w:pPr>
      <w:r>
        <w:rPr>
          <w:rFonts w:ascii="Calibri" w:cs="Calibri" w:eastAsia="Calibri" w:hAnsi="Calibri"/>
          <w:b w:val="false"/>
          <w:bCs w:val="false"/>
          <w:i w:val="false"/>
          <w:iCs w:val="false"/>
          <w:caps w:val="false"/>
          <w:color w:val="1A1A1A"/>
          <w:sz w:val="18"/>
          <w:szCs w:val="18"/>
        </w:rPr>
        <w:t xml:space="preserve">“Rapid Himalayan Ice Melt Puts Bangladesh at Risk: UN.” The Business Standard. Accessed 2026.</w:t>
      </w:r>
    </w:p>
    <w:p>
      <w:pPr>
        <w:spacing w:before="0" w:after="100" w:line="252"/>
        <w:ind w:left="720" w:hanging="720"/>
      </w:pPr>
      <w:r>
        <w:rPr>
          <w:rFonts w:ascii="Calibri" w:cs="Calibri" w:eastAsia="Calibri" w:hAnsi="Calibri"/>
          <w:b w:val="false"/>
          <w:bCs w:val="false"/>
          <w:i w:val="false"/>
          <w:iCs w:val="false"/>
          <w:caps w:val="false"/>
          <w:color w:val="1A1A1A"/>
          <w:sz w:val="18"/>
          <w:szCs w:val="18"/>
        </w:rPr>
        <w:t xml:space="preserve">“Rising Sea Level: Challenges Ahead for Bangladesh.” International Centre for Climate Change and Development, icccad.net/blog/rising-sea-level-challenges-ahead-for-bangladesh/. Accessed 6 Mar. 2026.</w:t>
      </w:r>
    </w:p>
    <w:p>
      <w:pPr>
        <w:spacing w:before="0" w:after="100" w:line="252"/>
        <w:ind w:left="720" w:hanging="720"/>
      </w:pPr>
      <w:r>
        <w:rPr>
          <w:rFonts w:ascii="Calibri" w:cs="Calibri" w:eastAsia="Calibri" w:hAnsi="Calibri"/>
          <w:b w:val="false"/>
          <w:bCs w:val="false"/>
          <w:i w:val="false"/>
          <w:iCs w:val="false"/>
          <w:caps w:val="false"/>
          <w:color w:val="1A1A1A"/>
          <w:sz w:val="18"/>
          <w:szCs w:val="18"/>
        </w:rPr>
        <w:t xml:space="preserve">Ritchie, Hannah. “Access to Clean Cooking Fuels in Bangladesh Is Far Lower Than in Its Asian Neighbors.” Our World in Data, 3 Oct. 2025.</w:t>
      </w:r>
    </w:p>
    <w:p>
      <w:pPr>
        <w:spacing w:before="0" w:after="100" w:line="252"/>
        <w:ind w:left="720" w:hanging="720"/>
      </w:pPr>
      <w:r>
        <w:rPr>
          <w:rFonts w:ascii="Calibri" w:cs="Calibri" w:eastAsia="Calibri" w:hAnsi="Calibri"/>
          <w:b w:val="false"/>
          <w:bCs w:val="false"/>
          <w:i w:val="false"/>
          <w:iCs w:val="false"/>
          <w:caps w:val="false"/>
          <w:color w:val="1A1A1A"/>
          <w:sz w:val="18"/>
          <w:szCs w:val="18"/>
        </w:rPr>
        <w:t xml:space="preserve">Roome, John. “Implementing Bangladesh Delta Plan 2100: Key to Boost Economic Growth.” World Bank Blogs, 9 June 2021.</w:t>
      </w:r>
    </w:p>
    <w:p>
      <w:pPr>
        <w:spacing w:before="0" w:after="100" w:line="252"/>
        <w:ind w:left="720" w:hanging="720"/>
      </w:pPr>
      <w:r>
        <w:rPr>
          <w:rFonts w:ascii="Calibri" w:cs="Calibri" w:eastAsia="Calibri" w:hAnsi="Calibri"/>
          <w:b w:val="false"/>
          <w:bCs w:val="false"/>
          <w:i w:val="false"/>
          <w:iCs w:val="false"/>
          <w:caps w:val="false"/>
          <w:color w:val="1A1A1A"/>
          <w:sz w:val="18"/>
          <w:szCs w:val="18"/>
        </w:rPr>
        <w:t xml:space="preserve">“Saving Water: Alternate Wetting and Drying (AWD).” IRRI Rice Knowledge Bank. Accessed 6 Mar. 2026.</w:t>
      </w:r>
    </w:p>
    <w:p>
      <w:pPr>
        <w:spacing w:before="0" w:after="100" w:line="252"/>
        <w:ind w:left="720" w:hanging="720"/>
      </w:pPr>
      <w:r>
        <w:rPr>
          <w:rFonts w:ascii="Calibri" w:cs="Calibri" w:eastAsia="Calibri" w:hAnsi="Calibri"/>
          <w:b w:val="false"/>
          <w:bCs w:val="false"/>
          <w:i w:val="false"/>
          <w:iCs w:val="false"/>
          <w:caps w:val="false"/>
          <w:color w:val="1A1A1A"/>
          <w:sz w:val="18"/>
          <w:szCs w:val="18"/>
        </w:rPr>
        <w:t xml:space="preserve">“Silent Killer: Saltwater Threatens Women’s Health in Coastal Bangladesh.” Global Health Now, May 2024.</w:t>
      </w:r>
    </w:p>
    <w:p>
      <w:pPr>
        <w:spacing w:before="0" w:after="100" w:line="252"/>
        <w:ind w:left="720" w:hanging="720"/>
      </w:pPr>
      <w:r>
        <w:rPr>
          <w:rFonts w:ascii="Calibri" w:cs="Calibri" w:eastAsia="Calibri" w:hAnsi="Calibri"/>
          <w:b w:val="false"/>
          <w:bCs w:val="false"/>
          <w:i w:val="false"/>
          <w:iCs w:val="false"/>
          <w:caps w:val="false"/>
          <w:color w:val="1A1A1A"/>
          <w:sz w:val="18"/>
          <w:szCs w:val="18"/>
        </w:rPr>
        <w:t xml:space="preserve">United Nations Food Systems Summit. National Pathway: Bangladesh. United Nations Food Systems Hub, 2025.</w:t>
      </w:r>
    </w:p>
    <w:p>
      <w:pPr>
        <w:spacing w:before="0" w:after="100" w:line="252"/>
        <w:ind w:left="720" w:hanging="720"/>
      </w:pPr>
      <w:r>
        <w:rPr>
          <w:rFonts w:ascii="Calibri" w:cs="Calibri" w:eastAsia="Calibri" w:hAnsi="Calibri"/>
          <w:b w:val="false"/>
          <w:bCs w:val="false"/>
          <w:i w:val="false"/>
          <w:iCs w:val="false"/>
          <w:caps w:val="false"/>
          <w:color w:val="1A1A1A"/>
          <w:sz w:val="18"/>
          <w:szCs w:val="18"/>
        </w:rPr>
        <w:t xml:space="preserve">Victora, Cesar G., et al. “Maternal and Child Undernutrition: Consequences for Adult Health and Human Capital.” The Lancet, vol. 371, no. 9609, 2008, pp. 340–57.</w:t>
      </w:r>
    </w:p>
    <w:p>
      <w:pPr>
        <w:spacing w:before="0" w:after="100" w:line="252"/>
        <w:ind w:left="720" w:hanging="720"/>
      </w:pPr>
      <w:r>
        <w:rPr>
          <w:rFonts w:ascii="Calibri" w:cs="Calibri" w:eastAsia="Calibri" w:hAnsi="Calibri"/>
          <w:b w:val="false"/>
          <w:bCs w:val="false"/>
          <w:i w:val="false"/>
          <w:iCs w:val="false"/>
          <w:caps w:val="false"/>
          <w:color w:val="1A1A1A"/>
          <w:sz w:val="18"/>
          <w:szCs w:val="18"/>
        </w:rPr>
        <w:t xml:space="preserve">“World Bank Supports Bangladesh in Flood Risk Reduction and Recovery.” World Bank, 14 May 2025.</w:t>
      </w:r>
    </w:p>
    <w:p>
      <w:pPr>
        <w:spacing w:before="0" w:after="100" w:line="252"/>
        <w:ind w:left="720" w:hanging="720"/>
      </w:pPr>
      <w:r>
        <w:rPr>
          <w:rFonts w:ascii="Calibri" w:cs="Calibri" w:eastAsia="Calibri" w:hAnsi="Calibri"/>
          <w:b w:val="false"/>
          <w:bCs w:val="false"/>
          <w:i w:val="false"/>
          <w:iCs w:val="false"/>
          <w:caps w:val="false"/>
          <w:color w:val="1A1A1A"/>
          <w:sz w:val="18"/>
          <w:szCs w:val="18"/>
        </w:rPr>
        <w:t xml:space="preserve">World Bank. “Population, Total for Bangladesh.” FRED, Federal Reserve Bank of St. Louis. Accessed 6 Mar. 2026.</w:t>
      </w:r>
    </w:p>
    <w:p>
      <w:pPr>
        <w:spacing w:before="0" w:after="0"/>
      </w:pPr>
      <w:r>
        <w:br w:type="page"/>
      </w:r>
    </w:p>
    <w:p>
      <w:pPr>
        <w:pBdr>
          <w:bottom w:val="single" w:color="8B6914" w:sz="6" w:space="4"/>
        </w:pBdr>
        <w:spacing w:before="280" w:after="120"/>
      </w:pPr>
      <w:r>
        <w:rPr>
          <w:rFonts w:ascii="Calibri" w:cs="Calibri" w:eastAsia="Calibri" w:hAnsi="Calibri"/>
          <w:b/>
          <w:bCs/>
          <w:i w:val="false"/>
          <w:iCs w:val="false"/>
          <w:caps w:val="false"/>
          <w:color w:val="1B4F72"/>
          <w:sz w:val="22"/>
          <w:szCs w:val="22"/>
        </w:rPr>
        <w:t xml:space="preserve">APPENDIX — POLICY OPTIMIZATION MODEL: FULL DATA AND METHODOLOGY</w:t>
      </w:r>
    </w:p>
    <w:p>
      <w:pPr>
        <w:spacing w:before="160" w:after="80"/>
      </w:pPr>
      <w:r>
        <w:rPr>
          <w:rFonts w:ascii="Calibri" w:cs="Calibri" w:eastAsia="Calibri" w:hAnsi="Calibri"/>
          <w:b/>
          <w:bCs/>
          <w:i w:val="false"/>
          <w:iCs w:val="false"/>
          <w:caps w:val="false"/>
          <w:color w:val="1B4F72"/>
          <w:sz w:val="22"/>
          <w:szCs w:val="22"/>
        </w:rPr>
        <w:t xml:space="preserve">A. Model 1: Global Regression</w:t>
      </w:r>
    </w:p>
    <w:p>
      <w:pPr>
        <w:spacing w:before="0" w:after="80"/>
        <w:ind w:left="360"/>
        <w:jc w:val="both"/>
      </w:pPr>
      <w:r>
        <w:rPr>
          <w:rFonts w:ascii="Calibri" w:cs="Calibri" w:eastAsia="Calibri" w:hAnsi="Calibri"/>
          <w:b w:val="false"/>
          <w:bCs w:val="false"/>
          <w:i w:val="false"/>
          <w:iCs w:val="false"/>
          <w:caps w:val="false"/>
          <w:color w:val="1A1A1A"/>
          <w:sz w:val="18"/>
          <w:szCs w:val="18"/>
        </w:rPr>
        <w:t xml:space="preserve">Equation: </w:t>
      </w:r>
      <w:r>
        <w:rPr>
          <w:rFonts w:ascii="Calibri" w:cs="Calibri" w:eastAsia="Calibri" w:hAnsi="Calibri"/>
          <w:b w:val="false"/>
          <w:bCs w:val="false"/>
          <w:i/>
          <w:iCs/>
          <w:caps w:val="false"/>
          <w:color w:val="1A1A1A"/>
          <w:sz w:val="18"/>
          <w:szCs w:val="18"/>
        </w:rPr>
        <w:t xml:space="preserve">— Undernourishment (%) = −22.03 + 75.65 × Climate Vulnerability</w:t>
      </w:r>
    </w:p>
    <w:p>
      <w:pPr>
        <w:spacing w:before="0" w:after="80"/>
        <w:ind w:left="360"/>
        <w:jc w:val="both"/>
      </w:pPr>
      <w:r>
        <w:rPr>
          <w:rFonts w:ascii="Calibri" w:cs="Calibri" w:eastAsia="Calibri" w:hAnsi="Calibri"/>
          <w:b w:val="false"/>
          <w:bCs w:val="false"/>
          <w:i w:val="false"/>
          <w:iCs w:val="false"/>
          <w:caps w:val="false"/>
          <w:color w:val="1A1A1A"/>
          <w:sz w:val="18"/>
          <w:szCs w:val="18"/>
        </w:rPr>
        <w:t xml:space="preserve">Data: 131 countries with complete data for all 8 variables (2022 or latest available year).</w:t>
      </w:r>
    </w:p>
    <w:p>
      <w:pPr>
        <w:spacing w:before="0" w:after="80"/>
        <w:ind w:left="360"/>
        <w:jc w:val="both"/>
      </w:pPr>
      <w:r>
        <w:rPr>
          <w:rFonts w:ascii="Calibri" w:cs="Calibri" w:eastAsia="Calibri" w:hAnsi="Calibri"/>
          <w:b w:val="false"/>
          <w:bCs w:val="false"/>
          <w:i w:val="false"/>
          <w:iCs w:val="false"/>
          <w:caps w:val="false"/>
          <w:color w:val="1A1A1A"/>
          <w:sz w:val="18"/>
          <w:szCs w:val="18"/>
        </w:rPr>
        <w:t xml:space="preserve">Sources: ND-GAIN Country Index (University of Notre Dame); FAOSTAT Suite of Food Security Indicators (FAO); World Bank World Development Indicators; EM-DAT International Disaster Database; Our World in Data.</w:t>
      </w:r>
    </w:p>
    <w:p>
      <w:pPr>
        <w:spacing w:before="0" w:after="80"/>
        <w:ind w:left="360"/>
        <w:jc w:val="both"/>
      </w:pPr>
      <w:r>
        <w:rPr>
          <w:rFonts w:ascii="Calibri" w:cs="Calibri" w:eastAsia="Calibri" w:hAnsi="Calibri"/>
          <w:b/>
          <w:bCs/>
          <w:i w:val="false"/>
          <w:iCs w:val="false"/>
          <w:caps w:val="false"/>
          <w:color w:val="1B4F72"/>
          <w:sz w:val="22"/>
          <w:szCs w:val="22"/>
        </w:rPr>
        <w:t xml:space="preserve">Key result: </w:t>
      </w:r>
      <w:r>
        <w:rPr>
          <w:rFonts w:ascii="Calibri" w:cs="Calibri" w:eastAsia="Calibri" w:hAnsi="Calibri"/>
          <w:b w:val="false"/>
          <w:bCs w:val="false"/>
          <w:i w:val="false"/>
          <w:iCs w:val="false"/>
          <w:caps w:val="false"/>
          <w:color w:val="1A1A1A"/>
          <w:sz w:val="18"/>
          <w:szCs w:val="18"/>
        </w:rPr>
        <w:t xml:space="preserve">R² = 0.48. Climate vulnerability alone explains 48% of the variation in undernourishment rates across 131 countries. Bangladesh’s predicted undernourishment is 21%, but actual is 11.9% — an adaptation buffer of 9.1 percentage points.</w:t>
      </w:r>
    </w:p>
    <w:p>
      <w:pPr>
        <w:spacing w:before="160" w:after="80"/>
      </w:pPr>
      <w:r>
        <w:rPr>
          <w:rFonts w:ascii="Calibri" w:cs="Calibri" w:eastAsia="Calibri" w:hAnsi="Calibri"/>
          <w:b/>
          <w:bCs/>
          <w:i w:val="false"/>
          <w:iCs w:val="false"/>
          <w:caps w:val="false"/>
          <w:color w:val="1B4F72"/>
          <w:sz w:val="22"/>
          <w:szCs w:val="22"/>
        </w:rPr>
        <w:t xml:space="preserve">B. Model 2: Policy Optimization — 13 Policies Tested</w:t>
      </w:r>
    </w:p>
    <w:p>
      <w:pPr>
        <w:spacing w:before="80" w:after="80"/>
        <w:ind w:left="360"/>
      </w:pPr>
      <w:r>
        <w:rPr>
          <w:rFonts w:ascii="Calibri" w:cs="Calibri" w:eastAsia="Calibri" w:hAnsi="Calibri"/>
          <w:b/>
          <w:bCs/>
          <w:i w:val="false"/>
          <w:iCs w:val="false"/>
          <w:caps w:val="false"/>
          <w:color w:val="1B4F72"/>
          <w:sz w:val="22"/>
          <w:szCs w:val="22"/>
        </w:rPr>
        <w:t xml:space="preserve">B.1 Policy List with Cost-Effectiveness Data</w:t>
      </w:r>
    </w:p>
    <w:p>
      <w:pPr>
        <w:spacing w:before="120" w:after="80"/>
        <w:jc w:val="center"/>
      </w:pPr>
      <w:r>
        <w:rPr>
          <w:rFonts w:ascii="Calibri" w:cs="Calibri" w:eastAsia="Calibri" w:hAnsi="Calibri"/>
          <w:b/>
          <w:bCs/>
          <w:i/>
          <w:iCs/>
          <w:caps w:val="false"/>
          <w:color w:val="555555"/>
          <w:sz w:val="19"/>
          <w:szCs w:val="19"/>
        </w:rPr>
        <w:t xml:space="preserve">Appendix Table 1. All 13 Policies — Cost, Impact, and Parameters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
        <w:gridCol w:w="1900"/>
        <w:gridCol w:w="900"/>
        <w:gridCol w:w="1300"/>
        <w:gridCol w:w="1500"/>
        <w:gridCol w:w="560"/>
        <w:gridCol w:w="2680"/>
      </w:tblGrid>
      <w:tr>
        <w:trPr>
          <w:tblHeader/>
        </w:trPr>
        <w:tc>
          <w:tcPr>
            <w:tcW w:type="dxa" w:w="240"/>
            <w:tcBorders>
              <w:top w:val="single" w:color="1B4F72" w:sz="4"/>
              <w:left w:val="single" w:color="1B4F72" w:sz="4"/>
              <w:bottom w:val="single" w:color="1B4F72" w:sz="4"/>
              <w:right w:val="single" w:color="1B4F72" w:sz="4"/>
            </w:tcBorders>
            <w:shd w:fill="2E4057" w:val="clear"/>
            <w:tcMar>
              <w:top w:type="dxa" w:w="60"/>
              <w:left w:type="dxa" w:w="100"/>
              <w:bottom w:type="dxa" w:w="60"/>
              <w:right w:type="dxa" w:w="100"/>
            </w:tcMar>
          </w:tcPr>
          <w:p>
            <w:pPr>
              <w:spacing w:before="0" w:after="0"/>
              <w:jc w:val="center"/>
            </w:pPr>
            <w:r>
              <w:rPr>
                <w:rFonts w:ascii="Calibri" w:cs="Calibri" w:eastAsia="Calibri" w:hAnsi="Calibri"/>
                <w:b/>
                <w:bCs/>
                <w:i w:val="false"/>
                <w:iCs w:val="false"/>
                <w:caps w:val="false"/>
                <w:color w:val="FFFFFF"/>
                <w:sz w:val="16"/>
                <w:szCs w:val="16"/>
              </w:rPr>
              <w:t xml:space="preserve">#</w:t>
            </w:r>
          </w:p>
        </w:tc>
        <w:tc>
          <w:tcPr>
            <w:tcW w:type="dxa" w:w="1900"/>
            <w:tcBorders>
              <w:top w:val="single" w:color="1B4F72" w:sz="4"/>
              <w:left w:val="single" w:color="1B4F72" w:sz="4"/>
              <w:bottom w:val="single" w:color="1B4F72" w:sz="4"/>
              <w:right w:val="single" w:color="1B4F72" w:sz="4"/>
            </w:tcBorders>
            <w:shd w:fill="2E4057" w:val="clear"/>
            <w:tcMar>
              <w:top w:type="dxa" w:w="60"/>
              <w:left w:type="dxa" w:w="100"/>
              <w:bottom w:type="dxa" w:w="60"/>
              <w:right w:type="dxa" w:w="100"/>
            </w:tcMar>
          </w:tcPr>
          <w:p>
            <w:pPr>
              <w:spacing w:before="0" w:after="0"/>
              <w:jc w:val="center"/>
            </w:pPr>
            <w:r>
              <w:rPr>
                <w:rFonts w:ascii="Calibri" w:cs="Calibri" w:eastAsia="Calibri" w:hAnsi="Calibri"/>
                <w:b/>
                <w:bCs/>
                <w:i w:val="false"/>
                <w:iCs w:val="false"/>
                <w:caps w:val="false"/>
                <w:color w:val="FFFFFF"/>
                <w:sz w:val="16"/>
                <w:szCs w:val="16"/>
              </w:rPr>
              <w:t xml:space="preserve">Policy</w:t>
            </w:r>
          </w:p>
        </w:tc>
        <w:tc>
          <w:tcPr>
            <w:tcW w:type="dxa" w:w="900"/>
            <w:tcBorders>
              <w:top w:val="single" w:color="1B4F72" w:sz="4"/>
              <w:left w:val="single" w:color="1B4F72" w:sz="4"/>
              <w:bottom w:val="single" w:color="1B4F72" w:sz="4"/>
              <w:right w:val="single" w:color="1B4F72" w:sz="4"/>
            </w:tcBorders>
            <w:shd w:fill="2E4057" w:val="clear"/>
            <w:tcMar>
              <w:top w:type="dxa" w:w="60"/>
              <w:left w:type="dxa" w:w="100"/>
              <w:bottom w:type="dxa" w:w="60"/>
              <w:right w:type="dxa" w:w="100"/>
            </w:tcMar>
          </w:tcPr>
          <w:p>
            <w:pPr>
              <w:spacing w:before="0" w:after="0"/>
              <w:jc w:val="center"/>
            </w:pPr>
            <w:r>
              <w:rPr>
                <w:rFonts w:ascii="Calibri" w:cs="Calibri" w:eastAsia="Calibri" w:hAnsi="Calibri"/>
                <w:b/>
                <w:bCs/>
                <w:i w:val="false"/>
                <w:iCs w:val="false"/>
                <w:caps w:val="false"/>
                <w:color w:val="FFFFFF"/>
                <w:sz w:val="16"/>
                <w:szCs w:val="16"/>
              </w:rPr>
              <w:t xml:space="preserve">Category</w:t>
            </w:r>
          </w:p>
        </w:tc>
        <w:tc>
          <w:tcPr>
            <w:tcW w:type="dxa" w:w="1300"/>
            <w:tcBorders>
              <w:top w:val="single" w:color="1B4F72" w:sz="4"/>
              <w:left w:val="single" w:color="1B4F72" w:sz="4"/>
              <w:bottom w:val="single" w:color="1B4F72" w:sz="4"/>
              <w:right w:val="single" w:color="1B4F72" w:sz="4"/>
            </w:tcBorders>
            <w:shd w:fill="2E4057" w:val="clear"/>
            <w:tcMar>
              <w:top w:type="dxa" w:w="60"/>
              <w:left w:type="dxa" w:w="100"/>
              <w:bottom w:type="dxa" w:w="60"/>
              <w:right w:type="dxa" w:w="100"/>
            </w:tcMar>
          </w:tcPr>
          <w:p>
            <w:pPr>
              <w:spacing w:before="0" w:after="0"/>
              <w:jc w:val="center"/>
            </w:pPr>
            <w:r>
              <w:rPr>
                <w:rFonts w:ascii="Calibri" w:cs="Calibri" w:eastAsia="Calibri" w:hAnsi="Calibri"/>
                <w:b/>
                <w:bCs/>
                <w:i w:val="false"/>
                <w:iCs w:val="false"/>
                <w:caps w:val="false"/>
                <w:color w:val="FFFFFF"/>
                <w:sz w:val="16"/>
                <w:szCs w:val="16"/>
              </w:rPr>
              <w:t xml:space="preserve">Cost Basis</w:t>
            </w:r>
          </w:p>
        </w:tc>
        <w:tc>
          <w:tcPr>
            <w:tcW w:type="dxa" w:w="1500"/>
            <w:tcBorders>
              <w:top w:val="single" w:color="1B4F72" w:sz="4"/>
              <w:left w:val="single" w:color="1B4F72" w:sz="4"/>
              <w:bottom w:val="single" w:color="1B4F72" w:sz="4"/>
              <w:right w:val="single" w:color="1B4F72" w:sz="4"/>
            </w:tcBorders>
            <w:shd w:fill="2E4057" w:val="clear"/>
            <w:tcMar>
              <w:top w:type="dxa" w:w="60"/>
              <w:left w:type="dxa" w:w="100"/>
              <w:bottom w:type="dxa" w:w="60"/>
              <w:right w:type="dxa" w:w="100"/>
            </w:tcMar>
          </w:tcPr>
          <w:p>
            <w:pPr>
              <w:spacing w:before="0" w:after="0"/>
              <w:jc w:val="center"/>
            </w:pPr>
            <w:r>
              <w:rPr>
                <w:rFonts w:ascii="Calibri" w:cs="Calibri" w:eastAsia="Calibri" w:hAnsi="Calibri"/>
                <w:b/>
                <w:bCs/>
                <w:i w:val="false"/>
                <w:iCs w:val="false"/>
                <w:caps w:val="false"/>
                <w:color w:val="FFFFFF"/>
                <w:sz w:val="16"/>
                <w:szCs w:val="16"/>
              </w:rPr>
              <w:t xml:space="preserve">Impact Basis</w:t>
            </w:r>
          </w:p>
        </w:tc>
        <w:tc>
          <w:tcPr>
            <w:tcW w:type="dxa" w:w="560"/>
            <w:tcBorders>
              <w:top w:val="single" w:color="1B4F72" w:sz="4"/>
              <w:left w:val="single" w:color="1B4F72" w:sz="4"/>
              <w:bottom w:val="single" w:color="1B4F72" w:sz="4"/>
              <w:right w:val="single" w:color="1B4F72" w:sz="4"/>
            </w:tcBorders>
            <w:shd w:fill="2E4057" w:val="clear"/>
            <w:tcMar>
              <w:top w:type="dxa" w:w="60"/>
              <w:left w:type="dxa" w:w="100"/>
              <w:bottom w:type="dxa" w:w="60"/>
              <w:right w:type="dxa" w:w="100"/>
            </w:tcMar>
          </w:tcPr>
          <w:p>
            <w:pPr>
              <w:spacing w:before="0" w:after="0"/>
              <w:jc w:val="center"/>
            </w:pPr>
            <w:r>
              <w:rPr>
                <w:rFonts w:ascii="Calibri" w:cs="Calibri" w:eastAsia="Calibri" w:hAnsi="Calibri"/>
                <w:b/>
                <w:bCs/>
                <w:i w:val="false"/>
                <w:iCs w:val="false"/>
                <w:caps w:val="false"/>
                <w:color w:val="FFFFFF"/>
                <w:sz w:val="16"/>
                <w:szCs w:val="16"/>
              </w:rPr>
              <w:t xml:space="preserve">b</w:t>
            </w:r>
          </w:p>
        </w:tc>
        <w:tc>
          <w:tcPr>
            <w:tcW w:type="dxa" w:w="2680"/>
            <w:tcBorders>
              <w:top w:val="single" w:color="1B4F72" w:sz="4"/>
              <w:left w:val="single" w:color="1B4F72" w:sz="4"/>
              <w:bottom w:val="single" w:color="1B4F72" w:sz="4"/>
              <w:right w:val="single" w:color="1B4F72" w:sz="4"/>
            </w:tcBorders>
            <w:shd w:fill="2E4057" w:val="clear"/>
            <w:tcMar>
              <w:top w:type="dxa" w:w="60"/>
              <w:left w:type="dxa" w:w="100"/>
              <w:bottom w:type="dxa" w:w="60"/>
              <w:right w:type="dxa" w:w="100"/>
            </w:tcMar>
          </w:tcPr>
          <w:p>
            <w:pPr>
              <w:spacing w:before="0" w:after="0"/>
              <w:jc w:val="center"/>
            </w:pPr>
            <w:r>
              <w:rPr>
                <w:rFonts w:ascii="Calibri" w:cs="Calibri" w:eastAsia="Calibri" w:hAnsi="Calibri"/>
                <w:b/>
                <w:bCs/>
                <w:i w:val="false"/>
                <w:iCs w:val="false"/>
                <w:caps w:val="false"/>
                <w:color w:val="FFFFFF"/>
                <w:sz w:val="16"/>
                <w:szCs w:val="16"/>
              </w:rPr>
              <w:t xml:space="preserve">Key Sources</w:t>
            </w:r>
          </w:p>
        </w:tc>
      </w:tr>
      <w:tr>
        <w:tc>
          <w:tcPr>
            <w:tcW w:type="dxa" w:w="24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1</w:t>
            </w:r>
          </w:p>
        </w:tc>
        <w:tc>
          <w:tcPr>
            <w:tcW w:type="dxa" w:w="19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Fortified rice &amp; school feeding</w:t>
            </w:r>
          </w:p>
        </w:tc>
        <w:tc>
          <w:tcPr>
            <w:tcW w:type="dxa" w:w="9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Direct nutrition</w:t>
            </w:r>
          </w:p>
        </w:tc>
        <w:tc>
          <w:tcPr>
            <w:tcW w:type="dxa" w:w="13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$0.12/child/day</w:t>
            </w:r>
          </w:p>
        </w:tc>
        <w:tc>
          <w:tcPr>
            <w:tcW w:type="dxa" w:w="15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Anemia reduced; enrollment +4.2%</w:t>
            </w:r>
          </w:p>
        </w:tc>
        <w:tc>
          <w:tcPr>
            <w:tcW w:type="dxa" w:w="56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center"/>
            </w:pPr>
            <w:r>
              <w:rPr>
                <w:rFonts w:ascii="Calibri" w:cs="Calibri" w:eastAsia="Calibri" w:hAnsi="Calibri"/>
                <w:b w:val="false"/>
                <w:bCs w:val="false"/>
                <w:i w:val="false"/>
                <w:iCs w:val="false"/>
                <w:caps w:val="false"/>
                <w:color w:val="1A1A1A"/>
                <w:sz w:val="16"/>
                <w:szCs w:val="16"/>
              </w:rPr>
              <w:t xml:space="preserve">0.80</w:t>
            </w:r>
          </w:p>
        </w:tc>
        <w:tc>
          <w:tcPr>
            <w:tcW w:type="dxa" w:w="268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WFP Bangladesh evaluation</w:t>
            </w:r>
          </w:p>
        </w:tc>
      </w:tr>
      <w:tr>
        <w:tc>
          <w:tcPr>
            <w:tcW w:type="dxa" w:w="24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2</w:t>
            </w:r>
          </w:p>
        </w:tc>
        <w:tc>
          <w:tcPr>
            <w:tcW w:type="dxa" w:w="19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Saline-tolerant rice</w:t>
            </w:r>
          </w:p>
        </w:tc>
        <w:tc>
          <w:tcPr>
            <w:tcW w:type="dxa" w:w="9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Production</w:t>
            </w:r>
          </w:p>
        </w:tc>
        <w:tc>
          <w:tcPr>
            <w:tcW w:type="dxa" w:w="13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~$5,000/farm</w:t>
            </w:r>
          </w:p>
        </w:tc>
        <w:tc>
          <w:tcPr>
            <w:tcW w:type="dxa" w:w="15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+2 tons/ha in saline zones</w:t>
            </w:r>
          </w:p>
        </w:tc>
        <w:tc>
          <w:tcPr>
            <w:tcW w:type="dxa" w:w="56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center"/>
            </w:pPr>
            <w:r>
              <w:rPr>
                <w:rFonts w:ascii="Calibri" w:cs="Calibri" w:eastAsia="Calibri" w:hAnsi="Calibri"/>
                <w:b w:val="false"/>
                <w:bCs w:val="false"/>
                <w:i w:val="false"/>
                <w:iCs w:val="false"/>
                <w:caps w:val="false"/>
                <w:color w:val="1A1A1A"/>
                <w:sz w:val="16"/>
                <w:szCs w:val="16"/>
              </w:rPr>
              <w:t xml:space="preserve">0.80</w:t>
            </w:r>
          </w:p>
        </w:tc>
        <w:tc>
          <w:tcPr>
            <w:tcW w:type="dxa" w:w="268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CGIAR; BRRI dhan97/99</w:t>
            </w:r>
          </w:p>
        </w:tc>
      </w:tr>
      <w:tr>
        <w:tc>
          <w:tcPr>
            <w:tcW w:type="dxa" w:w="24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3</w:t>
            </w:r>
          </w:p>
        </w:tc>
        <w:tc>
          <w:tcPr>
            <w:tcW w:type="dxa" w:w="19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Post-harvest storage</w:t>
            </w:r>
          </w:p>
        </w:tc>
        <w:tc>
          <w:tcPr>
            <w:tcW w:type="dxa" w:w="9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Production</w:t>
            </w:r>
          </w:p>
        </w:tc>
        <w:tc>
          <w:tcPr>
            <w:tcW w:type="dxa" w:w="13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Recovered in 1 harvest</w:t>
            </w:r>
          </w:p>
        </w:tc>
        <w:tc>
          <w:tcPr>
            <w:tcW w:type="dxa" w:w="15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Losses 11.38% → 0.92%</w:t>
            </w:r>
          </w:p>
        </w:tc>
        <w:tc>
          <w:tcPr>
            <w:tcW w:type="dxa" w:w="56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center"/>
            </w:pPr>
            <w:r>
              <w:rPr>
                <w:rFonts w:ascii="Calibri" w:cs="Calibri" w:eastAsia="Calibri" w:hAnsi="Calibri"/>
                <w:b w:val="false"/>
                <w:bCs w:val="false"/>
                <w:i w:val="false"/>
                <w:iCs w:val="false"/>
                <w:caps w:val="false"/>
                <w:color w:val="1A1A1A"/>
                <w:sz w:val="16"/>
                <w:szCs w:val="16"/>
              </w:rPr>
              <w:t xml:space="preserve">0.70</w:t>
            </w:r>
          </w:p>
        </w:tc>
        <w:tc>
          <w:tcPr>
            <w:tcW w:type="dxa" w:w="268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ASABE; BAU/ADM pilot</w:t>
            </w:r>
          </w:p>
        </w:tc>
      </w:tr>
      <w:tr>
        <w:tc>
          <w:tcPr>
            <w:tcW w:type="dxa" w:w="24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4</w:t>
            </w:r>
          </w:p>
        </w:tc>
        <w:tc>
          <w:tcPr>
            <w:tcW w:type="dxa" w:w="19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AWD irrigation</w:t>
            </w:r>
          </w:p>
        </w:tc>
        <w:tc>
          <w:tcPr>
            <w:tcW w:type="dxa" w:w="9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Production</w:t>
            </w:r>
          </w:p>
        </w:tc>
        <w:tc>
          <w:tcPr>
            <w:tcW w:type="dxa" w:w="13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$67–97/ha</w:t>
            </w:r>
          </w:p>
        </w:tc>
        <w:tc>
          <w:tcPr>
            <w:tcW w:type="dxa" w:w="15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+500 kg/ha; 27% water savings</w:t>
            </w:r>
          </w:p>
        </w:tc>
        <w:tc>
          <w:tcPr>
            <w:tcW w:type="dxa" w:w="56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center"/>
            </w:pPr>
            <w:r>
              <w:rPr>
                <w:rFonts w:ascii="Calibri" w:cs="Calibri" w:eastAsia="Calibri" w:hAnsi="Calibri"/>
                <w:b w:val="false"/>
                <w:bCs w:val="false"/>
                <w:i w:val="false"/>
                <w:iCs w:val="false"/>
                <w:caps w:val="false"/>
                <w:color w:val="1A1A1A"/>
                <w:sz w:val="16"/>
                <w:szCs w:val="16"/>
              </w:rPr>
              <w:t xml:space="preserve">0.70</w:t>
            </w:r>
          </w:p>
        </w:tc>
        <w:tc>
          <w:tcPr>
            <w:tcW w:type="dxa" w:w="268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IRRI Rice Knowledge Bank</w:t>
            </w:r>
          </w:p>
        </w:tc>
      </w:tr>
      <w:tr>
        <w:tc>
          <w:tcPr>
            <w:tcW w:type="dxa" w:w="24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5</w:t>
            </w:r>
          </w:p>
        </w:tc>
        <w:tc>
          <w:tcPr>
            <w:tcW w:type="dxa" w:w="19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Flood-tolerant rice (Sub1)</w:t>
            </w:r>
          </w:p>
        </w:tc>
        <w:tc>
          <w:tcPr>
            <w:tcW w:type="dxa" w:w="9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Production</w:t>
            </w:r>
          </w:p>
        </w:tc>
        <w:tc>
          <w:tcPr>
            <w:tcW w:type="dxa" w:w="13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~$5,000/farm</w:t>
            </w:r>
          </w:p>
        </w:tc>
        <w:tc>
          <w:tcPr>
            <w:tcW w:type="dxa" w:w="15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+1–3 tons/ha; 55% higher profit</w:t>
            </w:r>
          </w:p>
        </w:tc>
        <w:tc>
          <w:tcPr>
            <w:tcW w:type="dxa" w:w="56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center"/>
            </w:pPr>
            <w:r>
              <w:rPr>
                <w:rFonts w:ascii="Calibri" w:cs="Calibri" w:eastAsia="Calibri" w:hAnsi="Calibri"/>
                <w:b w:val="false"/>
                <w:bCs w:val="false"/>
                <w:i w:val="false"/>
                <w:iCs w:val="false"/>
                <w:caps w:val="false"/>
                <w:color w:val="1A1A1A"/>
                <w:sz w:val="16"/>
                <w:szCs w:val="16"/>
              </w:rPr>
              <w:t xml:space="preserve">0.70</w:t>
            </w:r>
          </w:p>
        </w:tc>
        <w:tc>
          <w:tcPr>
            <w:tcW w:type="dxa" w:w="268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CGIAR/IRRI Sub1 trials</w:t>
            </w:r>
          </w:p>
        </w:tc>
      </w:tr>
      <w:tr>
        <w:tc>
          <w:tcPr>
            <w:tcW w:type="dxa" w:w="24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6</w:t>
            </w:r>
          </w:p>
        </w:tc>
        <w:tc>
          <w:tcPr>
            <w:tcW w:type="dxa" w:w="19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Renewable energy irrigation</w:t>
            </w:r>
          </w:p>
        </w:tc>
        <w:tc>
          <w:tcPr>
            <w:tcW w:type="dxa" w:w="9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Infrastructure</w:t>
            </w:r>
          </w:p>
        </w:tc>
        <w:tc>
          <w:tcPr>
            <w:tcW w:type="dxa" w:w="13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ADB $400M+</w:t>
            </w:r>
          </w:p>
        </w:tc>
        <w:tc>
          <w:tcPr>
            <w:tcW w:type="dxa" w:w="15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Eliminates fuel cost volatility</w:t>
            </w:r>
          </w:p>
        </w:tc>
        <w:tc>
          <w:tcPr>
            <w:tcW w:type="dxa" w:w="56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center"/>
            </w:pPr>
            <w:r>
              <w:rPr>
                <w:rFonts w:ascii="Calibri" w:cs="Calibri" w:eastAsia="Calibri" w:hAnsi="Calibri"/>
                <w:b w:val="false"/>
                <w:bCs w:val="false"/>
                <w:i w:val="false"/>
                <w:iCs w:val="false"/>
                <w:caps w:val="false"/>
                <w:color w:val="1A1A1A"/>
                <w:sz w:val="16"/>
                <w:szCs w:val="16"/>
              </w:rPr>
              <w:t xml:space="preserve">0.75</w:t>
            </w:r>
          </w:p>
        </w:tc>
        <w:tc>
          <w:tcPr>
            <w:tcW w:type="dxa" w:w="268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ADB $400M commitment</w:t>
            </w:r>
          </w:p>
        </w:tc>
      </w:tr>
      <w:tr>
        <w:tc>
          <w:tcPr>
            <w:tcW w:type="dxa" w:w="24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7</w:t>
            </w:r>
          </w:p>
        </w:tc>
        <w:tc>
          <w:tcPr>
            <w:tcW w:type="dxa" w:w="19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Crop diversification</w:t>
            </w:r>
          </w:p>
        </w:tc>
        <w:tc>
          <w:tcPr>
            <w:tcW w:type="dxa" w:w="9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Production</w:t>
            </w:r>
          </w:p>
        </w:tc>
        <w:tc>
          <w:tcPr>
            <w:tcW w:type="dxa" w:w="13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~$120M/Five Year Plan</w:t>
            </w:r>
          </w:p>
        </w:tc>
        <w:tc>
          <w:tcPr>
            <w:tcW w:type="dxa" w:w="15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Reduces rice monoculture</w:t>
            </w:r>
          </w:p>
        </w:tc>
        <w:tc>
          <w:tcPr>
            <w:tcW w:type="dxa" w:w="56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center"/>
            </w:pPr>
            <w:r>
              <w:rPr>
                <w:rFonts w:ascii="Calibri" w:cs="Calibri" w:eastAsia="Calibri" w:hAnsi="Calibri"/>
                <w:b w:val="false"/>
                <w:bCs w:val="false"/>
                <w:i w:val="false"/>
                <w:iCs w:val="false"/>
                <w:caps w:val="false"/>
                <w:color w:val="1A1A1A"/>
                <w:sz w:val="16"/>
                <w:szCs w:val="16"/>
              </w:rPr>
              <w:t xml:space="preserve">0.65</w:t>
            </w:r>
          </w:p>
        </w:tc>
        <w:tc>
          <w:tcPr>
            <w:tcW w:type="dxa" w:w="268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Frontiers in Sustainable Food Systems</w:t>
            </w:r>
          </w:p>
        </w:tc>
      </w:tr>
      <w:tr>
        <w:tc>
          <w:tcPr>
            <w:tcW w:type="dxa" w:w="24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8</w:t>
            </w:r>
          </w:p>
        </w:tc>
        <w:tc>
          <w:tcPr>
            <w:tcW w:type="dxa" w:w="19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Farmer insurance</w:t>
            </w:r>
          </w:p>
        </w:tc>
        <w:tc>
          <w:tcPr>
            <w:tcW w:type="dxa" w:w="9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Protection</w:t>
            </w:r>
          </w:p>
        </w:tc>
        <w:tc>
          <w:tcPr>
            <w:tcW w:type="dxa" w:w="13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25% premium subsidy</w:t>
            </w:r>
          </w:p>
        </w:tc>
        <w:tc>
          <w:tcPr>
            <w:tcW w:type="dxa" w:w="15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10,000 BDT payout/event</w:t>
            </w:r>
          </w:p>
        </w:tc>
        <w:tc>
          <w:tcPr>
            <w:tcW w:type="dxa" w:w="56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center"/>
            </w:pPr>
            <w:r>
              <w:rPr>
                <w:rFonts w:ascii="Calibri" w:cs="Calibri" w:eastAsia="Calibri" w:hAnsi="Calibri"/>
                <w:b w:val="false"/>
                <w:bCs w:val="false"/>
                <w:i w:val="false"/>
                <w:iCs w:val="false"/>
                <w:caps w:val="false"/>
                <w:color w:val="1A1A1A"/>
                <w:sz w:val="16"/>
                <w:szCs w:val="16"/>
              </w:rPr>
              <w:t xml:space="preserve">0.50</w:t>
            </w:r>
          </w:p>
        </w:tc>
        <w:tc>
          <w:tcPr>
            <w:tcW w:type="dxa" w:w="268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World Bank Insurance Appraisal</w:t>
            </w:r>
          </w:p>
        </w:tc>
      </w:tr>
      <w:tr>
        <w:tc>
          <w:tcPr>
            <w:tcW w:type="dxa" w:w="24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9</w:t>
            </w:r>
          </w:p>
        </w:tc>
        <w:tc>
          <w:tcPr>
            <w:tcW w:type="dxa" w:w="19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River/canal excavation</w:t>
            </w:r>
          </w:p>
        </w:tc>
        <w:tc>
          <w:tcPr>
            <w:tcW w:type="dxa" w:w="9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Infrastructure</w:t>
            </w:r>
          </w:p>
        </w:tc>
        <w:tc>
          <w:tcPr>
            <w:tcW w:type="dxa" w:w="13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~$1.7M/km</w:t>
            </w:r>
          </w:p>
        </w:tc>
        <w:tc>
          <w:tcPr>
            <w:tcW w:type="dxa" w:w="15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20% flood duration reduction</w:t>
            </w:r>
          </w:p>
        </w:tc>
        <w:tc>
          <w:tcPr>
            <w:tcW w:type="dxa" w:w="56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center"/>
            </w:pPr>
            <w:r>
              <w:rPr>
                <w:rFonts w:ascii="Calibri" w:cs="Calibri" w:eastAsia="Calibri" w:hAnsi="Calibri"/>
                <w:b w:val="false"/>
                <w:bCs w:val="false"/>
                <w:i w:val="false"/>
                <w:iCs w:val="false"/>
                <w:caps w:val="false"/>
                <w:color w:val="1A1A1A"/>
                <w:sz w:val="16"/>
                <w:szCs w:val="16"/>
              </w:rPr>
              <w:t xml:space="preserve">0.60</w:t>
            </w:r>
          </w:p>
        </w:tc>
        <w:tc>
          <w:tcPr>
            <w:tcW w:type="dxa" w:w="268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USQ cost-benefit (BCR 4.35)</w:t>
            </w:r>
          </w:p>
        </w:tc>
      </w:tr>
      <w:tr>
        <w:tc>
          <w:tcPr>
            <w:tcW w:type="dxa" w:w="24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10</w:t>
            </w:r>
          </w:p>
        </w:tc>
        <w:tc>
          <w:tcPr>
            <w:tcW w:type="dxa" w:w="19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Tree planting</w:t>
            </w:r>
          </w:p>
        </w:tc>
        <w:tc>
          <w:tcPr>
            <w:tcW w:type="dxa" w:w="9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Infrastructure</w:t>
            </w:r>
          </w:p>
        </w:tc>
        <w:tc>
          <w:tcPr>
            <w:tcW w:type="dxa" w:w="13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$1.50–$10/tree</w:t>
            </w:r>
          </w:p>
        </w:tc>
        <w:tc>
          <w:tcPr>
            <w:tcW w:type="dxa" w:w="15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Erosion control, flood buffering</w:t>
            </w:r>
          </w:p>
        </w:tc>
        <w:tc>
          <w:tcPr>
            <w:tcW w:type="dxa" w:w="56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center"/>
            </w:pPr>
            <w:r>
              <w:rPr>
                <w:rFonts w:ascii="Calibri" w:cs="Calibri" w:eastAsia="Calibri" w:hAnsi="Calibri"/>
                <w:b w:val="false"/>
                <w:bCs w:val="false"/>
                <w:i w:val="false"/>
                <w:iCs w:val="false"/>
                <w:caps w:val="false"/>
                <w:color w:val="1A1A1A"/>
                <w:sz w:val="16"/>
                <w:szCs w:val="16"/>
              </w:rPr>
              <w:t xml:space="preserve">0.50</w:t>
            </w:r>
          </w:p>
        </w:tc>
        <w:tc>
          <w:tcPr>
            <w:tcW w:type="dxa" w:w="268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BNP manifesto; Daily Star</w:t>
            </w:r>
          </w:p>
        </w:tc>
      </w:tr>
      <w:tr>
        <w:tc>
          <w:tcPr>
            <w:tcW w:type="dxa" w:w="24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11</w:t>
            </w:r>
          </w:p>
        </w:tc>
        <w:tc>
          <w:tcPr>
            <w:tcW w:type="dxa" w:w="19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Aquaculture expansion</w:t>
            </w:r>
          </w:p>
        </w:tc>
        <w:tc>
          <w:tcPr>
            <w:tcW w:type="dxa" w:w="9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Production</w:t>
            </w:r>
          </w:p>
        </w:tc>
        <w:tc>
          <w:tcPr>
            <w:tcW w:type="dxa" w:w="13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~$12,700/ha gross</w:t>
            </w:r>
          </w:p>
        </w:tc>
        <w:tc>
          <w:tcPr>
            <w:tcW w:type="dxa" w:w="15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6× production increase over 25 yrs</w:t>
            </w:r>
          </w:p>
        </w:tc>
        <w:tc>
          <w:tcPr>
            <w:tcW w:type="dxa" w:w="56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center"/>
            </w:pPr>
            <w:r>
              <w:rPr>
                <w:rFonts w:ascii="Calibri" w:cs="Calibri" w:eastAsia="Calibri" w:hAnsi="Calibri"/>
                <w:b w:val="false"/>
                <w:bCs w:val="false"/>
                <w:i w:val="false"/>
                <w:iCs w:val="false"/>
                <w:caps w:val="false"/>
                <w:color w:val="1A1A1A"/>
                <w:sz w:val="16"/>
                <w:szCs w:val="16"/>
              </w:rPr>
              <w:t xml:space="preserve">0.75</w:t>
            </w:r>
          </w:p>
        </w:tc>
        <w:tc>
          <w:tcPr>
            <w:tcW w:type="dxa" w:w="268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BanglaJOL; ScienceDirect</w:t>
            </w:r>
          </w:p>
        </w:tc>
      </w:tr>
      <w:tr>
        <w:tc>
          <w:tcPr>
            <w:tcW w:type="dxa" w:w="24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12</w:t>
            </w:r>
          </w:p>
        </w:tc>
        <w:tc>
          <w:tcPr>
            <w:tcW w:type="dxa" w:w="19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Cyclone early warning</w:t>
            </w:r>
          </w:p>
        </w:tc>
        <w:tc>
          <w:tcPr>
            <w:tcW w:type="dxa" w:w="9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Protection</w:t>
            </w:r>
          </w:p>
        </w:tc>
        <w:tc>
          <w:tcPr>
            <w:tcW w:type="dxa" w:w="13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Low — FFWC upgrade</w:t>
            </w:r>
          </w:p>
        </w:tc>
        <w:tc>
          <w:tcPr>
            <w:tcW w:type="dxa" w:w="15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$73–85M avoided/major event</w:t>
            </w:r>
          </w:p>
        </w:tc>
        <w:tc>
          <w:tcPr>
            <w:tcW w:type="dxa" w:w="56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center"/>
            </w:pPr>
            <w:r>
              <w:rPr>
                <w:rFonts w:ascii="Calibri" w:cs="Calibri" w:eastAsia="Calibri" w:hAnsi="Calibri"/>
                <w:b w:val="false"/>
                <w:bCs w:val="false"/>
                <w:i w:val="false"/>
                <w:iCs w:val="false"/>
                <w:caps w:val="false"/>
                <w:color w:val="1A1A1A"/>
                <w:sz w:val="16"/>
                <w:szCs w:val="16"/>
              </w:rPr>
              <w:t xml:space="preserve">0.85</w:t>
            </w:r>
          </w:p>
        </w:tc>
        <w:tc>
          <w:tcPr>
            <w:tcW w:type="dxa" w:w="268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Springer 2024 valuation</w:t>
            </w:r>
          </w:p>
        </w:tc>
      </w:tr>
      <w:tr>
        <w:tc>
          <w:tcPr>
            <w:tcW w:type="dxa" w:w="24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13</w:t>
            </w:r>
          </w:p>
        </w:tc>
        <w:tc>
          <w:tcPr>
            <w:tcW w:type="dxa" w:w="19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Flood forecasting</w:t>
            </w:r>
          </w:p>
        </w:tc>
        <w:tc>
          <w:tcPr>
            <w:tcW w:type="dxa" w:w="9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Protection</w:t>
            </w:r>
          </w:p>
        </w:tc>
        <w:tc>
          <w:tcPr>
            <w:tcW w:type="dxa" w:w="13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$270M (B-STRONG)</w:t>
            </w:r>
          </w:p>
        </w:tc>
        <w:tc>
          <w:tcPr>
            <w:tcW w:type="dxa" w:w="15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BCR 79–213; $2,525/household</w:t>
            </w:r>
          </w:p>
        </w:tc>
        <w:tc>
          <w:tcPr>
            <w:tcW w:type="dxa" w:w="56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center"/>
            </w:pPr>
            <w:r>
              <w:rPr>
                <w:rFonts w:ascii="Calibri" w:cs="Calibri" w:eastAsia="Calibri" w:hAnsi="Calibri"/>
                <w:b w:val="false"/>
                <w:bCs w:val="false"/>
                <w:i w:val="false"/>
                <w:iCs w:val="false"/>
                <w:caps w:val="false"/>
                <w:color w:val="1A1A1A"/>
                <w:sz w:val="16"/>
                <w:szCs w:val="16"/>
              </w:rPr>
              <w:t xml:space="preserve">0.85</w:t>
            </w:r>
          </w:p>
        </w:tc>
        <w:tc>
          <w:tcPr>
            <w:tcW w:type="dxa" w:w="268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World Bank B-STRONG; Springer 2024</w:t>
            </w:r>
          </w:p>
        </w:tc>
      </w:tr>
    </w:tbl>
    <w:p>
      <w:pPr>
        <w:spacing w:before="0" w:after="100"/>
      </w:pPr>
      <w:r>
        <w:rPr>
          <w:rFonts w:ascii="Calibri" w:cs="Calibri" w:eastAsia="Calibri" w:hAnsi="Calibri"/>
          <w:b w:val="false"/>
          <w:bCs w:val="false"/>
          <w:i w:val="false"/>
          <w:iCs w:val="false"/>
          <w:caps w:val="false"/>
          <w:color w:val="1A1A1A"/>
          <w:sz w:val="22"/>
          <w:szCs w:val="22"/>
        </w:rPr>
        <w:t xml:space="preserve"/>
      </w:r>
    </w:p>
    <w:p>
      <w:pPr>
        <w:spacing w:before="120" w:after="60"/>
        <w:ind w:left="360"/>
      </w:pPr>
      <w:r>
        <w:rPr>
          <w:rFonts w:ascii="Calibri" w:cs="Calibri" w:eastAsia="Calibri" w:hAnsi="Calibri"/>
          <w:b/>
          <w:bCs/>
          <w:i w:val="false"/>
          <w:iCs w:val="false"/>
          <w:caps w:val="false"/>
          <w:color w:val="1B4F72"/>
          <w:sz w:val="22"/>
          <w:szCs w:val="22"/>
        </w:rPr>
        <w:t xml:space="preserve">B.2 Conversion to Common Unit</w:t>
      </w:r>
    </w:p>
    <w:p>
      <w:pPr>
        <w:spacing w:before="0" w:after="80"/>
        <w:ind w:left="720"/>
        <w:jc w:val="both"/>
      </w:pPr>
      <w:r>
        <w:rPr>
          <w:rFonts w:ascii="Calibri" w:cs="Calibri" w:eastAsia="Calibri" w:hAnsi="Calibri"/>
          <w:b w:val="false"/>
          <w:bCs w:val="false"/>
          <w:i w:val="false"/>
          <w:iCs w:val="false"/>
          <w:caps w:val="false"/>
          <w:color w:val="1A1A1A"/>
          <w:sz w:val="18"/>
          <w:szCs w:val="18"/>
        </w:rPr>
        <w:t xml:space="preserve">Production policies: People fed = (tons produced × 3,600,000 kcal/ton) ÷ (2,393 kcal/day × 365). Example: 1 ton rice = 4.12 people/year.</w:t>
      </w:r>
    </w:p>
    <w:p>
      <w:pPr>
        <w:spacing w:before="0" w:after="80"/>
        <w:ind w:left="720"/>
        <w:jc w:val="both"/>
      </w:pPr>
      <w:r>
        <w:rPr>
          <w:rFonts w:ascii="Calibri" w:cs="Calibri" w:eastAsia="Calibri" w:hAnsi="Calibri"/>
          <w:b w:val="false"/>
          <w:bCs w:val="false"/>
          <w:i w:val="false"/>
          <w:iCs w:val="false"/>
          <w:caps w:val="false"/>
          <w:color w:val="1A1A1A"/>
          <w:sz w:val="18"/>
          <w:szCs w:val="18"/>
        </w:rPr>
        <w:t xml:space="preserve">Direct nutrition: People fed = program headcount × coverage factor.</w:t>
      </w:r>
    </w:p>
    <w:p>
      <w:pPr>
        <w:spacing w:before="0" w:after="80"/>
        <w:ind w:left="720"/>
        <w:jc w:val="both"/>
      </w:pPr>
      <w:r>
        <w:rPr>
          <w:rFonts w:ascii="Calibri" w:cs="Calibri" w:eastAsia="Calibri" w:hAnsi="Calibri"/>
          <w:b w:val="false"/>
          <w:bCs w:val="false"/>
          <w:i w:val="false"/>
          <w:iCs w:val="false"/>
          <w:caps w:val="false"/>
          <w:color w:val="1A1A1A"/>
          <w:sz w:val="18"/>
          <w:szCs w:val="18"/>
        </w:rPr>
        <w:t xml:space="preserve">Protection policies: Marginal people fed = base production × P(shock/year) × P(loss prevented) ÷ annual kcal per person.</w:t>
      </w:r>
    </w:p>
    <w:p>
      <w:pPr>
        <w:spacing w:before="120" w:after="60"/>
        <w:ind w:left="360"/>
      </w:pPr>
      <w:r>
        <w:rPr>
          <w:rFonts w:ascii="Calibri" w:cs="Calibri" w:eastAsia="Calibri" w:hAnsi="Calibri"/>
          <w:b/>
          <w:bCs/>
          <w:i w:val="false"/>
          <w:iCs w:val="false"/>
          <w:caps w:val="false"/>
          <w:color w:val="1B4F72"/>
          <w:sz w:val="22"/>
          <w:szCs w:val="22"/>
        </w:rPr>
        <w:t xml:space="preserve">B.3 Caloric Deficit Calculation</w:t>
      </w:r>
    </w:p>
    <w:p>
      <w:pPr>
        <w:spacing w:before="0" w:after="80"/>
        <w:ind w:left="720"/>
        <w:jc w:val="both"/>
      </w:pPr>
      <w:r>
        <w:rPr>
          <w:rFonts w:ascii="Calibri" w:cs="Calibri" w:eastAsia="Calibri" w:hAnsi="Calibri"/>
          <w:b w:val="false"/>
          <w:bCs w:val="false"/>
          <w:i w:val="false"/>
          <w:iCs w:val="false"/>
          <w:caps w:val="false"/>
          <w:color w:val="1A1A1A"/>
          <w:sz w:val="18"/>
          <w:szCs w:val="18"/>
        </w:rPr>
        <w:t xml:space="preserve">Undernourished population: 18,050,486 (FAO, 2022). Threshold: 1,805 kcal/day. National average: 2,393 kcal/day. Daily deficit per person: ~700 kcal.</w:t>
      </w:r>
    </w:p>
    <w:p>
      <w:pPr>
        <w:spacing w:before="0" w:after="80"/>
        <w:ind w:left="720"/>
        <w:jc w:val="both"/>
      </w:pPr>
      <w:r>
        <w:rPr>
          <w:rFonts w:ascii="Calibri" w:cs="Calibri" w:eastAsia="Calibri" w:hAnsi="Calibri"/>
          <w:b/>
          <w:bCs/>
          <w:i w:val="false"/>
          <w:iCs w:val="false"/>
          <w:caps w:val="false"/>
          <w:color w:val="1B4F72"/>
          <w:sz w:val="22"/>
          <w:szCs w:val="22"/>
        </w:rPr>
        <w:t xml:space="preserve">Total annual deficit: </w:t>
      </w:r>
      <w:r>
        <w:rPr>
          <w:rFonts w:ascii="Calibri" w:cs="Calibri" w:eastAsia="Calibri" w:hAnsi="Calibri"/>
          <w:b w:val="false"/>
          <w:bCs w:val="false"/>
          <w:i/>
          <w:iCs/>
          <w:caps w:val="false"/>
          <w:color w:val="1A1A1A"/>
          <w:sz w:val="18"/>
          <w:szCs w:val="18"/>
        </w:rPr>
        <w:t xml:space="preserve">18,050,486 × 700 kcal × 365 = 4.612 trillion kcal</w:t>
      </w:r>
    </w:p>
    <w:p>
      <w:pPr>
        <w:spacing w:before="120" w:after="60"/>
        <w:ind w:left="360"/>
      </w:pPr>
      <w:r>
        <w:rPr>
          <w:rFonts w:ascii="Calibri" w:cs="Calibri" w:eastAsia="Calibri" w:hAnsi="Calibri"/>
          <w:b/>
          <w:bCs/>
          <w:i w:val="false"/>
          <w:iCs w:val="false"/>
          <w:caps w:val="false"/>
          <w:color w:val="1B4F72"/>
          <w:sz w:val="22"/>
          <w:szCs w:val="22"/>
        </w:rPr>
        <w:t xml:space="preserve">B.4 Diminishing Returns Model</w:t>
      </w:r>
    </w:p>
    <w:p>
      <w:pPr>
        <w:spacing w:before="0" w:after="80"/>
        <w:ind w:left="720"/>
        <w:jc w:val="both"/>
      </w:pPr>
      <w:r>
        <w:rPr>
          <w:rFonts w:ascii="Calibri" w:cs="Calibri" w:eastAsia="Calibri" w:hAnsi="Calibri"/>
          <w:b w:val="false"/>
          <w:bCs w:val="false"/>
          <w:i w:val="false"/>
          <w:iCs w:val="false"/>
          <w:caps w:val="false"/>
          <w:color w:val="1A1A1A"/>
          <w:sz w:val="18"/>
          <w:szCs w:val="18"/>
        </w:rPr>
        <w:t xml:space="preserve">Each policy’s impact: </w:t>
      </w:r>
      <w:r>
        <w:rPr>
          <w:rFonts w:ascii="Calibri" w:cs="Calibri" w:eastAsia="Calibri" w:hAnsi="Calibri"/>
          <w:b w:val="false"/>
          <w:bCs w:val="false"/>
          <w:i/>
          <w:iCs/>
          <w:caps w:val="false"/>
          <w:color w:val="1A1A1A"/>
          <w:sz w:val="18"/>
          <w:szCs w:val="18"/>
        </w:rPr>
        <w:t xml:space="preserve">Impact(x) = (a / b) × x^b</w:t>
      </w:r>
      <w:r>
        <w:rPr>
          <w:rFonts w:ascii="Calibri" w:cs="Calibri" w:eastAsia="Calibri" w:hAnsi="Calibri"/>
          <w:b w:val="false"/>
          <w:bCs w:val="false"/>
          <w:i w:val="false"/>
          <w:iCs w:val="false"/>
          <w:caps w:val="false"/>
          <w:color w:val="1A1A1A"/>
          <w:sz w:val="18"/>
          <w:szCs w:val="18"/>
        </w:rPr>
        <w:t xml:space="preserve"> where x = spending ($M), a = marginal impact at first unit, b = exponent (0 &lt; b &lt; 1).</w:t>
      </w:r>
    </w:p>
    <w:p>
      <w:pPr>
        <w:spacing w:before="0" w:after="60"/>
      </w:pPr>
      <w:r>
        <w:rPr>
          <w:rFonts w:ascii="Calibri" w:cs="Calibri" w:eastAsia="Calibri" w:hAnsi="Calibri"/>
          <w:b w:val="false"/>
          <w:bCs w:val="false"/>
          <w:i w:val="false"/>
          <w:iCs w:val="false"/>
          <w:caps w:val="false"/>
          <w:color w:val="1A1A1A"/>
          <w:sz w:val="22"/>
          <w:szCs w:val="22"/>
        </w:rPr>
        <w:t xml:space="preserve"/>
      </w:r>
    </w:p>
    <w:p>
      <w:pPr>
        <w:spacing w:before="120" w:after="80"/>
        <w:jc w:val="center"/>
      </w:pPr>
      <w:r>
        <w:rPr>
          <w:rFonts w:ascii="Calibri" w:cs="Calibri" w:eastAsia="Calibri" w:hAnsi="Calibri"/>
          <w:b/>
          <w:bCs/>
          <w:i/>
          <w:iCs/>
          <w:caps w:val="false"/>
          <w:color w:val="555555"/>
          <w:sz w:val="19"/>
          <w:szCs w:val="19"/>
        </w:rPr>
        <w:t xml:space="preserve">Appendix Table 2. Diminishing Returns Exponents by Policy Type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280"/>
      </w:tblGrid>
      <w:tr>
        <w:trPr>
          <w:tblHeader/>
        </w:trPr>
        <w:tc>
          <w:tcPr>
            <w:tcW w:type="dxa" w:w="1200"/>
            <w:tcBorders>
              <w:top w:val="single" w:color="1B4F72" w:sz="4"/>
              <w:left w:val="single" w:color="1B4F72" w:sz="4"/>
              <w:bottom w:val="single" w:color="1B4F72" w:sz="4"/>
              <w:right w:val="single" w:color="1B4F72" w:sz="4"/>
            </w:tcBorders>
            <w:shd w:fill="2E4057" w:val="clear"/>
            <w:tcMar>
              <w:top w:type="dxa" w:w="60"/>
              <w:left w:type="dxa" w:w="100"/>
              <w:bottom w:type="dxa" w:w="60"/>
              <w:right w:type="dxa" w:w="100"/>
            </w:tcMar>
          </w:tcPr>
          <w:p>
            <w:pPr>
              <w:spacing w:before="0" w:after="0"/>
              <w:jc w:val="center"/>
            </w:pPr>
            <w:r>
              <w:rPr>
                <w:rFonts w:ascii="Calibri" w:cs="Calibri" w:eastAsia="Calibri" w:hAnsi="Calibri"/>
                <w:b/>
                <w:bCs/>
                <w:i w:val="false"/>
                <w:iCs w:val="false"/>
                <w:caps w:val="false"/>
                <w:color w:val="FFFFFF"/>
                <w:sz w:val="16"/>
                <w:szCs w:val="16"/>
              </w:rPr>
              <w:t xml:space="preserve">b range</w:t>
            </w:r>
          </w:p>
        </w:tc>
        <w:tc>
          <w:tcPr>
            <w:tcW w:type="dxa" w:w="3600"/>
            <w:tcBorders>
              <w:top w:val="single" w:color="1B4F72" w:sz="4"/>
              <w:left w:val="single" w:color="1B4F72" w:sz="4"/>
              <w:bottom w:val="single" w:color="1B4F72" w:sz="4"/>
              <w:right w:val="single" w:color="1B4F72" w:sz="4"/>
            </w:tcBorders>
            <w:shd w:fill="2E4057" w:val="clear"/>
            <w:tcMar>
              <w:top w:type="dxa" w:w="60"/>
              <w:left w:type="dxa" w:w="100"/>
              <w:bottom w:type="dxa" w:w="60"/>
              <w:right w:type="dxa" w:w="100"/>
            </w:tcMar>
          </w:tcPr>
          <w:p>
            <w:pPr>
              <w:spacing w:before="0" w:after="0"/>
              <w:jc w:val="center"/>
            </w:pPr>
            <w:r>
              <w:rPr>
                <w:rFonts w:ascii="Calibri" w:cs="Calibri" w:eastAsia="Calibri" w:hAnsi="Calibri"/>
                <w:b/>
                <w:bCs/>
                <w:i w:val="false"/>
                <w:iCs w:val="false"/>
                <w:caps w:val="false"/>
                <w:color w:val="FFFFFF"/>
                <w:sz w:val="16"/>
                <w:szCs w:val="16"/>
              </w:rPr>
              <w:t xml:space="preserve">Policy type</w:t>
            </w:r>
          </w:p>
        </w:tc>
        <w:tc>
          <w:tcPr>
            <w:tcW w:type="dxa" w:w="4280"/>
            <w:tcBorders>
              <w:top w:val="single" w:color="1B4F72" w:sz="4"/>
              <w:left w:val="single" w:color="1B4F72" w:sz="4"/>
              <w:bottom w:val="single" w:color="1B4F72" w:sz="4"/>
              <w:right w:val="single" w:color="1B4F72" w:sz="4"/>
            </w:tcBorders>
            <w:shd w:fill="2E4057" w:val="clear"/>
            <w:tcMar>
              <w:top w:type="dxa" w:w="60"/>
              <w:left w:type="dxa" w:w="100"/>
              <w:bottom w:type="dxa" w:w="60"/>
              <w:right w:type="dxa" w:w="100"/>
            </w:tcMar>
          </w:tcPr>
          <w:p>
            <w:pPr>
              <w:spacing w:before="0" w:after="0"/>
              <w:jc w:val="center"/>
            </w:pPr>
            <w:r>
              <w:rPr>
                <w:rFonts w:ascii="Calibri" w:cs="Calibri" w:eastAsia="Calibri" w:hAnsi="Calibri"/>
                <w:b/>
                <w:bCs/>
                <w:i w:val="false"/>
                <w:iCs w:val="false"/>
                <w:caps w:val="false"/>
                <w:color w:val="FFFFFF"/>
                <w:sz w:val="16"/>
                <w:szCs w:val="16"/>
              </w:rPr>
              <w:t xml:space="preserve">Rationale</w:t>
            </w:r>
          </w:p>
        </w:tc>
      </w:tr>
      <w:tr>
        <w:tc>
          <w:tcPr>
            <w:tcW w:type="dxa" w:w="12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center"/>
            </w:pPr>
            <w:r>
              <w:rPr>
                <w:rFonts w:ascii="Calibri" w:cs="Calibri" w:eastAsia="Calibri" w:hAnsi="Calibri"/>
                <w:b w:val="false"/>
                <w:bCs w:val="false"/>
                <w:i w:val="false"/>
                <w:iCs w:val="false"/>
                <w:caps w:val="false"/>
                <w:color w:val="1A1A1A"/>
                <w:sz w:val="16"/>
                <w:szCs w:val="16"/>
              </w:rPr>
              <w:t xml:space="preserve">0.80–0.85</w:t>
            </w:r>
          </w:p>
        </w:tc>
        <w:tc>
          <w:tcPr>
            <w:tcW w:type="dxa" w:w="36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Standardized delivery (feeding, forecasting, early warning)</w:t>
            </w:r>
          </w:p>
        </w:tc>
        <w:tc>
          <w:tcPr>
            <w:tcW w:type="dxa" w:w="428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Milder drop-off at scale</w:t>
            </w:r>
          </w:p>
        </w:tc>
      </w:tr>
      <w:tr>
        <w:tc>
          <w:tcPr>
            <w:tcW w:type="dxa" w:w="12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center"/>
            </w:pPr>
            <w:r>
              <w:rPr>
                <w:rFonts w:ascii="Calibri" w:cs="Calibri" w:eastAsia="Calibri" w:hAnsi="Calibri"/>
                <w:b w:val="false"/>
                <w:bCs w:val="false"/>
                <w:i w:val="false"/>
                <w:iCs w:val="false"/>
                <w:caps w:val="false"/>
                <w:color w:val="1A1A1A"/>
                <w:sz w:val="16"/>
                <w:szCs w:val="16"/>
              </w:rPr>
              <w:t xml:space="preserve">0.70–0.75</w:t>
            </w:r>
          </w:p>
        </w:tc>
        <w:tc>
          <w:tcPr>
            <w:tcW w:type="dxa" w:w="36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Agricultural production (rice, AWD, storage, aquaculture, solar)</w:t>
            </w:r>
          </w:p>
        </w:tc>
        <w:tc>
          <w:tcPr>
            <w:tcW w:type="dxa" w:w="428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Terrain, access, and behavioral constraints for later adopters</w:t>
            </w:r>
          </w:p>
        </w:tc>
      </w:tr>
      <w:tr>
        <w:tc>
          <w:tcPr>
            <w:tcW w:type="dxa" w:w="12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center"/>
            </w:pPr>
            <w:r>
              <w:rPr>
                <w:rFonts w:ascii="Calibri" w:cs="Calibri" w:eastAsia="Calibri" w:hAnsi="Calibri"/>
                <w:b w:val="false"/>
                <w:bCs w:val="false"/>
                <w:i w:val="false"/>
                <w:iCs w:val="false"/>
                <w:caps w:val="false"/>
                <w:color w:val="1A1A1A"/>
                <w:sz w:val="16"/>
                <w:szCs w:val="16"/>
              </w:rPr>
              <w:t xml:space="preserve">0.60–0.65</w:t>
            </w:r>
          </w:p>
        </w:tc>
        <w:tc>
          <w:tcPr>
            <w:tcW w:type="dxa" w:w="36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Behavioral change (crop diversification, canal excavation)</w:t>
            </w:r>
          </w:p>
        </w:tc>
        <w:tc>
          <w:tcPr>
            <w:tcW w:type="dxa" w:w="428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Requires cultural shift; hardest populations reached last</w:t>
            </w:r>
          </w:p>
        </w:tc>
      </w:tr>
      <w:tr>
        <w:tc>
          <w:tcPr>
            <w:tcW w:type="dxa" w:w="12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center"/>
            </w:pPr>
            <w:r>
              <w:rPr>
                <w:rFonts w:ascii="Calibri" w:cs="Calibri" w:eastAsia="Calibri" w:hAnsi="Calibri"/>
                <w:b w:val="false"/>
                <w:bCs w:val="false"/>
                <w:i w:val="false"/>
                <w:iCs w:val="false"/>
                <w:caps w:val="false"/>
                <w:color w:val="1A1A1A"/>
                <w:sz w:val="16"/>
                <w:szCs w:val="16"/>
              </w:rPr>
              <w:t xml:space="preserve">0.50</w:t>
            </w:r>
          </w:p>
        </w:tc>
        <w:tc>
          <w:tcPr>
            <w:tcW w:type="dxa" w:w="36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Highest resistance (tree planting, farmer insurance)</w:t>
            </w:r>
          </w:p>
        </w:tc>
        <w:tc>
          <w:tcPr>
            <w:tcW w:type="dxa" w:w="428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Steepest diminishing returns; adoption barriers increase sharply</w:t>
            </w:r>
          </w:p>
        </w:tc>
      </w:tr>
    </w:tbl>
    <w:p>
      <w:pPr>
        <w:spacing w:before="0" w:after="100"/>
      </w:pPr>
      <w:r>
        <w:rPr>
          <w:rFonts w:ascii="Calibri" w:cs="Calibri" w:eastAsia="Calibri" w:hAnsi="Calibri"/>
          <w:b w:val="false"/>
          <w:bCs w:val="false"/>
          <w:i w:val="false"/>
          <w:iCs w:val="false"/>
          <w:caps w:val="false"/>
          <w:color w:val="1A1A1A"/>
          <w:sz w:val="22"/>
          <w:szCs w:val="22"/>
        </w:rPr>
        <w:t xml:space="preserve"/>
      </w:r>
    </w:p>
    <w:p>
      <w:pPr>
        <w:spacing w:before="120" w:after="60"/>
        <w:ind w:left="360"/>
      </w:pPr>
      <w:r>
        <w:rPr>
          <w:rFonts w:ascii="Calibri" w:cs="Calibri" w:eastAsia="Calibri" w:hAnsi="Calibri"/>
          <w:b/>
          <w:bCs/>
          <w:i w:val="false"/>
          <w:iCs w:val="false"/>
          <w:caps w:val="false"/>
          <w:color w:val="1B4F72"/>
          <w:sz w:val="22"/>
          <w:szCs w:val="22"/>
        </w:rPr>
        <w:t xml:space="preserve">B.5 Synergy Terms</w:t>
      </w:r>
    </w:p>
    <w:p>
      <w:pPr>
        <w:spacing w:before="0" w:after="80"/>
        <w:ind w:left="720"/>
        <w:jc w:val="both"/>
      </w:pPr>
      <w:r>
        <w:rPr>
          <w:rFonts w:ascii="Calibri" w:cs="Calibri" w:eastAsia="Calibri" w:hAnsi="Calibri"/>
          <w:b w:val="false"/>
          <w:bCs w:val="false"/>
          <w:i w:val="false"/>
          <w:iCs w:val="false"/>
          <w:caps w:val="false"/>
          <w:color w:val="1A1A1A"/>
          <w:sz w:val="18"/>
          <w:szCs w:val="18"/>
        </w:rPr>
        <w:t xml:space="preserve">Formula: </w:t>
      </w:r>
      <w:r>
        <w:rPr>
          <w:rFonts w:ascii="Calibri" w:cs="Calibri" w:eastAsia="Calibri" w:hAnsi="Calibri"/>
          <w:b w:val="false"/>
          <w:bCs w:val="false"/>
          <w:i/>
          <w:iCs/>
          <w:caps w:val="false"/>
          <w:color w:val="1A1A1A"/>
          <w:sz w:val="18"/>
          <w:szCs w:val="18"/>
        </w:rPr>
        <w:t xml:space="preserve">S(i,j) = α × √(f_i × f_j) × (Impact_i + Impact_j)</w:t>
      </w:r>
      <w:r>
        <w:rPr>
          <w:rFonts w:ascii="Calibri" w:cs="Calibri" w:eastAsia="Calibri" w:hAnsi="Calibri"/>
          <w:b w:val="false"/>
          <w:bCs w:val="false"/>
          <w:i w:val="false"/>
          <w:iCs w:val="false"/>
          <w:caps w:val="false"/>
          <w:color w:val="1A1A1A"/>
          <w:sz w:val="18"/>
          <w:szCs w:val="18"/>
        </w:rPr>
        <w:t xml:space="preserve"> where f = deployment fraction, α = synergy coefficient.</w:t>
      </w:r>
    </w:p>
    <w:p>
      <w:pPr>
        <w:spacing w:before="0" w:after="60"/>
      </w:pPr>
      <w:r>
        <w:rPr>
          <w:rFonts w:ascii="Calibri" w:cs="Calibri" w:eastAsia="Calibri" w:hAnsi="Calibri"/>
          <w:b w:val="false"/>
          <w:bCs w:val="false"/>
          <w:i w:val="false"/>
          <w:iCs w:val="false"/>
          <w:caps w:val="false"/>
          <w:color w:val="1A1A1A"/>
          <w:sz w:val="22"/>
          <w:szCs w:val="22"/>
        </w:rPr>
        <w:t xml:space="preserve"/>
      </w:r>
    </w:p>
    <w:p>
      <w:pPr>
        <w:spacing w:before="120" w:after="80"/>
        <w:jc w:val="center"/>
      </w:pPr>
      <w:r>
        <w:rPr>
          <w:rFonts w:ascii="Calibri" w:cs="Calibri" w:eastAsia="Calibri" w:hAnsi="Calibri"/>
          <w:b/>
          <w:bCs/>
          <w:i/>
          <w:iCs/>
          <w:caps w:val="false"/>
          <w:color w:val="555555"/>
          <w:sz w:val="19"/>
          <w:szCs w:val="19"/>
        </w:rPr>
        <w:t xml:space="preserve">Appendix Table 3. Synergy Pairs and Evidence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800"/>
        <w:gridCol w:w="4780"/>
      </w:tblGrid>
      <w:tr>
        <w:trPr>
          <w:tblHeader/>
        </w:trPr>
        <w:tc>
          <w:tcPr>
            <w:tcW w:type="dxa" w:w="3500"/>
            <w:tcBorders>
              <w:top w:val="single" w:color="1B4F72" w:sz="4"/>
              <w:left w:val="single" w:color="1B4F72" w:sz="4"/>
              <w:bottom w:val="single" w:color="1B4F72" w:sz="4"/>
              <w:right w:val="single" w:color="1B4F72" w:sz="4"/>
            </w:tcBorders>
            <w:shd w:fill="2E4057" w:val="clear"/>
            <w:tcMar>
              <w:top w:type="dxa" w:w="60"/>
              <w:left w:type="dxa" w:w="100"/>
              <w:bottom w:type="dxa" w:w="60"/>
              <w:right w:type="dxa" w:w="100"/>
            </w:tcMar>
          </w:tcPr>
          <w:p>
            <w:pPr>
              <w:spacing w:before="0" w:after="0"/>
              <w:jc w:val="center"/>
            </w:pPr>
            <w:r>
              <w:rPr>
                <w:rFonts w:ascii="Calibri" w:cs="Calibri" w:eastAsia="Calibri" w:hAnsi="Calibri"/>
                <w:b/>
                <w:bCs/>
                <w:i w:val="false"/>
                <w:iCs w:val="false"/>
                <w:caps w:val="false"/>
                <w:color w:val="FFFFFF"/>
                <w:sz w:val="16"/>
                <w:szCs w:val="16"/>
              </w:rPr>
              <w:t xml:space="preserve">Pair</w:t>
            </w:r>
          </w:p>
        </w:tc>
        <w:tc>
          <w:tcPr>
            <w:tcW w:type="dxa" w:w="800"/>
            <w:tcBorders>
              <w:top w:val="single" w:color="1B4F72" w:sz="4"/>
              <w:left w:val="single" w:color="1B4F72" w:sz="4"/>
              <w:bottom w:val="single" w:color="1B4F72" w:sz="4"/>
              <w:right w:val="single" w:color="1B4F72" w:sz="4"/>
            </w:tcBorders>
            <w:shd w:fill="2E4057" w:val="clear"/>
            <w:tcMar>
              <w:top w:type="dxa" w:w="60"/>
              <w:left w:type="dxa" w:w="100"/>
              <w:bottom w:type="dxa" w:w="60"/>
              <w:right w:type="dxa" w:w="100"/>
            </w:tcMar>
          </w:tcPr>
          <w:p>
            <w:pPr>
              <w:spacing w:before="0" w:after="0"/>
              <w:jc w:val="center"/>
            </w:pPr>
            <w:r>
              <w:rPr>
                <w:rFonts w:ascii="Calibri" w:cs="Calibri" w:eastAsia="Calibri" w:hAnsi="Calibri"/>
                <w:b/>
                <w:bCs/>
                <w:i w:val="false"/>
                <w:iCs w:val="false"/>
                <w:caps w:val="false"/>
                <w:color w:val="FFFFFF"/>
                <w:sz w:val="16"/>
                <w:szCs w:val="16"/>
              </w:rPr>
              <w:t xml:space="preserve">α</w:t>
            </w:r>
          </w:p>
        </w:tc>
        <w:tc>
          <w:tcPr>
            <w:tcW w:type="dxa" w:w="4780"/>
            <w:tcBorders>
              <w:top w:val="single" w:color="1B4F72" w:sz="4"/>
              <w:left w:val="single" w:color="1B4F72" w:sz="4"/>
              <w:bottom w:val="single" w:color="1B4F72" w:sz="4"/>
              <w:right w:val="single" w:color="1B4F72" w:sz="4"/>
            </w:tcBorders>
            <w:shd w:fill="2E4057" w:val="clear"/>
            <w:tcMar>
              <w:top w:type="dxa" w:w="60"/>
              <w:left w:type="dxa" w:w="100"/>
              <w:bottom w:type="dxa" w:w="60"/>
              <w:right w:type="dxa" w:w="100"/>
            </w:tcMar>
          </w:tcPr>
          <w:p>
            <w:pPr>
              <w:spacing w:before="0" w:after="0"/>
              <w:jc w:val="center"/>
            </w:pPr>
            <w:r>
              <w:rPr>
                <w:rFonts w:ascii="Calibri" w:cs="Calibri" w:eastAsia="Calibri" w:hAnsi="Calibri"/>
                <w:b/>
                <w:bCs/>
                <w:i w:val="false"/>
                <w:iCs w:val="false"/>
                <w:caps w:val="false"/>
                <w:color w:val="FFFFFF"/>
                <w:sz w:val="16"/>
                <w:szCs w:val="16"/>
              </w:rPr>
              <w:t xml:space="preserve">Evidence</w:t>
            </w:r>
          </w:p>
        </w:tc>
      </w:tr>
      <w:tr>
        <w:tc>
          <w:tcPr>
            <w:tcW w:type="dxa" w:w="35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Cyclone early warning × Flood forecasting</w:t>
            </w:r>
          </w:p>
        </w:tc>
        <w:tc>
          <w:tcPr>
            <w:tcW w:type="dxa" w:w="8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center"/>
            </w:pPr>
            <w:r>
              <w:rPr>
                <w:rFonts w:ascii="Calibri" w:cs="Calibri" w:eastAsia="Calibri" w:hAnsi="Calibri"/>
                <w:b w:val="false"/>
                <w:bCs w:val="false"/>
                <w:i w:val="false"/>
                <w:iCs w:val="false"/>
                <w:caps w:val="false"/>
                <w:color w:val="1A1A1A"/>
                <w:sz w:val="16"/>
                <w:szCs w:val="16"/>
              </w:rPr>
              <w:t xml:space="preserve">0.35</w:t>
            </w:r>
          </w:p>
        </w:tc>
        <w:tc>
          <w:tcPr>
            <w:tcW w:type="dxa" w:w="478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FFWC + CPP integration — warning actionable only with flood timing</w:t>
            </w:r>
          </w:p>
        </w:tc>
      </w:tr>
      <w:tr>
        <w:tc>
          <w:tcPr>
            <w:tcW w:type="dxa" w:w="35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Post-harvest storage × Crop diversification</w:t>
            </w:r>
          </w:p>
        </w:tc>
        <w:tc>
          <w:tcPr>
            <w:tcW w:type="dxa" w:w="8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center"/>
            </w:pPr>
            <w:r>
              <w:rPr>
                <w:rFonts w:ascii="Calibri" w:cs="Calibri" w:eastAsia="Calibri" w:hAnsi="Calibri"/>
                <w:b w:val="false"/>
                <w:bCs w:val="false"/>
                <w:i w:val="false"/>
                <w:iCs w:val="false"/>
                <w:caps w:val="false"/>
                <w:color w:val="1A1A1A"/>
                <w:sz w:val="16"/>
                <w:szCs w:val="16"/>
              </w:rPr>
              <w:t xml:space="preserve">0.25</w:t>
            </w:r>
          </w:p>
        </w:tc>
        <w:tc>
          <w:tcPr>
            <w:tcW w:type="dxa" w:w="478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FAO value chain studies — diversified crops need storage</w:t>
            </w:r>
          </w:p>
        </w:tc>
      </w:tr>
      <w:tr>
        <w:tc>
          <w:tcPr>
            <w:tcW w:type="dxa" w:w="35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Flood-tolerant rice × AWD irrigation</w:t>
            </w:r>
          </w:p>
        </w:tc>
        <w:tc>
          <w:tcPr>
            <w:tcW w:type="dxa" w:w="8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center"/>
            </w:pPr>
            <w:r>
              <w:rPr>
                <w:rFonts w:ascii="Calibri" w:cs="Calibri" w:eastAsia="Calibri" w:hAnsi="Calibri"/>
                <w:b w:val="false"/>
                <w:bCs w:val="false"/>
                <w:i w:val="false"/>
                <w:iCs w:val="false"/>
                <w:caps w:val="false"/>
                <w:color w:val="1A1A1A"/>
                <w:sz w:val="16"/>
                <w:szCs w:val="16"/>
              </w:rPr>
              <w:t xml:space="preserve">0.20</w:t>
            </w:r>
          </w:p>
        </w:tc>
        <w:tc>
          <w:tcPr>
            <w:tcW w:type="dxa" w:w="478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IRRI compound adoption trials — same paddy system</w:t>
            </w:r>
          </w:p>
        </w:tc>
      </w:tr>
      <w:tr>
        <w:tc>
          <w:tcPr>
            <w:tcW w:type="dxa" w:w="35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Saline-tolerant rice × AWD irrigation</w:t>
            </w:r>
          </w:p>
        </w:tc>
        <w:tc>
          <w:tcPr>
            <w:tcW w:type="dxa" w:w="8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center"/>
            </w:pPr>
            <w:r>
              <w:rPr>
                <w:rFonts w:ascii="Calibri" w:cs="Calibri" w:eastAsia="Calibri" w:hAnsi="Calibri"/>
                <w:b w:val="false"/>
                <w:bCs w:val="false"/>
                <w:i w:val="false"/>
                <w:iCs w:val="false"/>
                <w:caps w:val="false"/>
                <w:color w:val="1A1A1A"/>
                <w:sz w:val="16"/>
                <w:szCs w:val="16"/>
              </w:rPr>
              <w:t xml:space="preserve">0.20</w:t>
            </w:r>
          </w:p>
        </w:tc>
        <w:tc>
          <w:tcPr>
            <w:tcW w:type="dxa" w:w="478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BRRI coastal zone trials — complementary water management</w:t>
            </w:r>
          </w:p>
        </w:tc>
      </w:tr>
      <w:tr>
        <w:tc>
          <w:tcPr>
            <w:tcW w:type="dxa" w:w="35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Farmer insurance × Flood-tolerant rice</w:t>
            </w:r>
          </w:p>
        </w:tc>
        <w:tc>
          <w:tcPr>
            <w:tcW w:type="dxa" w:w="8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center"/>
            </w:pPr>
            <w:r>
              <w:rPr>
                <w:rFonts w:ascii="Calibri" w:cs="Calibri" w:eastAsia="Calibri" w:hAnsi="Calibri"/>
                <w:b w:val="false"/>
                <w:bCs w:val="false"/>
                <w:i w:val="false"/>
                <w:iCs w:val="false"/>
                <w:caps w:val="false"/>
                <w:color w:val="1A1A1A"/>
                <w:sz w:val="16"/>
                <w:szCs w:val="16"/>
              </w:rPr>
              <w:t xml:space="preserve">0.15</w:t>
            </w:r>
          </w:p>
        </w:tc>
        <w:tc>
          <w:tcPr>
            <w:tcW w:type="dxa" w:w="478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World Bank — insurance removes financial adoption barrier</w:t>
            </w:r>
          </w:p>
        </w:tc>
      </w:tr>
      <w:tr>
        <w:tc>
          <w:tcPr>
            <w:tcW w:type="dxa" w:w="35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Aquaculture × Crop diversification</w:t>
            </w:r>
          </w:p>
        </w:tc>
        <w:tc>
          <w:tcPr>
            <w:tcW w:type="dxa" w:w="8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center"/>
            </w:pPr>
            <w:r>
              <w:rPr>
                <w:rFonts w:ascii="Calibri" w:cs="Calibri" w:eastAsia="Calibri" w:hAnsi="Calibri"/>
                <w:b w:val="false"/>
                <w:bCs w:val="false"/>
                <w:i w:val="false"/>
                <w:iCs w:val="false"/>
                <w:caps w:val="false"/>
                <w:color w:val="1A1A1A"/>
                <w:sz w:val="16"/>
                <w:szCs w:val="16"/>
              </w:rPr>
              <w:t xml:space="preserve">0.15</w:t>
            </w:r>
          </w:p>
        </w:tc>
        <w:tc>
          <w:tcPr>
            <w:tcW w:type="dxa" w:w="478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Bangladesh Dept. of Fisheries — integrated rice-fish farming</w:t>
            </w:r>
          </w:p>
        </w:tc>
      </w:tr>
      <w:tr>
        <w:tc>
          <w:tcPr>
            <w:tcW w:type="dxa" w:w="35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Tree planting × River/canal excavation</w:t>
            </w:r>
          </w:p>
        </w:tc>
        <w:tc>
          <w:tcPr>
            <w:tcW w:type="dxa" w:w="8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center"/>
            </w:pPr>
            <w:r>
              <w:rPr>
                <w:rFonts w:ascii="Calibri" w:cs="Calibri" w:eastAsia="Calibri" w:hAnsi="Calibri"/>
                <w:b w:val="false"/>
                <w:bCs w:val="false"/>
                <w:i w:val="false"/>
                <w:iCs w:val="false"/>
                <w:caps w:val="false"/>
                <w:color w:val="1A1A1A"/>
                <w:sz w:val="16"/>
                <w:szCs w:val="16"/>
              </w:rPr>
              <w:t xml:space="preserve">0.10</w:t>
            </w:r>
          </w:p>
        </w:tc>
        <w:tc>
          <w:tcPr>
            <w:tcW w:type="dxa" w:w="478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BDP2100 — riparian cover prevents re-siltation</w:t>
            </w:r>
          </w:p>
        </w:tc>
      </w:tr>
    </w:tbl>
    <w:p>
      <w:pPr>
        <w:spacing w:before="0" w:after="100"/>
      </w:pPr>
      <w:r>
        <w:rPr>
          <w:rFonts w:ascii="Calibri" w:cs="Calibri" w:eastAsia="Calibri" w:hAnsi="Calibri"/>
          <w:b w:val="false"/>
          <w:bCs w:val="false"/>
          <w:i w:val="false"/>
          <w:iCs w:val="false"/>
          <w:caps w:val="false"/>
          <w:color w:val="1A1A1A"/>
          <w:sz w:val="22"/>
          <w:szCs w:val="22"/>
        </w:rPr>
        <w:t xml:space="preserve"/>
      </w:r>
    </w:p>
    <w:p>
      <w:pPr>
        <w:spacing w:before="120" w:after="60"/>
        <w:ind w:left="360"/>
      </w:pPr>
      <w:r>
        <w:rPr>
          <w:rFonts w:ascii="Calibri" w:cs="Calibri" w:eastAsia="Calibri" w:hAnsi="Calibri"/>
          <w:b/>
          <w:bCs/>
          <w:i w:val="false"/>
          <w:iCs w:val="false"/>
          <w:caps w:val="false"/>
          <w:color w:val="1B4F72"/>
          <w:sz w:val="22"/>
          <w:szCs w:val="22"/>
        </w:rPr>
        <w:t xml:space="preserve">B.6 Timeline Multipliers</w:t>
      </w:r>
    </w:p>
    <w:p>
      <w:pPr>
        <w:spacing w:before="120" w:after="80"/>
        <w:jc w:val="center"/>
      </w:pPr>
      <w:r>
        <w:rPr>
          <w:rFonts w:ascii="Calibri" w:cs="Calibri" w:eastAsia="Calibri" w:hAnsi="Calibri"/>
          <w:b/>
          <w:bCs/>
          <w:i/>
          <w:iCs/>
          <w:caps w:val="false"/>
          <w:color w:val="555555"/>
          <w:sz w:val="19"/>
          <w:szCs w:val="19"/>
        </w:rPr>
        <w:t xml:space="preserve">Appendix Table 4. Timeline Multipliers by Policy Type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680"/>
      </w:tblGrid>
      <w:tr>
        <w:trPr>
          <w:tblHeader/>
        </w:trPr>
        <w:tc>
          <w:tcPr>
            <w:tcW w:type="dxa" w:w="2000"/>
            <w:tcBorders>
              <w:top w:val="single" w:color="1B4F72" w:sz="4"/>
              <w:left w:val="single" w:color="1B4F72" w:sz="4"/>
              <w:bottom w:val="single" w:color="1B4F72" w:sz="4"/>
              <w:right w:val="single" w:color="1B4F72" w:sz="4"/>
            </w:tcBorders>
            <w:shd w:fill="2E4057" w:val="clear"/>
            <w:tcMar>
              <w:top w:type="dxa" w:w="60"/>
              <w:left w:type="dxa" w:w="100"/>
              <w:bottom w:type="dxa" w:w="60"/>
              <w:right w:type="dxa" w:w="100"/>
            </w:tcMar>
          </w:tcPr>
          <w:p>
            <w:pPr>
              <w:spacing w:before="0" w:after="0"/>
              <w:jc w:val="center"/>
            </w:pPr>
            <w:r>
              <w:rPr>
                <w:rFonts w:ascii="Calibri" w:cs="Calibri" w:eastAsia="Calibri" w:hAnsi="Calibri"/>
                <w:b/>
                <w:bCs/>
                <w:i w:val="false"/>
                <w:iCs w:val="false"/>
                <w:caps w:val="false"/>
                <w:color w:val="FFFFFF"/>
                <w:sz w:val="16"/>
                <w:szCs w:val="16"/>
              </w:rPr>
              <w:t xml:space="preserve">Policy type</w:t>
            </w:r>
          </w:p>
        </w:tc>
        <w:tc>
          <w:tcPr>
            <w:tcW w:type="dxa" w:w="1400"/>
            <w:tcBorders>
              <w:top w:val="single" w:color="1B4F72" w:sz="4"/>
              <w:left w:val="single" w:color="1B4F72" w:sz="4"/>
              <w:bottom w:val="single" w:color="1B4F72" w:sz="4"/>
              <w:right w:val="single" w:color="1B4F72" w:sz="4"/>
            </w:tcBorders>
            <w:shd w:fill="2E4057" w:val="clear"/>
            <w:tcMar>
              <w:top w:type="dxa" w:w="60"/>
              <w:left w:type="dxa" w:w="100"/>
              <w:bottom w:type="dxa" w:w="60"/>
              <w:right w:type="dxa" w:w="100"/>
            </w:tcMar>
          </w:tcPr>
          <w:p>
            <w:pPr>
              <w:spacing w:before="0" w:after="0"/>
              <w:jc w:val="center"/>
            </w:pPr>
            <w:r>
              <w:rPr>
                <w:rFonts w:ascii="Calibri" w:cs="Calibri" w:eastAsia="Calibri" w:hAnsi="Calibri"/>
                <w:b/>
                <w:bCs/>
                <w:i w:val="false"/>
                <w:iCs w:val="false"/>
                <w:caps w:val="false"/>
                <w:color w:val="FFFFFF"/>
                <w:sz w:val="16"/>
                <w:szCs w:val="16"/>
              </w:rPr>
              <w:t xml:space="preserve">Multiplier</w:t>
            </w:r>
          </w:p>
        </w:tc>
        <w:tc>
          <w:tcPr>
            <w:tcW w:type="dxa" w:w="5680"/>
            <w:tcBorders>
              <w:top w:val="single" w:color="1B4F72" w:sz="4"/>
              <w:left w:val="single" w:color="1B4F72" w:sz="4"/>
              <w:bottom w:val="single" w:color="1B4F72" w:sz="4"/>
              <w:right w:val="single" w:color="1B4F72" w:sz="4"/>
            </w:tcBorders>
            <w:shd w:fill="2E4057" w:val="clear"/>
            <w:tcMar>
              <w:top w:type="dxa" w:w="60"/>
              <w:left w:type="dxa" w:w="100"/>
              <w:bottom w:type="dxa" w:w="60"/>
              <w:right w:type="dxa" w:w="100"/>
            </w:tcMar>
          </w:tcPr>
          <w:p>
            <w:pPr>
              <w:spacing w:before="0" w:after="0"/>
              <w:jc w:val="center"/>
            </w:pPr>
            <w:r>
              <w:rPr>
                <w:rFonts w:ascii="Calibri" w:cs="Calibri" w:eastAsia="Calibri" w:hAnsi="Calibri"/>
                <w:b/>
                <w:bCs/>
                <w:i w:val="false"/>
                <w:iCs w:val="false"/>
                <w:caps w:val="false"/>
                <w:color w:val="FFFFFF"/>
                <w:sz w:val="16"/>
                <w:szCs w:val="16"/>
              </w:rPr>
              <w:t xml:space="preserve">Rationale</w:t>
            </w:r>
          </w:p>
        </w:tc>
      </w:tr>
      <w:tr>
        <w:tc>
          <w:tcPr>
            <w:tcW w:type="dxa" w:w="20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Direct nutrition</w:t>
            </w:r>
          </w:p>
        </w:tc>
        <w:tc>
          <w:tcPr>
            <w:tcW w:type="dxa" w:w="14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center"/>
            </w:pPr>
            <w:r>
              <w:rPr>
                <w:rFonts w:ascii="Calibri" w:cs="Calibri" w:eastAsia="Calibri" w:hAnsi="Calibri"/>
                <w:b w:val="false"/>
                <w:bCs w:val="false"/>
                <w:i w:val="false"/>
                <w:iCs w:val="false"/>
                <w:caps w:val="false"/>
                <w:color w:val="1A1A1A"/>
                <w:sz w:val="16"/>
                <w:szCs w:val="16"/>
              </w:rPr>
              <w:t xml:space="preserve">1.00</w:t>
            </w:r>
          </w:p>
        </w:tc>
        <w:tc>
          <w:tcPr>
            <w:tcW w:type="dxa" w:w="568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Immediate impact, only while funded</w:t>
            </w:r>
          </w:p>
        </w:tc>
      </w:tr>
      <w:tr>
        <w:tc>
          <w:tcPr>
            <w:tcW w:type="dxa" w:w="20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Production</w:t>
            </w:r>
          </w:p>
        </w:tc>
        <w:tc>
          <w:tcPr>
            <w:tcW w:type="dxa" w:w="14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center"/>
            </w:pPr>
            <w:r>
              <w:rPr>
                <w:rFonts w:ascii="Calibri" w:cs="Calibri" w:eastAsia="Calibri" w:hAnsi="Calibri"/>
                <w:b w:val="false"/>
                <w:bCs w:val="false"/>
                <w:i w:val="false"/>
                <w:iCs w:val="false"/>
                <w:caps w:val="false"/>
                <w:color w:val="1A1A1A"/>
                <w:sz w:val="16"/>
                <w:szCs w:val="16"/>
              </w:rPr>
              <w:t xml:space="preserve">1.15</w:t>
            </w:r>
          </w:p>
        </w:tc>
        <w:tc>
          <w:tcPr>
            <w:tcW w:type="dxa" w:w="568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Ramps up over 2–3 years, then persists</w:t>
            </w:r>
          </w:p>
        </w:tc>
      </w:tr>
      <w:tr>
        <w:tc>
          <w:tcPr>
            <w:tcW w:type="dxa" w:w="20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Protection</w:t>
            </w:r>
          </w:p>
        </w:tc>
        <w:tc>
          <w:tcPr>
            <w:tcW w:type="dxa" w:w="14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center"/>
            </w:pPr>
            <w:r>
              <w:rPr>
                <w:rFonts w:ascii="Calibri" w:cs="Calibri" w:eastAsia="Calibri" w:hAnsi="Calibri"/>
                <w:b w:val="false"/>
                <w:bCs w:val="false"/>
                <w:i w:val="false"/>
                <w:iCs w:val="false"/>
                <w:caps w:val="false"/>
                <w:color w:val="1A1A1A"/>
                <w:sz w:val="16"/>
                <w:szCs w:val="16"/>
              </w:rPr>
              <w:t xml:space="preserve">1.40</w:t>
            </w:r>
          </w:p>
        </w:tc>
        <w:tc>
          <w:tcPr>
            <w:tcW w:type="dxa" w:w="568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Prevents cumulative losses across ~3 shock cycles/decade</w:t>
            </w:r>
          </w:p>
        </w:tc>
      </w:tr>
      <w:tr>
        <w:tc>
          <w:tcPr>
            <w:tcW w:type="dxa" w:w="20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Infrastructure</w:t>
            </w:r>
          </w:p>
        </w:tc>
        <w:tc>
          <w:tcPr>
            <w:tcW w:type="dxa" w:w="14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center"/>
            </w:pPr>
            <w:r>
              <w:rPr>
                <w:rFonts w:ascii="Calibri" w:cs="Calibri" w:eastAsia="Calibri" w:hAnsi="Calibri"/>
                <w:b w:val="false"/>
                <w:bCs w:val="false"/>
                <w:i w:val="false"/>
                <w:iCs w:val="false"/>
                <w:caps w:val="false"/>
                <w:color w:val="1A1A1A"/>
                <w:sz w:val="16"/>
                <w:szCs w:val="16"/>
              </w:rPr>
              <w:t xml:space="preserve">1.50</w:t>
            </w:r>
          </w:p>
        </w:tc>
        <w:tc>
          <w:tcPr>
            <w:tcW w:type="dxa" w:w="568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Years to mature but compounds over a full decade</w:t>
            </w:r>
          </w:p>
        </w:tc>
      </w:tr>
    </w:tbl>
    <w:p>
      <w:pPr>
        <w:spacing w:before="0" w:after="100"/>
      </w:pPr>
      <w:r>
        <w:rPr>
          <w:rFonts w:ascii="Calibri" w:cs="Calibri" w:eastAsia="Calibri" w:hAnsi="Calibri"/>
          <w:b w:val="false"/>
          <w:bCs w:val="false"/>
          <w:i w:val="false"/>
          <w:iCs w:val="false"/>
          <w:caps w:val="false"/>
          <w:color w:val="1A1A1A"/>
          <w:sz w:val="22"/>
          <w:szCs w:val="22"/>
        </w:rPr>
        <w:t xml:space="preserve"/>
      </w:r>
    </w:p>
    <w:p>
      <w:pPr>
        <w:spacing w:before="120" w:after="60"/>
        <w:ind w:left="360"/>
      </w:pPr>
      <w:r>
        <w:rPr>
          <w:rFonts w:ascii="Calibri" w:cs="Calibri" w:eastAsia="Calibri" w:hAnsi="Calibri"/>
          <w:b/>
          <w:bCs/>
          <w:i w:val="false"/>
          <w:iCs w:val="false"/>
          <w:caps w:val="false"/>
          <w:color w:val="1B4F72"/>
          <w:sz w:val="22"/>
          <w:szCs w:val="22"/>
        </w:rPr>
        <w:t xml:space="preserve">B.7 Political and Budget Constraints</w:t>
      </w:r>
    </w:p>
    <w:p>
      <w:pPr>
        <w:spacing w:before="120" w:after="80"/>
        <w:jc w:val="center"/>
      </w:pPr>
      <w:r>
        <w:rPr>
          <w:rFonts w:ascii="Calibri" w:cs="Calibri" w:eastAsia="Calibri" w:hAnsi="Calibri"/>
          <w:b/>
          <w:bCs/>
          <w:i/>
          <w:iCs/>
          <w:caps w:val="false"/>
          <w:color w:val="555555"/>
          <w:sz w:val="19"/>
          <w:szCs w:val="19"/>
        </w:rPr>
        <w:t xml:space="preserve">Appendix Table 5. Budget Constraint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3680"/>
      </w:tblGrid>
      <w:tr>
        <w:trPr>
          <w:tblHeader/>
        </w:trPr>
        <w:tc>
          <w:tcPr>
            <w:tcW w:type="dxa" w:w="3400"/>
            <w:tcBorders>
              <w:top w:val="single" w:color="1B4F72" w:sz="4"/>
              <w:left w:val="single" w:color="1B4F72" w:sz="4"/>
              <w:bottom w:val="single" w:color="1B4F72" w:sz="4"/>
              <w:right w:val="single" w:color="1B4F72" w:sz="4"/>
            </w:tcBorders>
            <w:shd w:fill="2E4057" w:val="clear"/>
            <w:tcMar>
              <w:top w:type="dxa" w:w="60"/>
              <w:left w:type="dxa" w:w="100"/>
              <w:bottom w:type="dxa" w:w="60"/>
              <w:right w:type="dxa" w:w="100"/>
            </w:tcMar>
          </w:tcPr>
          <w:p>
            <w:pPr>
              <w:spacing w:before="0" w:after="0"/>
              <w:jc w:val="center"/>
            </w:pPr>
            <w:r>
              <w:rPr>
                <w:rFonts w:ascii="Calibri" w:cs="Calibri" w:eastAsia="Calibri" w:hAnsi="Calibri"/>
                <w:b/>
                <w:bCs/>
                <w:i w:val="false"/>
                <w:iCs w:val="false"/>
                <w:caps w:val="false"/>
                <w:color w:val="FFFFFF"/>
                <w:sz w:val="16"/>
                <w:szCs w:val="16"/>
              </w:rPr>
              <w:t xml:space="preserve">Constraint</w:t>
            </w:r>
          </w:p>
        </w:tc>
        <w:tc>
          <w:tcPr>
            <w:tcW w:type="dxa" w:w="2000"/>
            <w:tcBorders>
              <w:top w:val="single" w:color="1B4F72" w:sz="4"/>
              <w:left w:val="single" w:color="1B4F72" w:sz="4"/>
              <w:bottom w:val="single" w:color="1B4F72" w:sz="4"/>
              <w:right w:val="single" w:color="1B4F72" w:sz="4"/>
            </w:tcBorders>
            <w:shd w:fill="2E4057" w:val="clear"/>
            <w:tcMar>
              <w:top w:type="dxa" w:w="60"/>
              <w:left w:type="dxa" w:w="100"/>
              <w:bottom w:type="dxa" w:w="60"/>
              <w:right w:type="dxa" w:w="100"/>
            </w:tcMar>
          </w:tcPr>
          <w:p>
            <w:pPr>
              <w:spacing w:before="0" w:after="0"/>
              <w:jc w:val="center"/>
            </w:pPr>
            <w:r>
              <w:rPr>
                <w:rFonts w:ascii="Calibri" w:cs="Calibri" w:eastAsia="Calibri" w:hAnsi="Calibri"/>
                <w:b/>
                <w:bCs/>
                <w:i w:val="false"/>
                <w:iCs w:val="false"/>
                <w:caps w:val="false"/>
                <w:color w:val="FFFFFF"/>
                <w:sz w:val="16"/>
                <w:szCs w:val="16"/>
              </w:rPr>
              <w:t xml:space="preserve">Value</w:t>
            </w:r>
          </w:p>
        </w:tc>
        <w:tc>
          <w:tcPr>
            <w:tcW w:type="dxa" w:w="3680"/>
            <w:tcBorders>
              <w:top w:val="single" w:color="1B4F72" w:sz="4"/>
              <w:left w:val="single" w:color="1B4F72" w:sz="4"/>
              <w:bottom w:val="single" w:color="1B4F72" w:sz="4"/>
              <w:right w:val="single" w:color="1B4F72" w:sz="4"/>
            </w:tcBorders>
            <w:shd w:fill="2E4057" w:val="clear"/>
            <w:tcMar>
              <w:top w:type="dxa" w:w="60"/>
              <w:left w:type="dxa" w:w="100"/>
              <w:bottom w:type="dxa" w:w="60"/>
              <w:right w:type="dxa" w:w="100"/>
            </w:tcMar>
          </w:tcPr>
          <w:p>
            <w:pPr>
              <w:spacing w:before="0" w:after="0"/>
              <w:jc w:val="center"/>
            </w:pPr>
            <w:r>
              <w:rPr>
                <w:rFonts w:ascii="Calibri" w:cs="Calibri" w:eastAsia="Calibri" w:hAnsi="Calibri"/>
                <w:b/>
                <w:bCs/>
                <w:i w:val="false"/>
                <w:iCs w:val="false"/>
                <w:caps w:val="false"/>
                <w:color w:val="FFFFFF"/>
                <w:sz w:val="16"/>
                <w:szCs w:val="16"/>
              </w:rPr>
              <w:t xml:space="preserve">Source</w:t>
            </w:r>
          </w:p>
        </w:tc>
      </w:tr>
      <w:tr>
        <w:tc>
          <w:tcPr>
            <w:tcW w:type="dxa" w:w="34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BDP 2100 annual allocation</w:t>
            </w:r>
          </w:p>
        </w:tc>
        <w:tc>
          <w:tcPr>
            <w:tcW w:type="dxa" w:w="20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2.5% of GDP (~$11.9B)</w:t>
            </w:r>
          </w:p>
        </w:tc>
        <w:tc>
          <w:tcPr>
            <w:tcW w:type="dxa" w:w="368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The Daily Ittefaq; BDP2100 Knowledge Portal</w:t>
            </w:r>
          </w:p>
        </w:tc>
      </w:tr>
      <w:tr>
        <w:tc>
          <w:tcPr>
            <w:tcW w:type="dxa" w:w="34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BDP 2100 political risk discount</w:t>
            </w:r>
          </w:p>
        </w:tc>
        <w:tc>
          <w:tcPr>
            <w:tcW w:type="dxa" w:w="20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40% reduction → $7.1B</w:t>
            </w:r>
          </w:p>
        </w:tc>
        <w:tc>
          <w:tcPr>
            <w:tcW w:type="dxa" w:w="368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BNP–Awami League rivalry assessment</w:t>
            </w:r>
          </w:p>
        </w:tc>
      </w:tr>
      <w:tr>
        <w:tc>
          <w:tcPr>
            <w:tcW w:type="dxa" w:w="34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International aid (guaranteed)</w:t>
            </w:r>
          </w:p>
        </w:tc>
        <w:tc>
          <w:tcPr>
            <w:tcW w:type="dxa" w:w="20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~$900M–1.5B/year</w:t>
            </w:r>
          </w:p>
        </w:tc>
        <w:tc>
          <w:tcPr>
            <w:tcW w:type="dxa" w:w="368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World Bank; ADB; GCF</w:t>
            </w:r>
          </w:p>
        </w:tc>
      </w:tr>
      <w:tr>
        <w:tc>
          <w:tcPr>
            <w:tcW w:type="dxa" w:w="34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BNP policy floor</w:t>
            </w:r>
          </w:p>
        </w:tc>
        <w:tc>
          <w:tcPr>
            <w:tcW w:type="dxa" w:w="20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35% of budget</w:t>
            </w:r>
          </w:p>
        </w:tc>
        <w:tc>
          <w:tcPr>
            <w:tcW w:type="dxa" w:w="368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Political feasibility constraint</w:t>
            </w:r>
          </w:p>
        </w:tc>
      </w:tr>
      <w:tr>
        <w:tc>
          <w:tcPr>
            <w:tcW w:type="dxa" w:w="34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Minimum investment per policy</w:t>
            </w:r>
          </w:p>
        </w:tc>
        <w:tc>
          <w:tcPr>
            <w:tcW w:type="dxa" w:w="20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$200M if funded</w:t>
            </w:r>
          </w:p>
        </w:tc>
        <w:tc>
          <w:tcPr>
            <w:tcW w:type="dxa" w:w="368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Prevents token allocations</w:t>
            </w:r>
          </w:p>
        </w:tc>
      </w:tr>
      <w:tr>
        <w:tc>
          <w:tcPr>
            <w:tcW w:type="dxa" w:w="34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Implementation efficiency discount</w:t>
            </w:r>
          </w:p>
        </w:tc>
        <w:tc>
          <w:tcPr>
            <w:tcW w:type="dxa" w:w="20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20%</w:t>
            </w:r>
          </w:p>
        </w:tc>
        <w:tc>
          <w:tcPr>
            <w:tcW w:type="dxa" w:w="368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World Bank/IMF developing country standard</w:t>
            </w:r>
          </w:p>
        </w:tc>
      </w:tr>
      <w:tr>
        <w:tc>
          <w:tcPr>
            <w:tcW w:type="dxa" w:w="34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Working annual budget</w:t>
            </w:r>
          </w:p>
        </w:tc>
        <w:tc>
          <w:tcPr>
            <w:tcW w:type="dxa" w:w="20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~$8.0B</w:t>
            </w:r>
          </w:p>
        </w:tc>
        <w:tc>
          <w:tcPr>
            <w:tcW w:type="dxa" w:w="368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Sum of above</w:t>
            </w:r>
          </w:p>
        </w:tc>
      </w:tr>
    </w:tbl>
    <w:p>
      <w:pPr>
        <w:spacing w:before="0" w:after="100"/>
      </w:pPr>
      <w:r>
        <w:rPr>
          <w:rFonts w:ascii="Calibri" w:cs="Calibri" w:eastAsia="Calibri" w:hAnsi="Calibri"/>
          <w:b w:val="false"/>
          <w:bCs w:val="false"/>
          <w:i w:val="false"/>
          <w:iCs w:val="false"/>
          <w:caps w:val="false"/>
          <w:color w:val="1A1A1A"/>
          <w:sz w:val="22"/>
          <w:szCs w:val="22"/>
        </w:rPr>
        <w:t xml:space="preserve"/>
      </w:r>
    </w:p>
    <w:p>
      <w:pPr>
        <w:spacing w:before="120" w:after="60"/>
        <w:ind w:left="360"/>
      </w:pPr>
      <w:r>
        <w:rPr>
          <w:rFonts w:ascii="Calibri" w:cs="Calibri" w:eastAsia="Calibri" w:hAnsi="Calibri"/>
          <w:b/>
          <w:bCs/>
          <w:i w:val="false"/>
          <w:iCs w:val="false"/>
          <w:caps w:val="false"/>
          <w:color w:val="1B4F72"/>
          <w:sz w:val="22"/>
          <w:szCs w:val="22"/>
        </w:rPr>
        <w:t xml:space="preserve">B.8 Food Cost Valuation</w:t>
      </w:r>
    </w:p>
    <w:p>
      <w:pPr>
        <w:spacing w:before="0" w:after="80"/>
        <w:ind w:left="720"/>
        <w:jc w:val="both"/>
      </w:pPr>
      <w:r>
        <w:rPr>
          <w:rFonts w:ascii="Calibri" w:cs="Calibri" w:eastAsia="Calibri" w:hAnsi="Calibri"/>
          <w:b w:val="false"/>
          <w:bCs w:val="false"/>
          <w:i w:val="false"/>
          <w:iCs w:val="false"/>
          <w:caps w:val="false"/>
          <w:color w:val="1A1A1A"/>
          <w:sz w:val="18"/>
          <w:szCs w:val="18"/>
        </w:rPr>
        <w:t xml:space="preserve">People lifted from undernourishment are valued at $285 per person per year based on WFP Bangladesh Market Monitor’s national food basket cost of BDT 2,844 per person per month (April 2024).</w:t>
      </w:r>
    </w:p>
    <w:p>
      <w:pPr>
        <w:spacing w:before="120" w:after="60"/>
        <w:ind w:left="360"/>
      </w:pPr>
      <w:r>
        <w:rPr>
          <w:rFonts w:ascii="Calibri" w:cs="Calibri" w:eastAsia="Calibri" w:hAnsi="Calibri"/>
          <w:b/>
          <w:bCs/>
          <w:i w:val="false"/>
          <w:iCs w:val="false"/>
          <w:caps w:val="false"/>
          <w:color w:val="1B4F72"/>
          <w:sz w:val="22"/>
          <w:szCs w:val="22"/>
        </w:rPr>
        <w:t xml:space="preserve">B.9 Himalayan Glacial Melt and Model Implications</w:t>
      </w:r>
    </w:p>
    <w:p>
      <w:pPr>
        <w:spacing w:before="0" w:after="80"/>
        <w:ind w:left="720"/>
        <w:jc w:val="both"/>
      </w:pPr>
      <w:r>
        <w:rPr>
          <w:rFonts w:ascii="Calibri" w:cs="Calibri" w:eastAsia="Calibri" w:hAnsi="Calibri"/>
          <w:b w:val="false"/>
          <w:bCs w:val="false"/>
          <w:i w:val="false"/>
          <w:iCs w:val="false"/>
          <w:caps w:val="false"/>
          <w:color w:val="1A1A1A"/>
          <w:sz w:val="18"/>
          <w:szCs w:val="18"/>
        </w:rPr>
        <w:t xml:space="preserve">Between 1990 and 2020, the Ganges basin lost 21% of its glacier area and the Brahmaputra basin lost 16%, with the overall rate of ice loss doubling since 2000 (ICIMOD, “HKH Glacier Outlook,” 2026). Currently, 65% of the Brahmaputra’s and 70% of the Ganges’ dry-season water supply originates from glacial melt (“Rapid Himalayan Ice Melt”). This affects the model in two ways:</w:t>
      </w:r>
    </w:p>
    <w:p>
      <w:pPr>
        <w:spacing w:before="0" w:after="80"/>
        <w:ind w:left="900"/>
        <w:jc w:val="both"/>
      </w:pPr>
      <w:r>
        <w:rPr>
          <w:rFonts w:ascii="Calibri" w:cs="Calibri" w:eastAsia="Calibri" w:hAnsi="Calibri"/>
          <w:b w:val="false"/>
          <w:bCs w:val="false"/>
          <w:i w:val="false"/>
          <w:iCs w:val="false"/>
          <w:caps w:val="false"/>
          <w:color w:val="1A1A1A"/>
          <w:sz w:val="18"/>
          <w:szCs w:val="18"/>
        </w:rPr>
        <w:t xml:space="preserve">(1) Near-term flood intensification: Accelerated melt increases peak monsoon flows. Flood levels in the Brahmaputra could surge 80% by 2075. This strengthens the case for flood-tolerant rice, flood forecasting, and river/canal excavation. The 10-year timeline multipliers for protection and infrastructure (1.40 and 1.50) may be conservative given this acceleration.</w:t>
      </w:r>
    </w:p>
    <w:p>
      <w:pPr>
        <w:spacing w:before="0" w:after="80"/>
        <w:ind w:left="900"/>
        <w:jc w:val="both"/>
      </w:pPr>
      <w:r>
        <w:rPr>
          <w:rFonts w:ascii="Calibri" w:cs="Calibri" w:eastAsia="Calibri" w:hAnsi="Calibri"/>
          <w:b w:val="false"/>
          <w:bCs w:val="false"/>
          <w:i w:val="false"/>
          <w:iCs w:val="false"/>
          <w:caps w:val="false"/>
          <w:color w:val="1A1A1A"/>
          <w:sz w:val="18"/>
          <w:szCs w:val="18"/>
        </w:rPr>
        <w:t xml:space="preserve">(2) Long-term dry-season water scarcity: As glaciers shrink past critical thresholds, dry-season irrigation water will decline. This makes AWD irrigation — which saves 27% of water — and renewable-powered irrigation pumps even more valuable over the 20-year measurement period. AWD’s 20-year rank of 3rd in per-dollar efficiency (28,438 person-years per $M) is likely to hold or improve over time.</w:t>
      </w:r>
    </w:p>
    <w:p>
      <w:pPr>
        <w:spacing w:before="0" w:after="80"/>
        <w:ind w:left="720"/>
        <w:jc w:val="both"/>
      </w:pPr>
      <w:r>
        <w:rPr>
          <w:rFonts w:ascii="Calibri" w:cs="Calibri" w:eastAsia="Calibri" w:hAnsi="Calibri"/>
          <w:b w:val="false"/>
          <w:bCs w:val="false"/>
          <w:i w:val="false"/>
          <w:iCs w:val="false"/>
          <w:caps w:val="false"/>
          <w:color w:val="1A1A1A"/>
          <w:sz w:val="18"/>
          <w:szCs w:val="18"/>
        </w:rPr>
        <w:t xml:space="preserve">No policy parameters were changed as a result of this analysis. The glacier melt trend reinforces existing allocations and provides additional justification for the model’s central finding: capital infrastructure investments are more valuable than operational programs because the climate threats they protect against are intensifying over time.</w:t>
      </w:r>
    </w:p>
    <w:p>
      <w:pPr>
        <w:spacing w:before="160" w:after="80"/>
      </w:pPr>
      <w:r>
        <w:rPr>
          <w:rFonts w:ascii="Calibri" w:cs="Calibri" w:eastAsia="Calibri" w:hAnsi="Calibri"/>
          <w:b/>
          <w:bCs/>
          <w:i w:val="false"/>
          <w:iCs w:val="false"/>
          <w:caps w:val="false"/>
          <w:color w:val="1B4F72"/>
          <w:sz w:val="22"/>
          <w:szCs w:val="22"/>
        </w:rPr>
        <w:t xml:space="preserve">C. Single-Year Model Results ($8.0B Budget)</w:t>
      </w:r>
    </w:p>
    <w:p>
      <w:pPr>
        <w:spacing w:before="120" w:after="80"/>
        <w:jc w:val="center"/>
      </w:pPr>
      <w:r>
        <w:rPr>
          <w:rFonts w:ascii="Calibri" w:cs="Calibri" w:eastAsia="Calibri" w:hAnsi="Calibri"/>
          <w:b/>
          <w:bCs/>
          <w:i/>
          <w:iCs/>
          <w:caps w:val="false"/>
          <w:color w:val="555555"/>
          <w:sz w:val="19"/>
          <w:szCs w:val="19"/>
        </w:rPr>
        <w:t xml:space="preserve">Appendix Table 6. Single-Year Optimal Allocation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960"/>
        <w:gridCol w:w="2320"/>
      </w:tblGrid>
      <w:tr>
        <w:trPr>
          <w:tblHeader/>
        </w:trPr>
        <w:tc>
          <w:tcPr>
            <w:tcW w:type="dxa" w:w="3400"/>
            <w:tcBorders>
              <w:top w:val="single" w:color="1B4F72" w:sz="4"/>
              <w:left w:val="single" w:color="1B4F72" w:sz="4"/>
              <w:bottom w:val="single" w:color="1B4F72" w:sz="4"/>
              <w:right w:val="single" w:color="1B4F72" w:sz="4"/>
            </w:tcBorders>
            <w:shd w:fill="2E4057" w:val="clear"/>
            <w:tcMar>
              <w:top w:type="dxa" w:w="60"/>
              <w:left w:type="dxa" w:w="100"/>
              <w:bottom w:type="dxa" w:w="60"/>
              <w:right w:type="dxa" w:w="100"/>
            </w:tcMar>
          </w:tcPr>
          <w:p>
            <w:pPr>
              <w:spacing w:before="0" w:after="0"/>
              <w:jc w:val="center"/>
            </w:pPr>
            <w:r>
              <w:rPr>
                <w:rFonts w:ascii="Calibri" w:cs="Calibri" w:eastAsia="Calibri" w:hAnsi="Calibri"/>
                <w:b/>
                <w:bCs/>
                <w:i w:val="false"/>
                <w:iCs w:val="false"/>
                <w:caps w:val="false"/>
                <w:color w:val="FFFFFF"/>
                <w:sz w:val="16"/>
                <w:szCs w:val="16"/>
              </w:rPr>
              <w:t xml:space="preserve">Policy</w:t>
            </w:r>
          </w:p>
        </w:tc>
        <w:tc>
          <w:tcPr>
            <w:tcW w:type="dxa" w:w="1400"/>
            <w:tcBorders>
              <w:top w:val="single" w:color="1B4F72" w:sz="4"/>
              <w:left w:val="single" w:color="1B4F72" w:sz="4"/>
              <w:bottom w:val="single" w:color="1B4F72" w:sz="4"/>
              <w:right w:val="single" w:color="1B4F72" w:sz="4"/>
            </w:tcBorders>
            <w:shd w:fill="2E4057" w:val="clear"/>
            <w:tcMar>
              <w:top w:type="dxa" w:w="60"/>
              <w:left w:type="dxa" w:w="100"/>
              <w:bottom w:type="dxa" w:w="60"/>
              <w:right w:type="dxa" w:w="100"/>
            </w:tcMar>
          </w:tcPr>
          <w:p>
            <w:pPr>
              <w:spacing w:before="0" w:after="0"/>
              <w:jc w:val="center"/>
            </w:pPr>
            <w:r>
              <w:rPr>
                <w:rFonts w:ascii="Calibri" w:cs="Calibri" w:eastAsia="Calibri" w:hAnsi="Calibri"/>
                <w:b/>
                <w:bCs/>
                <w:i w:val="false"/>
                <w:iCs w:val="false"/>
                <w:caps w:val="false"/>
                <w:color w:val="FFFFFF"/>
                <w:sz w:val="16"/>
                <w:szCs w:val="16"/>
              </w:rPr>
              <w:t xml:space="preserve">Allocation</w:t>
            </w:r>
          </w:p>
        </w:tc>
        <w:tc>
          <w:tcPr>
            <w:tcW w:type="dxa" w:w="1960"/>
            <w:tcBorders>
              <w:top w:val="single" w:color="1B4F72" w:sz="4"/>
              <w:left w:val="single" w:color="1B4F72" w:sz="4"/>
              <w:bottom w:val="single" w:color="1B4F72" w:sz="4"/>
              <w:right w:val="single" w:color="1B4F72" w:sz="4"/>
            </w:tcBorders>
            <w:shd w:fill="2E4057" w:val="clear"/>
            <w:tcMar>
              <w:top w:type="dxa" w:w="60"/>
              <w:left w:type="dxa" w:w="100"/>
              <w:bottom w:type="dxa" w:w="60"/>
              <w:right w:type="dxa" w:w="100"/>
            </w:tcMar>
          </w:tcPr>
          <w:p>
            <w:pPr>
              <w:spacing w:before="0" w:after="0"/>
              <w:jc w:val="center"/>
            </w:pPr>
            <w:r>
              <w:rPr>
                <w:rFonts w:ascii="Calibri" w:cs="Calibri" w:eastAsia="Calibri" w:hAnsi="Calibri"/>
                <w:b/>
                <w:bCs/>
                <w:i w:val="false"/>
                <w:iCs w:val="false"/>
                <w:caps w:val="false"/>
                <w:color w:val="FFFFFF"/>
                <w:sz w:val="16"/>
                <w:szCs w:val="16"/>
              </w:rPr>
              <w:t xml:space="preserve">People-Equiv</w:t>
            </w:r>
          </w:p>
        </w:tc>
        <w:tc>
          <w:tcPr>
            <w:tcW w:type="dxa" w:w="2320"/>
            <w:tcBorders>
              <w:top w:val="single" w:color="1B4F72" w:sz="4"/>
              <w:left w:val="single" w:color="1B4F72" w:sz="4"/>
              <w:bottom w:val="single" w:color="1B4F72" w:sz="4"/>
              <w:right w:val="single" w:color="1B4F72" w:sz="4"/>
            </w:tcBorders>
            <w:shd w:fill="2E4057" w:val="clear"/>
            <w:tcMar>
              <w:top w:type="dxa" w:w="60"/>
              <w:left w:type="dxa" w:w="100"/>
              <w:bottom w:type="dxa" w:w="60"/>
              <w:right w:type="dxa" w:w="100"/>
            </w:tcMar>
          </w:tcPr>
          <w:p>
            <w:pPr>
              <w:spacing w:before="0" w:after="0"/>
              <w:jc w:val="center"/>
            </w:pPr>
            <w:r>
              <w:rPr>
                <w:rFonts w:ascii="Calibri" w:cs="Calibri" w:eastAsia="Calibri" w:hAnsi="Calibri"/>
                <w:b/>
                <w:bCs/>
                <w:i w:val="false"/>
                <w:iCs w:val="false"/>
                <w:caps w:val="false"/>
                <w:color w:val="FFFFFF"/>
                <w:sz w:val="16"/>
                <w:szCs w:val="16"/>
              </w:rPr>
              <w:t xml:space="preserve">Tags</w:t>
            </w:r>
          </w:p>
        </w:tc>
      </w:tr>
      <w:tr>
        <w:tc>
          <w:tcPr>
            <w:tcW w:type="dxa" w:w="34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Fortified feeding</w:t>
            </w:r>
          </w:p>
        </w:tc>
        <w:tc>
          <w:tcPr>
            <w:tcW w:type="dxa" w:w="14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$1,800M</w:t>
            </w:r>
          </w:p>
        </w:tc>
        <w:tc>
          <w:tcPr>
            <w:tcW w:type="dxa" w:w="196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right"/>
            </w:pPr>
            <w:r>
              <w:rPr>
                <w:rFonts w:ascii="Calibri" w:cs="Calibri" w:eastAsia="Calibri" w:hAnsi="Calibri"/>
                <w:b w:val="false"/>
                <w:bCs w:val="false"/>
                <w:i w:val="false"/>
                <w:iCs w:val="false"/>
                <w:caps w:val="false"/>
                <w:color w:val="1A1A1A"/>
                <w:sz w:val="16"/>
                <w:szCs w:val="16"/>
              </w:rPr>
              <w:t xml:space="preserve">11,472,365</w:t>
            </w:r>
          </w:p>
        </w:tc>
        <w:tc>
          <w:tcPr>
            <w:tcW w:type="dxa" w:w="232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w:t>
            </w:r>
          </w:p>
        </w:tc>
      </w:tr>
      <w:tr>
        <w:tc>
          <w:tcPr>
            <w:tcW w:type="dxa" w:w="34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Saline-tolerant rice</w:t>
            </w:r>
          </w:p>
        </w:tc>
        <w:tc>
          <w:tcPr>
            <w:tcW w:type="dxa" w:w="14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$1,500M</w:t>
            </w:r>
          </w:p>
        </w:tc>
        <w:tc>
          <w:tcPr>
            <w:tcW w:type="dxa" w:w="196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right"/>
            </w:pPr>
            <w:r>
              <w:rPr>
                <w:rFonts w:ascii="Calibri" w:cs="Calibri" w:eastAsia="Calibri" w:hAnsi="Calibri"/>
                <w:b w:val="false"/>
                <w:bCs w:val="false"/>
                <w:i w:val="false"/>
                <w:iCs w:val="false"/>
                <w:caps w:val="false"/>
                <w:color w:val="1A1A1A"/>
                <w:sz w:val="16"/>
                <w:szCs w:val="16"/>
              </w:rPr>
              <w:t xml:space="preserve">2,964,259</w:t>
            </w:r>
          </w:p>
        </w:tc>
        <w:tc>
          <w:tcPr>
            <w:tcW w:type="dxa" w:w="232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BDP2100</w:t>
            </w:r>
          </w:p>
        </w:tc>
      </w:tr>
      <w:tr>
        <w:tc>
          <w:tcPr>
            <w:tcW w:type="dxa" w:w="34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Renewable irrigation</w:t>
            </w:r>
          </w:p>
        </w:tc>
        <w:tc>
          <w:tcPr>
            <w:tcW w:type="dxa" w:w="14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$1,200M</w:t>
            </w:r>
          </w:p>
        </w:tc>
        <w:tc>
          <w:tcPr>
            <w:tcW w:type="dxa" w:w="196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right"/>
            </w:pPr>
            <w:r>
              <w:rPr>
                <w:rFonts w:ascii="Calibri" w:cs="Calibri" w:eastAsia="Calibri" w:hAnsi="Calibri"/>
                <w:b w:val="false"/>
                <w:bCs w:val="false"/>
                <w:i w:val="false"/>
                <w:iCs w:val="false"/>
                <w:caps w:val="false"/>
                <w:color w:val="1A1A1A"/>
                <w:sz w:val="16"/>
                <w:szCs w:val="16"/>
              </w:rPr>
              <w:t xml:space="preserve">1,200,477</w:t>
            </w:r>
          </w:p>
        </w:tc>
        <w:tc>
          <w:tcPr>
            <w:tcW w:type="dxa" w:w="232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BNP</w:t>
            </w:r>
          </w:p>
        </w:tc>
      </w:tr>
      <w:tr>
        <w:tc>
          <w:tcPr>
            <w:tcW w:type="dxa" w:w="34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Post-harvest storage</w:t>
            </w:r>
          </w:p>
        </w:tc>
        <w:tc>
          <w:tcPr>
            <w:tcW w:type="dxa" w:w="14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$1,200M</w:t>
            </w:r>
          </w:p>
        </w:tc>
        <w:tc>
          <w:tcPr>
            <w:tcW w:type="dxa" w:w="196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right"/>
            </w:pPr>
            <w:r>
              <w:rPr>
                <w:rFonts w:ascii="Calibri" w:cs="Calibri" w:eastAsia="Calibri" w:hAnsi="Calibri"/>
                <w:b w:val="false"/>
                <w:bCs w:val="false"/>
                <w:i w:val="false"/>
                <w:iCs w:val="false"/>
                <w:caps w:val="false"/>
                <w:color w:val="1A1A1A"/>
                <w:sz w:val="16"/>
                <w:szCs w:val="16"/>
              </w:rPr>
              <w:t xml:space="preserve">2,278,814</w:t>
            </w:r>
          </w:p>
        </w:tc>
        <w:tc>
          <w:tcPr>
            <w:tcW w:type="dxa" w:w="232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w:t>
            </w:r>
          </w:p>
        </w:tc>
      </w:tr>
      <w:tr>
        <w:tc>
          <w:tcPr>
            <w:tcW w:type="dxa" w:w="34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AWD irrigation</w:t>
            </w:r>
          </w:p>
        </w:tc>
        <w:tc>
          <w:tcPr>
            <w:tcW w:type="dxa" w:w="14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$1,000M</w:t>
            </w:r>
          </w:p>
        </w:tc>
        <w:tc>
          <w:tcPr>
            <w:tcW w:type="dxa" w:w="196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right"/>
            </w:pPr>
            <w:r>
              <w:rPr>
                <w:rFonts w:ascii="Calibri" w:cs="Calibri" w:eastAsia="Calibri" w:hAnsi="Calibri"/>
                <w:b w:val="false"/>
                <w:bCs w:val="false"/>
                <w:i w:val="false"/>
                <w:iCs w:val="false"/>
                <w:caps w:val="false"/>
                <w:color w:val="1A1A1A"/>
                <w:sz w:val="16"/>
                <w:szCs w:val="16"/>
              </w:rPr>
              <w:t xml:space="preserve">1,871,215</w:t>
            </w:r>
          </w:p>
        </w:tc>
        <w:tc>
          <w:tcPr>
            <w:tcW w:type="dxa" w:w="232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BNP, BDP2100</w:t>
            </w:r>
          </w:p>
        </w:tc>
      </w:tr>
      <w:tr>
        <w:tc>
          <w:tcPr>
            <w:tcW w:type="dxa" w:w="34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Flood-tolerant rice</w:t>
            </w:r>
          </w:p>
        </w:tc>
        <w:tc>
          <w:tcPr>
            <w:tcW w:type="dxa" w:w="14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$499M</w:t>
            </w:r>
          </w:p>
        </w:tc>
        <w:tc>
          <w:tcPr>
            <w:tcW w:type="dxa" w:w="196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right"/>
            </w:pPr>
            <w:r>
              <w:rPr>
                <w:rFonts w:ascii="Calibri" w:cs="Calibri" w:eastAsia="Calibri" w:hAnsi="Calibri"/>
                <w:b w:val="false"/>
                <w:bCs w:val="false"/>
                <w:i w:val="false"/>
                <w:iCs w:val="false"/>
                <w:caps w:val="false"/>
                <w:color w:val="1A1A1A"/>
                <w:sz w:val="16"/>
                <w:szCs w:val="16"/>
              </w:rPr>
              <w:t xml:space="preserve">565,935</w:t>
            </w:r>
          </w:p>
        </w:tc>
        <w:tc>
          <w:tcPr>
            <w:tcW w:type="dxa" w:w="232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BDP2100</w:t>
            </w:r>
          </w:p>
        </w:tc>
      </w:tr>
      <w:tr>
        <w:tc>
          <w:tcPr>
            <w:tcW w:type="dxa" w:w="34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Crop diversification</w:t>
            </w:r>
          </w:p>
        </w:tc>
        <w:tc>
          <w:tcPr>
            <w:tcW w:type="dxa" w:w="14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$200M</w:t>
            </w:r>
          </w:p>
        </w:tc>
        <w:tc>
          <w:tcPr>
            <w:tcW w:type="dxa" w:w="196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right"/>
            </w:pPr>
            <w:r>
              <w:rPr>
                <w:rFonts w:ascii="Calibri" w:cs="Calibri" w:eastAsia="Calibri" w:hAnsi="Calibri"/>
                <w:b w:val="false"/>
                <w:bCs w:val="false"/>
                <w:i w:val="false"/>
                <w:iCs w:val="false"/>
                <w:caps w:val="false"/>
                <w:color w:val="1A1A1A"/>
                <w:sz w:val="16"/>
                <w:szCs w:val="16"/>
              </w:rPr>
              <w:t xml:space="preserve">152,220</w:t>
            </w:r>
          </w:p>
        </w:tc>
        <w:tc>
          <w:tcPr>
            <w:tcW w:type="dxa" w:w="232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w:t>
            </w:r>
          </w:p>
        </w:tc>
      </w:tr>
      <w:tr>
        <w:tc>
          <w:tcPr>
            <w:tcW w:type="dxa" w:w="34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Farmer insurance</w:t>
            </w:r>
          </w:p>
        </w:tc>
        <w:tc>
          <w:tcPr>
            <w:tcW w:type="dxa" w:w="14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$200M</w:t>
            </w:r>
          </w:p>
        </w:tc>
        <w:tc>
          <w:tcPr>
            <w:tcW w:type="dxa" w:w="196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right"/>
            </w:pPr>
            <w:r>
              <w:rPr>
                <w:rFonts w:ascii="Calibri" w:cs="Calibri" w:eastAsia="Calibri" w:hAnsi="Calibri"/>
                <w:b w:val="false"/>
                <w:bCs w:val="false"/>
                <w:i w:val="false"/>
                <w:iCs w:val="false"/>
                <w:caps w:val="false"/>
                <w:color w:val="1A1A1A"/>
                <w:sz w:val="16"/>
                <w:szCs w:val="16"/>
              </w:rPr>
              <w:t xml:space="preserve">98,995</w:t>
            </w:r>
          </w:p>
        </w:tc>
        <w:tc>
          <w:tcPr>
            <w:tcW w:type="dxa" w:w="232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BNP</w:t>
            </w:r>
          </w:p>
        </w:tc>
      </w:tr>
      <w:tr>
        <w:tc>
          <w:tcPr>
            <w:tcW w:type="dxa" w:w="34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River/canal excavation</w:t>
            </w:r>
          </w:p>
        </w:tc>
        <w:tc>
          <w:tcPr>
            <w:tcW w:type="dxa" w:w="14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$200M</w:t>
            </w:r>
          </w:p>
        </w:tc>
        <w:tc>
          <w:tcPr>
            <w:tcW w:type="dxa" w:w="196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right"/>
            </w:pPr>
            <w:r>
              <w:rPr>
                <w:rFonts w:ascii="Calibri" w:cs="Calibri" w:eastAsia="Calibri" w:hAnsi="Calibri"/>
                <w:b w:val="false"/>
                <w:bCs w:val="false"/>
                <w:i w:val="false"/>
                <w:iCs w:val="false"/>
                <w:caps w:val="false"/>
                <w:color w:val="1A1A1A"/>
                <w:sz w:val="16"/>
                <w:szCs w:val="16"/>
              </w:rPr>
              <w:t xml:space="preserve">21,860</w:t>
            </w:r>
          </w:p>
        </w:tc>
        <w:tc>
          <w:tcPr>
            <w:tcW w:type="dxa" w:w="232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BNP</w:t>
            </w:r>
          </w:p>
        </w:tc>
      </w:tr>
      <w:tr>
        <w:tc>
          <w:tcPr>
            <w:tcW w:type="dxa" w:w="34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Tree planting</w:t>
            </w:r>
          </w:p>
        </w:tc>
        <w:tc>
          <w:tcPr>
            <w:tcW w:type="dxa" w:w="14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$200M</w:t>
            </w:r>
          </w:p>
        </w:tc>
        <w:tc>
          <w:tcPr>
            <w:tcW w:type="dxa" w:w="196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right"/>
            </w:pPr>
            <w:r>
              <w:rPr>
                <w:rFonts w:ascii="Calibri" w:cs="Calibri" w:eastAsia="Calibri" w:hAnsi="Calibri"/>
                <w:b w:val="false"/>
                <w:bCs w:val="false"/>
                <w:i w:val="false"/>
                <w:iCs w:val="false"/>
                <w:caps w:val="false"/>
                <w:color w:val="1A1A1A"/>
                <w:sz w:val="16"/>
                <w:szCs w:val="16"/>
              </w:rPr>
              <w:t xml:space="preserve">17,480</w:t>
            </w:r>
          </w:p>
        </w:tc>
        <w:tc>
          <w:tcPr>
            <w:tcW w:type="dxa" w:w="232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BNP</w:t>
            </w:r>
          </w:p>
        </w:tc>
      </w:tr>
      <w:tr>
        <w:tc>
          <w:tcPr>
            <w:tcW w:type="dxa" w:w="34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Synergy bonus</w:t>
            </w:r>
          </w:p>
        </w:tc>
        <w:tc>
          <w:tcPr>
            <w:tcW w:type="dxa" w:w="14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w:t>
            </w:r>
          </w:p>
        </w:tc>
        <w:tc>
          <w:tcPr>
            <w:tcW w:type="dxa" w:w="196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right"/>
            </w:pPr>
            <w:r>
              <w:rPr>
                <w:rFonts w:ascii="Calibri" w:cs="Calibri" w:eastAsia="Calibri" w:hAnsi="Calibri"/>
                <w:b w:val="false"/>
                <w:bCs w:val="false"/>
                <w:i w:val="false"/>
                <w:iCs w:val="false"/>
                <w:caps w:val="false"/>
                <w:color w:val="1A1A1A"/>
                <w:sz w:val="16"/>
                <w:szCs w:val="16"/>
              </w:rPr>
              <w:t xml:space="preserve">+1,519,946</w:t>
            </w:r>
          </w:p>
        </w:tc>
        <w:tc>
          <w:tcPr>
            <w:tcW w:type="dxa" w:w="232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w:t>
            </w:r>
          </w:p>
        </w:tc>
      </w:tr>
      <w:tr>
        <w:tc>
          <w:tcPr>
            <w:tcW w:type="dxa" w:w="3400"/>
            <w:tcBorders>
              <w:top w:val="single" w:color="1B4F72" w:sz="4"/>
              <w:left w:val="single" w:color="1B4F72" w:sz="4"/>
              <w:bottom w:val="single" w:color="1B4F72" w:sz="4"/>
              <w:right w:val="single" w:color="1B4F72" w:sz="4"/>
            </w:tcBorders>
            <w:shd w:fill="1B4F72" w:val="clear"/>
            <w:tcMar>
              <w:top w:type="dxa" w:w="70"/>
              <w:left w:type="dxa" w:w="110"/>
              <w:bottom w:type="dxa" w:w="70"/>
              <w:right w:type="dxa" w:w="110"/>
            </w:tcMar>
          </w:tcPr>
          <w:p>
            <w:pPr>
              <w:spacing w:before="0" w:after="0"/>
              <w:jc w:val="center"/>
            </w:pPr>
            <w:r>
              <w:rPr>
                <w:rFonts w:ascii="Calibri" w:cs="Calibri" w:eastAsia="Calibri" w:hAnsi="Calibri"/>
                <w:b/>
                <w:bCs/>
                <w:i w:val="false"/>
                <w:iCs w:val="false"/>
                <w:caps w:val="false"/>
                <w:color w:val="FFFFFF"/>
                <w:sz w:val="17"/>
                <w:szCs w:val="17"/>
              </w:rPr>
              <w:t xml:space="preserve">GRAND TOTAL</w:t>
            </w:r>
          </w:p>
        </w:tc>
        <w:tc>
          <w:tcPr>
            <w:tcW w:type="dxa" w:w="1400"/>
            <w:tcBorders>
              <w:top w:val="single" w:color="1B4F72" w:sz="4"/>
              <w:left w:val="single" w:color="1B4F72" w:sz="4"/>
              <w:bottom w:val="single" w:color="1B4F72" w:sz="4"/>
              <w:right w:val="single" w:color="1B4F72" w:sz="4"/>
            </w:tcBorders>
            <w:shd w:fill="1B4F72" w:val="clear"/>
            <w:tcMar>
              <w:top w:type="dxa" w:w="70"/>
              <w:left w:type="dxa" w:w="110"/>
              <w:bottom w:type="dxa" w:w="70"/>
              <w:right w:type="dxa" w:w="110"/>
            </w:tcMar>
          </w:tcPr>
          <w:p>
            <w:pPr>
              <w:spacing w:before="0" w:after="0"/>
              <w:jc w:val="center"/>
            </w:pPr>
            <w:r>
              <w:rPr>
                <w:rFonts w:ascii="Calibri" w:cs="Calibri" w:eastAsia="Calibri" w:hAnsi="Calibri"/>
                <w:b/>
                <w:bCs/>
                <w:i w:val="false"/>
                <w:iCs w:val="false"/>
                <w:caps w:val="false"/>
                <w:color w:val="FFFFFF"/>
                <w:sz w:val="17"/>
                <w:szCs w:val="17"/>
              </w:rPr>
              <w:t xml:space="preserve">$7,999M</w:t>
            </w:r>
          </w:p>
        </w:tc>
        <w:tc>
          <w:tcPr>
            <w:tcW w:type="dxa" w:w="1960"/>
            <w:tcBorders>
              <w:top w:val="single" w:color="1B4F72" w:sz="4"/>
              <w:left w:val="single" w:color="1B4F72" w:sz="4"/>
              <w:bottom w:val="single" w:color="1B4F72" w:sz="4"/>
              <w:right w:val="single" w:color="1B4F72" w:sz="4"/>
            </w:tcBorders>
            <w:shd w:fill="1B4F72" w:val="clear"/>
            <w:tcMar>
              <w:top w:type="dxa" w:w="70"/>
              <w:left w:type="dxa" w:w="110"/>
              <w:bottom w:type="dxa" w:w="70"/>
              <w:right w:type="dxa" w:w="110"/>
            </w:tcMar>
          </w:tcPr>
          <w:p>
            <w:pPr>
              <w:spacing w:before="0" w:after="0"/>
              <w:jc w:val="center"/>
            </w:pPr>
            <w:r>
              <w:rPr>
                <w:rFonts w:ascii="Calibri" w:cs="Calibri" w:eastAsia="Calibri" w:hAnsi="Calibri"/>
                <w:b/>
                <w:bCs/>
                <w:i w:val="false"/>
                <w:iCs w:val="false"/>
                <w:caps w:val="false"/>
                <w:color w:val="FFFFFF"/>
                <w:sz w:val="17"/>
                <w:szCs w:val="17"/>
              </w:rPr>
              <w:t xml:space="preserve">22,163,566</w:t>
            </w:r>
          </w:p>
        </w:tc>
        <w:tc>
          <w:tcPr>
            <w:tcW w:type="dxa" w:w="2320"/>
            <w:tcBorders>
              <w:top w:val="single" w:color="1B4F72" w:sz="4"/>
              <w:left w:val="single" w:color="1B4F72" w:sz="4"/>
              <w:bottom w:val="single" w:color="1B4F72" w:sz="4"/>
              <w:right w:val="single" w:color="1B4F72" w:sz="4"/>
            </w:tcBorders>
            <w:shd w:fill="1B4F72" w:val="clear"/>
            <w:tcMar>
              <w:top w:type="dxa" w:w="70"/>
              <w:left w:type="dxa" w:w="110"/>
              <w:bottom w:type="dxa" w:w="70"/>
              <w:right w:type="dxa" w:w="110"/>
            </w:tcMar>
          </w:tcPr>
          <w:p>
            <w:pPr>
              <w:spacing w:before="0" w:after="0"/>
              <w:jc w:val="center"/>
            </w:pPr>
            <w:r>
              <w:rPr>
                <w:rFonts w:ascii="Calibri" w:cs="Calibri" w:eastAsia="Calibri" w:hAnsi="Calibri"/>
                <w:b/>
                <w:bCs/>
                <w:i w:val="false"/>
                <w:iCs w:val="false"/>
                <w:caps w:val="false"/>
                <w:color w:val="FFFFFF"/>
                <w:sz w:val="17"/>
                <w:szCs w:val="17"/>
              </w:rPr>
              <w:t xml:space="preserve">100% deficit + 23% buffer</w:t>
            </w:r>
          </w:p>
        </w:tc>
      </w:tr>
    </w:tbl>
    <w:p>
      <w:pPr>
        <w:spacing w:before="0" w:after="100"/>
      </w:pPr>
      <w:r>
        <w:rPr>
          <w:rFonts w:ascii="Calibri" w:cs="Calibri" w:eastAsia="Calibri" w:hAnsi="Calibri"/>
          <w:b w:val="false"/>
          <w:bCs w:val="false"/>
          <w:i w:val="false"/>
          <w:iCs w:val="false"/>
          <w:caps w:val="false"/>
          <w:color w:val="1A1A1A"/>
          <w:sz w:val="22"/>
          <w:szCs w:val="22"/>
        </w:rPr>
        <w:t xml:space="preserve"/>
      </w:r>
    </w:p>
    <w:p>
      <w:pPr>
        <w:spacing w:before="80" w:after="60"/>
        <w:ind w:left="360"/>
      </w:pPr>
      <w:r>
        <w:rPr>
          <w:rFonts w:ascii="Calibri" w:cs="Calibri" w:eastAsia="Calibri" w:hAnsi="Calibri"/>
          <w:b/>
          <w:bCs/>
          <w:i w:val="false"/>
          <w:iCs w:val="false"/>
          <w:caps w:val="false"/>
          <w:color w:val="1B4F72"/>
          <w:sz w:val="22"/>
          <w:szCs w:val="22"/>
        </w:rPr>
        <w:t xml:space="preserve">C.2 Key Metrics</w:t>
      </w:r>
    </w:p>
    <w:p>
      <w:pPr>
        <w:pStyle w:val="ListParagraph"/>
        <w:numPr>
          <w:ilvl w:val="0"/>
          <w:numId w:val="2"/>
        </w:numPr>
        <w:spacing w:before="0" w:after="60"/>
        <w:ind w:left="720" w:hanging="360"/>
      </w:pPr>
      <w:r>
        <w:rPr>
          <w:rFonts w:ascii="Calibri" w:cs="Calibri" w:eastAsia="Calibri" w:hAnsi="Calibri"/>
          <w:b w:val="false"/>
          <w:bCs w:val="false"/>
          <w:i w:val="false"/>
          <w:iCs w:val="false"/>
          <w:caps w:val="false"/>
          <w:color w:val="1A1A1A"/>
          <w:sz w:val="18"/>
          <w:szCs w:val="18"/>
        </w:rPr>
        <w:t xml:space="preserve">Deficit closed: 100% (22.2M people-equiv vs 18.05M target)</w:t>
      </w:r>
    </w:p>
    <w:p>
      <w:pPr>
        <w:pStyle w:val="ListParagraph"/>
        <w:numPr>
          <w:ilvl w:val="0"/>
          <w:numId w:val="2"/>
        </w:numPr>
        <w:spacing w:before="0" w:after="60"/>
        <w:ind w:left="720" w:hanging="360"/>
      </w:pPr>
      <w:r>
        <w:rPr>
          <w:rFonts w:ascii="Calibri" w:cs="Calibri" w:eastAsia="Calibri" w:hAnsi="Calibri"/>
          <w:b w:val="false"/>
          <w:bCs w:val="false"/>
          <w:i w:val="false"/>
          <w:iCs w:val="false"/>
          <w:caps w:val="false"/>
          <w:color w:val="1A1A1A"/>
          <w:sz w:val="18"/>
          <w:szCs w:val="18"/>
        </w:rPr>
        <w:t xml:space="preserve">Resilience buffer: 23% (4.1M surplus capacity)</w:t>
      </w:r>
    </w:p>
    <w:p>
      <w:pPr>
        <w:pStyle w:val="ListParagraph"/>
        <w:numPr>
          <w:ilvl w:val="0"/>
          <w:numId w:val="2"/>
        </w:numPr>
        <w:spacing w:before="0" w:after="60"/>
        <w:ind w:left="720" w:hanging="360"/>
      </w:pPr>
      <w:r>
        <w:rPr>
          <w:rFonts w:ascii="Calibri" w:cs="Calibri" w:eastAsia="Calibri" w:hAnsi="Calibri"/>
          <w:b w:val="false"/>
          <w:bCs w:val="false"/>
          <w:i w:val="false"/>
          <w:iCs w:val="false"/>
          <w:caps w:val="false"/>
          <w:color w:val="1A1A1A"/>
          <w:sz w:val="18"/>
          <w:szCs w:val="18"/>
        </w:rPr>
        <w:t xml:space="preserve">BNP share of spending: 35.0% (meets floor exactly)</w:t>
      </w:r>
    </w:p>
    <w:p>
      <w:pPr>
        <w:pStyle w:val="ListParagraph"/>
        <w:numPr>
          <w:ilvl w:val="0"/>
          <w:numId w:val="2"/>
        </w:numPr>
        <w:spacing w:before="0" w:after="60"/>
        <w:ind w:left="720" w:hanging="360"/>
      </w:pPr>
      <w:r>
        <w:rPr>
          <w:rFonts w:ascii="Calibri" w:cs="Calibri" w:eastAsia="Calibri" w:hAnsi="Calibri"/>
          <w:b w:val="false"/>
          <w:bCs w:val="false"/>
          <w:i w:val="false"/>
          <w:iCs w:val="false"/>
          <w:caps w:val="false"/>
          <w:color w:val="1A1A1A"/>
          <w:sz w:val="18"/>
          <w:szCs w:val="18"/>
        </w:rPr>
        <w:t xml:space="preserve">Policies funded: 10 of 13</w:t>
      </w:r>
    </w:p>
    <w:p>
      <w:pPr>
        <w:pStyle w:val="ListParagraph"/>
        <w:numPr>
          <w:ilvl w:val="0"/>
          <w:numId w:val="2"/>
        </w:numPr>
        <w:spacing w:before="0" w:after="60"/>
        <w:ind w:left="720" w:hanging="360"/>
      </w:pPr>
      <w:r>
        <w:rPr>
          <w:rFonts w:ascii="Calibri" w:cs="Calibri" w:eastAsia="Calibri" w:hAnsi="Calibri"/>
          <w:b w:val="false"/>
          <w:bCs w:val="false"/>
          <w:i w:val="false"/>
          <w:iCs w:val="false"/>
          <w:caps w:val="false"/>
          <w:color w:val="1A1A1A"/>
          <w:sz w:val="18"/>
          <w:szCs w:val="18"/>
        </w:rPr>
        <w:t xml:space="preserve">Synergy contribution: 7.4% of base impact</w:t>
      </w:r>
    </w:p>
    <w:p>
      <w:pPr>
        <w:pStyle w:val="ListParagraph"/>
        <w:numPr>
          <w:ilvl w:val="0"/>
          <w:numId w:val="2"/>
        </w:numPr>
        <w:spacing w:before="0" w:after="60"/>
        <w:ind w:left="720" w:hanging="360"/>
      </w:pPr>
      <w:r>
        <w:rPr>
          <w:rFonts w:ascii="Calibri" w:cs="Calibri" w:eastAsia="Calibri" w:hAnsi="Calibri"/>
          <w:b w:val="false"/>
          <w:bCs w:val="false"/>
          <w:i w:val="false"/>
          <w:iCs w:val="false"/>
          <w:caps w:val="false"/>
          <w:color w:val="1A1A1A"/>
          <w:sz w:val="18"/>
          <w:szCs w:val="18"/>
        </w:rPr>
        <w:t xml:space="preserve">Dollar value of gains: $5.14B/year (at $285/person food cost)</w:t>
      </w:r>
    </w:p>
    <w:p>
      <w:pPr>
        <w:pStyle w:val="ListParagraph"/>
        <w:numPr>
          <w:ilvl w:val="0"/>
          <w:numId w:val="2"/>
        </w:numPr>
        <w:spacing w:before="0" w:after="60"/>
        <w:ind w:left="720" w:hanging="360"/>
      </w:pPr>
      <w:r>
        <w:rPr>
          <w:rFonts w:ascii="Calibri" w:cs="Calibri" w:eastAsia="Calibri" w:hAnsi="Calibri"/>
          <w:b w:val="false"/>
          <w:bCs w:val="false"/>
          <w:i w:val="false"/>
          <w:iCs w:val="false"/>
          <w:caps w:val="false"/>
          <w:color w:val="1A1A1A"/>
          <w:sz w:val="18"/>
          <w:szCs w:val="18"/>
        </w:rPr>
        <w:t xml:space="preserve">Policies NOT funded: Cyclone early warning, flood forecasting, aquaculture (marginal impact too low at $8B scale)</w:t>
      </w:r>
    </w:p>
    <w:p>
      <w:pPr>
        <w:spacing w:before="160" w:after="80"/>
      </w:pPr>
      <w:r>
        <w:rPr>
          <w:rFonts w:ascii="Calibri" w:cs="Calibri" w:eastAsia="Calibri" w:hAnsi="Calibri"/>
          <w:b/>
          <w:bCs/>
          <w:i w:val="false"/>
          <w:iCs w:val="false"/>
          <w:caps w:val="false"/>
          <w:color w:val="1B4F72"/>
          <w:sz w:val="22"/>
          <w:szCs w:val="22"/>
        </w:rPr>
        <w:t xml:space="preserve">D. Multi-Year Simulation: 5-Year Investment, 20-Year Impact</w:t>
      </w:r>
    </w:p>
    <w:p>
      <w:pPr>
        <w:spacing w:before="80" w:after="60"/>
        <w:ind w:left="360"/>
      </w:pPr>
      <w:r>
        <w:rPr>
          <w:rFonts w:ascii="Calibri" w:cs="Calibri" w:eastAsia="Calibri" w:hAnsi="Calibri"/>
          <w:b/>
          <w:bCs/>
          <w:i w:val="false"/>
          <w:iCs w:val="false"/>
          <w:caps w:val="false"/>
          <w:color w:val="1B4F72"/>
          <w:sz w:val="22"/>
          <w:szCs w:val="22"/>
        </w:rPr>
        <w:t xml:space="preserve">D.1 Investment Phase</w:t>
      </w:r>
    </w:p>
    <w:p>
      <w:pPr>
        <w:spacing w:before="120" w:after="80"/>
        <w:jc w:val="center"/>
      </w:pPr>
      <w:r>
        <w:rPr>
          <w:rFonts w:ascii="Calibri" w:cs="Calibri" w:eastAsia="Calibri" w:hAnsi="Calibri"/>
          <w:b/>
          <w:bCs/>
          <w:i/>
          <w:iCs/>
          <w:caps w:val="false"/>
          <w:color w:val="555555"/>
          <w:sz w:val="19"/>
          <w:szCs w:val="19"/>
        </w:rPr>
        <w:t xml:space="preserve">Appendix Table 7. Annual Investment by Phase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280"/>
      </w:tblGrid>
      <w:tr>
        <w:trPr>
          <w:tblHeader/>
        </w:trPr>
        <w:tc>
          <w:tcPr>
            <w:tcW w:type="dxa" w:w="1200"/>
            <w:tcBorders>
              <w:top w:val="single" w:color="1B4F72" w:sz="4"/>
              <w:left w:val="single" w:color="1B4F72" w:sz="4"/>
              <w:bottom w:val="single" w:color="1B4F72" w:sz="4"/>
              <w:right w:val="single" w:color="1B4F72" w:sz="4"/>
            </w:tcBorders>
            <w:shd w:fill="2E4057" w:val="clear"/>
            <w:tcMar>
              <w:top w:type="dxa" w:w="60"/>
              <w:left w:type="dxa" w:w="100"/>
              <w:bottom w:type="dxa" w:w="60"/>
              <w:right w:type="dxa" w:w="100"/>
            </w:tcMar>
          </w:tcPr>
          <w:p>
            <w:pPr>
              <w:spacing w:before="0" w:after="0"/>
              <w:jc w:val="center"/>
            </w:pPr>
            <w:r>
              <w:rPr>
                <w:rFonts w:ascii="Calibri" w:cs="Calibri" w:eastAsia="Calibri" w:hAnsi="Calibri"/>
                <w:b/>
                <w:bCs/>
                <w:i w:val="false"/>
                <w:iCs w:val="false"/>
                <w:caps w:val="false"/>
                <w:color w:val="FFFFFF"/>
                <w:sz w:val="16"/>
                <w:szCs w:val="16"/>
              </w:rPr>
              <w:t xml:space="preserve">Year</w:t>
            </w:r>
          </w:p>
        </w:tc>
        <w:tc>
          <w:tcPr>
            <w:tcW w:type="dxa" w:w="1600"/>
            <w:tcBorders>
              <w:top w:val="single" w:color="1B4F72" w:sz="4"/>
              <w:left w:val="single" w:color="1B4F72" w:sz="4"/>
              <w:bottom w:val="single" w:color="1B4F72" w:sz="4"/>
              <w:right w:val="single" w:color="1B4F72" w:sz="4"/>
            </w:tcBorders>
            <w:shd w:fill="2E4057" w:val="clear"/>
            <w:tcMar>
              <w:top w:type="dxa" w:w="60"/>
              <w:left w:type="dxa" w:w="100"/>
              <w:bottom w:type="dxa" w:w="60"/>
              <w:right w:type="dxa" w:w="100"/>
            </w:tcMar>
          </w:tcPr>
          <w:p>
            <w:pPr>
              <w:spacing w:before="0" w:after="0"/>
              <w:jc w:val="center"/>
            </w:pPr>
            <w:r>
              <w:rPr>
                <w:rFonts w:ascii="Calibri" w:cs="Calibri" w:eastAsia="Calibri" w:hAnsi="Calibri"/>
                <w:b/>
                <w:bCs/>
                <w:i w:val="false"/>
                <w:iCs w:val="false"/>
                <w:caps w:val="false"/>
                <w:color w:val="FFFFFF"/>
                <w:sz w:val="16"/>
                <w:szCs w:val="16"/>
              </w:rPr>
              <w:t xml:space="preserve">Spent</w:t>
            </w:r>
          </w:p>
        </w:tc>
        <w:tc>
          <w:tcPr>
            <w:tcW w:type="dxa" w:w="6280"/>
            <w:tcBorders>
              <w:top w:val="single" w:color="1B4F72" w:sz="4"/>
              <w:left w:val="single" w:color="1B4F72" w:sz="4"/>
              <w:bottom w:val="single" w:color="1B4F72" w:sz="4"/>
              <w:right w:val="single" w:color="1B4F72" w:sz="4"/>
            </w:tcBorders>
            <w:shd w:fill="2E4057" w:val="clear"/>
            <w:tcMar>
              <w:top w:type="dxa" w:w="60"/>
              <w:left w:type="dxa" w:w="100"/>
              <w:bottom w:type="dxa" w:w="60"/>
              <w:right w:type="dxa" w:w="100"/>
            </w:tcMar>
          </w:tcPr>
          <w:p>
            <w:pPr>
              <w:spacing w:before="0" w:after="0"/>
              <w:jc w:val="center"/>
            </w:pPr>
            <w:r>
              <w:rPr>
                <w:rFonts w:ascii="Calibri" w:cs="Calibri" w:eastAsia="Calibri" w:hAnsi="Calibri"/>
                <w:b/>
                <w:bCs/>
                <w:i w:val="false"/>
                <w:iCs w:val="false"/>
                <w:caps w:val="false"/>
                <w:color w:val="FFFFFF"/>
                <w:sz w:val="16"/>
                <w:szCs w:val="16"/>
              </w:rPr>
              <w:t xml:space="preserve">Key Allocation</w:t>
            </w:r>
          </w:p>
        </w:tc>
      </w:tr>
      <w:tr>
        <w:tc>
          <w:tcPr>
            <w:tcW w:type="dxa" w:w="12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center"/>
            </w:pPr>
            <w:r>
              <w:rPr>
                <w:rFonts w:ascii="Calibri" w:cs="Calibri" w:eastAsia="Calibri" w:hAnsi="Calibri"/>
                <w:b w:val="false"/>
                <w:bCs w:val="false"/>
                <w:i w:val="false"/>
                <w:iCs w:val="false"/>
                <w:caps w:val="false"/>
                <w:color w:val="1A1A1A"/>
                <w:sz w:val="16"/>
                <w:szCs w:val="16"/>
              </w:rPr>
              <w:t xml:space="preserve">1</w:t>
            </w:r>
          </w:p>
        </w:tc>
        <w:tc>
          <w:tcPr>
            <w:tcW w:type="dxa" w:w="16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center"/>
            </w:pPr>
            <w:r>
              <w:rPr>
                <w:rFonts w:ascii="Calibri" w:cs="Calibri" w:eastAsia="Calibri" w:hAnsi="Calibri"/>
                <w:b w:val="false"/>
                <w:bCs w:val="false"/>
                <w:i w:val="false"/>
                <w:iCs w:val="false"/>
                <w:caps w:val="false"/>
                <w:color w:val="1A1A1A"/>
                <w:sz w:val="16"/>
                <w:szCs w:val="16"/>
              </w:rPr>
              <w:t xml:space="preserve">$8.0B</w:t>
            </w:r>
          </w:p>
        </w:tc>
        <w:tc>
          <w:tcPr>
            <w:tcW w:type="dxa" w:w="628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Full mix: feeding $1.8B, saline rice $1.5B, storage $1.2B, solar $1.2B, AWD $1.0B, flood rice $0.5B, plus 4 more</w:t>
            </w:r>
          </w:p>
        </w:tc>
      </w:tr>
      <w:tr>
        <w:tc>
          <w:tcPr>
            <w:tcW w:type="dxa" w:w="12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center"/>
            </w:pPr>
            <w:r>
              <w:rPr>
                <w:rFonts w:ascii="Calibri" w:cs="Calibri" w:eastAsia="Calibri" w:hAnsi="Calibri"/>
                <w:b w:val="false"/>
                <w:bCs w:val="false"/>
                <w:i w:val="false"/>
                <w:iCs w:val="false"/>
                <w:caps w:val="false"/>
                <w:color w:val="1A1A1A"/>
                <w:sz w:val="16"/>
                <w:szCs w:val="16"/>
              </w:rPr>
              <w:t xml:space="preserve">2</w:t>
            </w:r>
          </w:p>
        </w:tc>
        <w:tc>
          <w:tcPr>
            <w:tcW w:type="dxa" w:w="16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center"/>
            </w:pPr>
            <w:r>
              <w:rPr>
                <w:rFonts w:ascii="Calibri" w:cs="Calibri" w:eastAsia="Calibri" w:hAnsi="Calibri"/>
                <w:b w:val="false"/>
                <w:bCs w:val="false"/>
                <w:i w:val="false"/>
                <w:iCs w:val="false"/>
                <w:caps w:val="false"/>
                <w:color w:val="1A1A1A"/>
                <w:sz w:val="16"/>
                <w:szCs w:val="16"/>
              </w:rPr>
              <w:t xml:space="preserve">$8.0B</w:t>
            </w:r>
          </w:p>
        </w:tc>
        <w:tc>
          <w:tcPr>
            <w:tcW w:type="dxa" w:w="628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Maxes remaining capital: flood rice to $1.8B, diversification $1.0B, trees $0.9B, canals $0.8B, forecasting, warning, aquaculture. Plus feeding $1.8B, insurance $1.0B</w:t>
            </w:r>
          </w:p>
        </w:tc>
      </w:tr>
      <w:tr>
        <w:tc>
          <w:tcPr>
            <w:tcW w:type="dxa" w:w="12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center"/>
            </w:pPr>
            <w:r>
              <w:rPr>
                <w:rFonts w:ascii="Calibri" w:cs="Calibri" w:eastAsia="Calibri" w:hAnsi="Calibri"/>
                <w:b w:val="false"/>
                <w:bCs w:val="false"/>
                <w:i w:val="false"/>
                <w:iCs w:val="false"/>
                <w:caps w:val="false"/>
                <w:color w:val="1A1A1A"/>
                <w:sz w:val="16"/>
                <w:szCs w:val="16"/>
              </w:rPr>
              <w:t xml:space="preserve">3–5</w:t>
            </w:r>
          </w:p>
        </w:tc>
        <w:tc>
          <w:tcPr>
            <w:tcW w:type="dxa" w:w="16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center"/>
            </w:pPr>
            <w:r>
              <w:rPr>
                <w:rFonts w:ascii="Calibri" w:cs="Calibri" w:eastAsia="Calibri" w:hAnsi="Calibri"/>
                <w:b w:val="false"/>
                <w:bCs w:val="false"/>
                <w:i w:val="false"/>
                <w:iCs w:val="false"/>
                <w:caps w:val="false"/>
                <w:color w:val="1A1A1A"/>
                <w:sz w:val="16"/>
                <w:szCs w:val="16"/>
              </w:rPr>
              <w:t xml:space="preserve">$2.8B/yr</w:t>
            </w:r>
          </w:p>
        </w:tc>
        <w:tc>
          <w:tcPr>
            <w:tcW w:type="dxa" w:w="628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All capital complete. Only feeding ($1.8B) + insurance ($1.0B)</w:t>
            </w:r>
          </w:p>
        </w:tc>
      </w:tr>
    </w:tbl>
    <w:p>
      <w:pPr>
        <w:spacing w:before="0" w:after="80"/>
      </w:pPr>
      <w:r>
        <w:rPr>
          <w:rFonts w:ascii="Calibri" w:cs="Calibri" w:eastAsia="Calibri" w:hAnsi="Calibri"/>
          <w:b w:val="false"/>
          <w:bCs w:val="false"/>
          <w:i w:val="false"/>
          <w:iCs w:val="false"/>
          <w:caps w:val="false"/>
          <w:color w:val="1A1A1A"/>
          <w:sz w:val="22"/>
          <w:szCs w:val="22"/>
        </w:rPr>
        <w:t xml:space="preserve"/>
      </w:r>
    </w:p>
    <w:p>
      <w:pPr>
        <w:spacing w:before="0" w:after="80"/>
        <w:ind w:left="360"/>
        <w:jc w:val="both"/>
      </w:pPr>
      <w:r>
        <w:rPr>
          <w:rFonts w:ascii="Calibri" w:cs="Calibri" w:eastAsia="Calibri" w:hAnsi="Calibri"/>
          <w:b w:val="false"/>
          <w:bCs w:val="false"/>
          <w:i w:val="false"/>
          <w:iCs w:val="false"/>
          <w:caps w:val="false"/>
          <w:color w:val="1A1A1A"/>
          <w:sz w:val="18"/>
          <w:szCs w:val="18"/>
        </w:rPr>
        <w:t xml:space="preserve">Total capital invested: $11.2B. Total operational: $13.2B. Grand total: $24.4B of $40B available.</w:t>
      </w:r>
    </w:p>
    <w:p>
      <w:pPr>
        <w:spacing w:before="120" w:after="60"/>
        <w:ind w:left="360"/>
      </w:pPr>
      <w:r>
        <w:rPr>
          <w:rFonts w:ascii="Calibri" w:cs="Calibri" w:eastAsia="Calibri" w:hAnsi="Calibri"/>
          <w:b/>
          <w:bCs/>
          <w:i w:val="false"/>
          <w:iCs w:val="false"/>
          <w:caps w:val="false"/>
          <w:color w:val="1B4F72"/>
          <w:sz w:val="22"/>
          <w:szCs w:val="22"/>
        </w:rPr>
        <w:t xml:space="preserve">D.2 20-Year Impact Trajectory</w:t>
      </w:r>
    </w:p>
    <w:p>
      <w:pPr>
        <w:spacing w:before="120" w:after="80"/>
        <w:jc w:val="center"/>
      </w:pPr>
      <w:r>
        <w:rPr>
          <w:rFonts w:ascii="Calibri" w:cs="Calibri" w:eastAsia="Calibri" w:hAnsi="Calibri"/>
          <w:b/>
          <w:bCs/>
          <w:i/>
          <w:iCs/>
          <w:caps w:val="false"/>
          <w:color w:val="555555"/>
          <w:sz w:val="19"/>
          <w:szCs w:val="19"/>
        </w:rPr>
        <w:t xml:space="preserve">Appendix Table 8. 20-Year Impact by Year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900"/>
        <w:gridCol w:w="1400"/>
        <w:gridCol w:w="2000"/>
        <w:gridCol w:w="980"/>
      </w:tblGrid>
      <w:tr>
        <w:trPr>
          <w:tblHeader/>
        </w:trPr>
        <w:tc>
          <w:tcPr>
            <w:tcW w:type="dxa" w:w="1400"/>
            <w:tcBorders>
              <w:top w:val="single" w:color="1B4F72" w:sz="4"/>
              <w:left w:val="single" w:color="1B4F72" w:sz="4"/>
              <w:bottom w:val="single" w:color="1B4F72" w:sz="4"/>
              <w:right w:val="single" w:color="1B4F72" w:sz="4"/>
            </w:tcBorders>
            <w:shd w:fill="2E4057" w:val="clear"/>
            <w:tcMar>
              <w:top w:type="dxa" w:w="60"/>
              <w:left w:type="dxa" w:w="100"/>
              <w:bottom w:type="dxa" w:w="60"/>
              <w:right w:type="dxa" w:w="100"/>
            </w:tcMar>
          </w:tcPr>
          <w:p>
            <w:pPr>
              <w:spacing w:before="0" w:after="0"/>
              <w:jc w:val="center"/>
            </w:pPr>
            <w:r>
              <w:rPr>
                <w:rFonts w:ascii="Calibri" w:cs="Calibri" w:eastAsia="Calibri" w:hAnsi="Calibri"/>
                <w:b/>
                <w:bCs/>
                <w:i w:val="false"/>
                <w:iCs w:val="false"/>
                <w:caps w:val="false"/>
                <w:color w:val="FFFFFF"/>
                <w:sz w:val="16"/>
                <w:szCs w:val="16"/>
              </w:rPr>
              <w:t xml:space="preserve">Year</w:t>
            </w:r>
          </w:p>
        </w:tc>
        <w:tc>
          <w:tcPr>
            <w:tcW w:type="dxa" w:w="1900"/>
            <w:tcBorders>
              <w:top w:val="single" w:color="1B4F72" w:sz="4"/>
              <w:left w:val="single" w:color="1B4F72" w:sz="4"/>
              <w:bottom w:val="single" w:color="1B4F72" w:sz="4"/>
              <w:right w:val="single" w:color="1B4F72" w:sz="4"/>
            </w:tcBorders>
            <w:shd w:fill="2E4057" w:val="clear"/>
            <w:tcMar>
              <w:top w:type="dxa" w:w="60"/>
              <w:left w:type="dxa" w:w="100"/>
              <w:bottom w:type="dxa" w:w="60"/>
              <w:right w:type="dxa" w:w="100"/>
            </w:tcMar>
          </w:tcPr>
          <w:p>
            <w:pPr>
              <w:spacing w:before="0" w:after="0"/>
              <w:jc w:val="center"/>
            </w:pPr>
            <w:r>
              <w:rPr>
                <w:rFonts w:ascii="Calibri" w:cs="Calibri" w:eastAsia="Calibri" w:hAnsi="Calibri"/>
                <w:b/>
                <w:bCs/>
                <w:i w:val="false"/>
                <w:iCs w:val="false"/>
                <w:caps w:val="false"/>
                <w:color w:val="FFFFFF"/>
                <w:sz w:val="16"/>
                <w:szCs w:val="16"/>
              </w:rPr>
              <w:t xml:space="preserve">Capital</w:t>
            </w:r>
          </w:p>
        </w:tc>
        <w:tc>
          <w:tcPr>
            <w:tcW w:type="dxa" w:w="1900"/>
            <w:tcBorders>
              <w:top w:val="single" w:color="1B4F72" w:sz="4"/>
              <w:left w:val="single" w:color="1B4F72" w:sz="4"/>
              <w:bottom w:val="single" w:color="1B4F72" w:sz="4"/>
              <w:right w:val="single" w:color="1B4F72" w:sz="4"/>
            </w:tcBorders>
            <w:shd w:fill="2E4057" w:val="clear"/>
            <w:tcMar>
              <w:top w:type="dxa" w:w="60"/>
              <w:left w:type="dxa" w:w="100"/>
              <w:bottom w:type="dxa" w:w="60"/>
              <w:right w:type="dxa" w:w="100"/>
            </w:tcMar>
          </w:tcPr>
          <w:p>
            <w:pPr>
              <w:spacing w:before="0" w:after="0"/>
              <w:jc w:val="center"/>
            </w:pPr>
            <w:r>
              <w:rPr>
                <w:rFonts w:ascii="Calibri" w:cs="Calibri" w:eastAsia="Calibri" w:hAnsi="Calibri"/>
                <w:b/>
                <w:bCs/>
                <w:i w:val="false"/>
                <w:iCs w:val="false"/>
                <w:caps w:val="false"/>
                <w:color w:val="FFFFFF"/>
                <w:sz w:val="16"/>
                <w:szCs w:val="16"/>
              </w:rPr>
              <w:t xml:space="preserve">Operational</w:t>
            </w:r>
          </w:p>
        </w:tc>
        <w:tc>
          <w:tcPr>
            <w:tcW w:type="dxa" w:w="1400"/>
            <w:tcBorders>
              <w:top w:val="single" w:color="1B4F72" w:sz="4"/>
              <w:left w:val="single" w:color="1B4F72" w:sz="4"/>
              <w:bottom w:val="single" w:color="1B4F72" w:sz="4"/>
              <w:right w:val="single" w:color="1B4F72" w:sz="4"/>
            </w:tcBorders>
            <w:shd w:fill="2E4057" w:val="clear"/>
            <w:tcMar>
              <w:top w:type="dxa" w:w="60"/>
              <w:left w:type="dxa" w:w="100"/>
              <w:bottom w:type="dxa" w:w="60"/>
              <w:right w:type="dxa" w:w="100"/>
            </w:tcMar>
          </w:tcPr>
          <w:p>
            <w:pPr>
              <w:spacing w:before="0" w:after="0"/>
              <w:jc w:val="center"/>
            </w:pPr>
            <w:r>
              <w:rPr>
                <w:rFonts w:ascii="Calibri" w:cs="Calibri" w:eastAsia="Calibri" w:hAnsi="Calibri"/>
                <w:b/>
                <w:bCs/>
                <w:i w:val="false"/>
                <w:iCs w:val="false"/>
                <w:caps w:val="false"/>
                <w:color w:val="FFFFFF"/>
                <w:sz w:val="16"/>
                <w:szCs w:val="16"/>
              </w:rPr>
              <w:t xml:space="preserve">Synergy</w:t>
            </w:r>
          </w:p>
        </w:tc>
        <w:tc>
          <w:tcPr>
            <w:tcW w:type="dxa" w:w="2000"/>
            <w:tcBorders>
              <w:top w:val="single" w:color="1B4F72" w:sz="4"/>
              <w:left w:val="single" w:color="1B4F72" w:sz="4"/>
              <w:bottom w:val="single" w:color="1B4F72" w:sz="4"/>
              <w:right w:val="single" w:color="1B4F72" w:sz="4"/>
            </w:tcBorders>
            <w:shd w:fill="2E4057" w:val="clear"/>
            <w:tcMar>
              <w:top w:type="dxa" w:w="60"/>
              <w:left w:type="dxa" w:w="100"/>
              <w:bottom w:type="dxa" w:w="60"/>
              <w:right w:type="dxa" w:w="100"/>
            </w:tcMar>
          </w:tcPr>
          <w:p>
            <w:pPr>
              <w:spacing w:before="0" w:after="0"/>
              <w:jc w:val="center"/>
            </w:pPr>
            <w:r>
              <w:rPr>
                <w:rFonts w:ascii="Calibri" w:cs="Calibri" w:eastAsia="Calibri" w:hAnsi="Calibri"/>
                <w:b/>
                <w:bCs/>
                <w:i w:val="false"/>
                <w:iCs w:val="false"/>
                <w:caps w:val="false"/>
                <w:color w:val="FFFFFF"/>
                <w:sz w:val="16"/>
                <w:szCs w:val="16"/>
              </w:rPr>
              <w:t xml:space="preserve">Total</w:t>
            </w:r>
          </w:p>
        </w:tc>
        <w:tc>
          <w:tcPr>
            <w:tcW w:type="dxa" w:w="980"/>
            <w:tcBorders>
              <w:top w:val="single" w:color="1B4F72" w:sz="4"/>
              <w:left w:val="single" w:color="1B4F72" w:sz="4"/>
              <w:bottom w:val="single" w:color="1B4F72" w:sz="4"/>
              <w:right w:val="single" w:color="1B4F72" w:sz="4"/>
            </w:tcBorders>
            <w:shd w:fill="2E4057" w:val="clear"/>
            <w:tcMar>
              <w:top w:type="dxa" w:w="60"/>
              <w:left w:type="dxa" w:w="100"/>
              <w:bottom w:type="dxa" w:w="60"/>
              <w:right w:type="dxa" w:w="100"/>
            </w:tcMar>
          </w:tcPr>
          <w:p>
            <w:pPr>
              <w:spacing w:before="0" w:after="0"/>
              <w:jc w:val="center"/>
            </w:pPr>
            <w:r>
              <w:rPr>
                <w:rFonts w:ascii="Calibri" w:cs="Calibri" w:eastAsia="Calibri" w:hAnsi="Calibri"/>
                <w:b/>
                <w:bCs/>
                <w:i w:val="false"/>
                <w:iCs w:val="false"/>
                <w:caps w:val="false"/>
                <w:color w:val="FFFFFF"/>
                <w:sz w:val="16"/>
                <w:szCs w:val="16"/>
              </w:rPr>
              <w:t xml:space="preserve">% Deficit</w:t>
            </w:r>
          </w:p>
        </w:tc>
      </w:tr>
      <w:tr>
        <w:tc>
          <w:tcPr>
            <w:tcW w:type="dxa" w:w="14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center"/>
            </w:pPr>
            <w:r>
              <w:rPr>
                <w:rFonts w:ascii="Calibri" w:cs="Calibri" w:eastAsia="Calibri" w:hAnsi="Calibri"/>
                <w:b w:val="false"/>
                <w:bCs w:val="false"/>
                <w:i w:val="false"/>
                <w:iCs w:val="false"/>
                <w:caps w:val="false"/>
                <w:color w:val="1A1A1A"/>
                <w:sz w:val="16"/>
                <w:szCs w:val="16"/>
              </w:rPr>
              <w:t xml:space="preserve">1</w:t>
            </w:r>
          </w:p>
        </w:tc>
        <w:tc>
          <w:tcPr>
            <w:tcW w:type="dxa" w:w="19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right"/>
            </w:pPr>
            <w:r>
              <w:rPr>
                <w:rFonts w:ascii="Calibri" w:cs="Calibri" w:eastAsia="Calibri" w:hAnsi="Calibri"/>
                <w:b w:val="false"/>
                <w:bCs w:val="false"/>
                <w:i w:val="false"/>
                <w:iCs w:val="false"/>
                <w:caps w:val="false"/>
                <w:color w:val="1A1A1A"/>
                <w:sz w:val="16"/>
                <w:szCs w:val="16"/>
              </w:rPr>
              <w:t xml:space="preserve">9,072,260</w:t>
            </w:r>
          </w:p>
        </w:tc>
        <w:tc>
          <w:tcPr>
            <w:tcW w:type="dxa" w:w="19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right"/>
            </w:pPr>
            <w:r>
              <w:rPr>
                <w:rFonts w:ascii="Calibri" w:cs="Calibri" w:eastAsia="Calibri" w:hAnsi="Calibri"/>
                <w:b w:val="false"/>
                <w:bCs w:val="false"/>
                <w:i w:val="false"/>
                <w:iCs w:val="false"/>
                <w:caps w:val="false"/>
                <w:color w:val="1A1A1A"/>
                <w:sz w:val="16"/>
                <w:szCs w:val="16"/>
              </w:rPr>
              <w:t xml:space="preserve">11,571,360</w:t>
            </w:r>
          </w:p>
        </w:tc>
        <w:tc>
          <w:tcPr>
            <w:tcW w:type="dxa" w:w="14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right"/>
            </w:pPr>
            <w:r>
              <w:rPr>
                <w:rFonts w:ascii="Calibri" w:cs="Calibri" w:eastAsia="Calibri" w:hAnsi="Calibri"/>
                <w:b w:val="false"/>
                <w:bCs w:val="false"/>
                <w:i w:val="false"/>
                <w:iCs w:val="false"/>
                <w:caps w:val="false"/>
                <w:color w:val="1A1A1A"/>
                <w:sz w:val="16"/>
                <w:szCs w:val="16"/>
              </w:rPr>
              <w:t xml:space="preserve">1,682,768</w:t>
            </w:r>
          </w:p>
        </w:tc>
        <w:tc>
          <w:tcPr>
            <w:tcW w:type="dxa" w:w="20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right"/>
            </w:pPr>
            <w:r>
              <w:rPr>
                <w:rFonts w:ascii="Calibri" w:cs="Calibri" w:eastAsia="Calibri" w:hAnsi="Calibri"/>
                <w:b w:val="false"/>
                <w:bCs w:val="false"/>
                <w:i w:val="false"/>
                <w:iCs w:val="false"/>
                <w:caps w:val="false"/>
                <w:color w:val="1A1A1A"/>
                <w:sz w:val="16"/>
                <w:szCs w:val="16"/>
              </w:rPr>
              <w:t xml:space="preserve">22,326,387</w:t>
            </w:r>
          </w:p>
        </w:tc>
        <w:tc>
          <w:tcPr>
            <w:tcW w:type="dxa" w:w="98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center"/>
            </w:pPr>
            <w:r>
              <w:rPr>
                <w:rFonts w:ascii="Calibri" w:cs="Calibri" w:eastAsia="Calibri" w:hAnsi="Calibri"/>
                <w:b w:val="false"/>
                <w:bCs w:val="false"/>
                <w:i w:val="false"/>
                <w:iCs w:val="false"/>
                <w:caps w:val="false"/>
                <w:color w:val="1A1A1A"/>
                <w:sz w:val="16"/>
                <w:szCs w:val="16"/>
              </w:rPr>
              <w:t xml:space="preserve">100%</w:t>
            </w:r>
          </w:p>
        </w:tc>
      </w:tr>
      <w:tr>
        <w:tc>
          <w:tcPr>
            <w:tcW w:type="dxa" w:w="14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center"/>
            </w:pPr>
            <w:r>
              <w:rPr>
                <w:rFonts w:ascii="Calibri" w:cs="Calibri" w:eastAsia="Calibri" w:hAnsi="Calibri"/>
                <w:b w:val="false"/>
                <w:bCs w:val="false"/>
                <w:i w:val="false"/>
                <w:iCs w:val="false"/>
                <w:caps w:val="false"/>
                <w:color w:val="1A1A1A"/>
                <w:sz w:val="16"/>
                <w:szCs w:val="16"/>
              </w:rPr>
              <w:t xml:space="preserve">2</w:t>
            </w:r>
          </w:p>
        </w:tc>
        <w:tc>
          <w:tcPr>
            <w:tcW w:type="dxa" w:w="19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right"/>
            </w:pPr>
            <w:r>
              <w:rPr>
                <w:rFonts w:ascii="Calibri" w:cs="Calibri" w:eastAsia="Calibri" w:hAnsi="Calibri"/>
                <w:b w:val="false"/>
                <w:bCs w:val="false"/>
                <w:i w:val="false"/>
                <w:iCs w:val="false"/>
                <w:caps w:val="false"/>
                <w:color w:val="1A1A1A"/>
                <w:sz w:val="16"/>
                <w:szCs w:val="16"/>
              </w:rPr>
              <w:t xml:space="preserve">10,289,472</w:t>
            </w:r>
          </w:p>
        </w:tc>
        <w:tc>
          <w:tcPr>
            <w:tcW w:type="dxa" w:w="19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right"/>
            </w:pPr>
            <w:r>
              <w:rPr>
                <w:rFonts w:ascii="Calibri" w:cs="Calibri" w:eastAsia="Calibri" w:hAnsi="Calibri"/>
                <w:b w:val="false"/>
                <w:bCs w:val="false"/>
                <w:i w:val="false"/>
                <w:iCs w:val="false"/>
                <w:caps w:val="false"/>
                <w:color w:val="1A1A1A"/>
                <w:sz w:val="16"/>
                <w:szCs w:val="16"/>
              </w:rPr>
              <w:t xml:space="preserve">11,693,724</w:t>
            </w:r>
          </w:p>
        </w:tc>
        <w:tc>
          <w:tcPr>
            <w:tcW w:type="dxa" w:w="14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right"/>
            </w:pPr>
            <w:r>
              <w:rPr>
                <w:rFonts w:ascii="Calibri" w:cs="Calibri" w:eastAsia="Calibri" w:hAnsi="Calibri"/>
                <w:b w:val="false"/>
                <w:bCs w:val="false"/>
                <w:i w:val="false"/>
                <w:iCs w:val="false"/>
                <w:caps w:val="false"/>
                <w:color w:val="1A1A1A"/>
                <w:sz w:val="16"/>
                <w:szCs w:val="16"/>
              </w:rPr>
              <w:t xml:space="preserve">2,628,528</w:t>
            </w:r>
          </w:p>
        </w:tc>
        <w:tc>
          <w:tcPr>
            <w:tcW w:type="dxa" w:w="20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right"/>
            </w:pPr>
            <w:r>
              <w:rPr>
                <w:rFonts w:ascii="Calibri" w:cs="Calibri" w:eastAsia="Calibri" w:hAnsi="Calibri"/>
                <w:b w:val="false"/>
                <w:bCs w:val="false"/>
                <w:i w:val="false"/>
                <w:iCs w:val="false"/>
                <w:caps w:val="false"/>
                <w:color w:val="1A1A1A"/>
                <w:sz w:val="16"/>
                <w:szCs w:val="16"/>
              </w:rPr>
              <w:t xml:space="preserve">24,611,724</w:t>
            </w:r>
          </w:p>
        </w:tc>
        <w:tc>
          <w:tcPr>
            <w:tcW w:type="dxa" w:w="98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center"/>
            </w:pPr>
            <w:r>
              <w:rPr>
                <w:rFonts w:ascii="Calibri" w:cs="Calibri" w:eastAsia="Calibri" w:hAnsi="Calibri"/>
                <w:b w:val="false"/>
                <w:bCs w:val="false"/>
                <w:i w:val="false"/>
                <w:iCs w:val="false"/>
                <w:caps w:val="false"/>
                <w:color w:val="1A1A1A"/>
                <w:sz w:val="16"/>
                <w:szCs w:val="16"/>
              </w:rPr>
              <w:t xml:space="preserve">100%</w:t>
            </w:r>
          </w:p>
        </w:tc>
      </w:tr>
      <w:tr>
        <w:tc>
          <w:tcPr>
            <w:tcW w:type="dxa" w:w="14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center"/>
            </w:pPr>
            <w:r>
              <w:rPr>
                <w:rFonts w:ascii="Calibri" w:cs="Calibri" w:eastAsia="Calibri" w:hAnsi="Calibri"/>
                <w:b w:val="false"/>
                <w:bCs w:val="false"/>
                <w:i w:val="false"/>
                <w:iCs w:val="false"/>
                <w:caps w:val="false"/>
                <w:color w:val="1A1A1A"/>
                <w:sz w:val="16"/>
                <w:szCs w:val="16"/>
              </w:rPr>
              <w:t xml:space="preserve">3–5</w:t>
            </w:r>
          </w:p>
        </w:tc>
        <w:tc>
          <w:tcPr>
            <w:tcW w:type="dxa" w:w="19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right"/>
            </w:pPr>
            <w:r>
              <w:rPr>
                <w:rFonts w:ascii="Calibri" w:cs="Calibri" w:eastAsia="Calibri" w:hAnsi="Calibri"/>
                <w:b w:val="false"/>
                <w:bCs w:val="false"/>
                <w:i w:val="false"/>
                <w:iCs w:val="false"/>
                <w:caps w:val="false"/>
                <w:color w:val="1A1A1A"/>
                <w:sz w:val="16"/>
                <w:szCs w:val="16"/>
              </w:rPr>
              <w:t xml:space="preserve">10,289,486</w:t>
            </w:r>
          </w:p>
        </w:tc>
        <w:tc>
          <w:tcPr>
            <w:tcW w:type="dxa" w:w="19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right"/>
            </w:pPr>
            <w:r>
              <w:rPr>
                <w:rFonts w:ascii="Calibri" w:cs="Calibri" w:eastAsia="Calibri" w:hAnsi="Calibri"/>
                <w:b w:val="false"/>
                <w:bCs w:val="false"/>
                <w:i w:val="false"/>
                <w:iCs w:val="false"/>
                <w:caps w:val="false"/>
                <w:color w:val="1A1A1A"/>
                <w:sz w:val="16"/>
                <w:szCs w:val="16"/>
              </w:rPr>
              <w:t xml:space="preserve">11,693,724</w:t>
            </w:r>
          </w:p>
        </w:tc>
        <w:tc>
          <w:tcPr>
            <w:tcW w:type="dxa" w:w="14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right"/>
            </w:pPr>
            <w:r>
              <w:rPr>
                <w:rFonts w:ascii="Calibri" w:cs="Calibri" w:eastAsia="Calibri" w:hAnsi="Calibri"/>
                <w:b w:val="false"/>
                <w:bCs w:val="false"/>
                <w:i w:val="false"/>
                <w:iCs w:val="false"/>
                <w:caps w:val="false"/>
                <w:color w:val="1A1A1A"/>
                <w:sz w:val="16"/>
                <w:szCs w:val="16"/>
              </w:rPr>
              <w:t xml:space="preserve">2,628,546</w:t>
            </w:r>
          </w:p>
        </w:tc>
        <w:tc>
          <w:tcPr>
            <w:tcW w:type="dxa" w:w="20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right"/>
            </w:pPr>
            <w:r>
              <w:rPr>
                <w:rFonts w:ascii="Calibri" w:cs="Calibri" w:eastAsia="Calibri" w:hAnsi="Calibri"/>
                <w:b w:val="false"/>
                <w:bCs w:val="false"/>
                <w:i w:val="false"/>
                <w:iCs w:val="false"/>
                <w:caps w:val="false"/>
                <w:color w:val="1A1A1A"/>
                <w:sz w:val="16"/>
                <w:szCs w:val="16"/>
              </w:rPr>
              <w:t xml:space="preserve">24,611,755</w:t>
            </w:r>
          </w:p>
        </w:tc>
        <w:tc>
          <w:tcPr>
            <w:tcW w:type="dxa" w:w="98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center"/>
            </w:pPr>
            <w:r>
              <w:rPr>
                <w:rFonts w:ascii="Calibri" w:cs="Calibri" w:eastAsia="Calibri" w:hAnsi="Calibri"/>
                <w:b w:val="false"/>
                <w:bCs w:val="false"/>
                <w:i w:val="false"/>
                <w:iCs w:val="false"/>
                <w:caps w:val="false"/>
                <w:color w:val="1A1A1A"/>
                <w:sz w:val="16"/>
                <w:szCs w:val="16"/>
              </w:rPr>
              <w:t xml:space="preserve">100%</w:t>
            </w:r>
          </w:p>
        </w:tc>
      </w:tr>
      <w:tr>
        <w:tc>
          <w:tcPr>
            <w:tcW w:type="dxa" w:w="14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center"/>
            </w:pPr>
            <w:r>
              <w:rPr>
                <w:rFonts w:ascii="Calibri" w:cs="Calibri" w:eastAsia="Calibri" w:hAnsi="Calibri"/>
                <w:b w:val="false"/>
                <w:bCs w:val="false"/>
                <w:i w:val="false"/>
                <w:iCs w:val="false"/>
                <w:caps w:val="false"/>
                <w:color w:val="1A1A1A"/>
                <w:sz w:val="16"/>
                <w:szCs w:val="16"/>
              </w:rPr>
              <w:t xml:space="preserve">6</w:t>
            </w:r>
          </w:p>
        </w:tc>
        <w:tc>
          <w:tcPr>
            <w:tcW w:type="dxa" w:w="19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right"/>
            </w:pPr>
            <w:r>
              <w:rPr>
                <w:rFonts w:ascii="Calibri" w:cs="Calibri" w:eastAsia="Calibri" w:hAnsi="Calibri"/>
                <w:b w:val="false"/>
                <w:bCs w:val="false"/>
                <w:i w:val="false"/>
                <w:iCs w:val="false"/>
                <w:caps w:val="false"/>
                <w:color w:val="1A1A1A"/>
                <w:sz w:val="16"/>
                <w:szCs w:val="16"/>
              </w:rPr>
              <w:t xml:space="preserve">9,833,229</w:t>
            </w:r>
          </w:p>
        </w:tc>
        <w:tc>
          <w:tcPr>
            <w:tcW w:type="dxa" w:w="19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right"/>
            </w:pPr>
            <w:r>
              <w:rPr>
                <w:rFonts w:ascii="Calibri" w:cs="Calibri" w:eastAsia="Calibri" w:hAnsi="Calibri"/>
                <w:b w:val="false"/>
                <w:bCs w:val="false"/>
                <w:i w:val="false"/>
                <w:iCs w:val="false"/>
                <w:caps w:val="false"/>
                <w:color w:val="1A1A1A"/>
                <w:sz w:val="16"/>
                <w:szCs w:val="16"/>
              </w:rPr>
              <w:t xml:space="preserve">0</w:t>
            </w:r>
          </w:p>
        </w:tc>
        <w:tc>
          <w:tcPr>
            <w:tcW w:type="dxa" w:w="14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right"/>
            </w:pPr>
            <w:r>
              <w:rPr>
                <w:rFonts w:ascii="Calibri" w:cs="Calibri" w:eastAsia="Calibri" w:hAnsi="Calibri"/>
                <w:b w:val="false"/>
                <w:bCs w:val="false"/>
                <w:i w:val="false"/>
                <w:iCs w:val="false"/>
                <w:caps w:val="false"/>
                <w:color w:val="1A1A1A"/>
                <w:sz w:val="16"/>
                <w:szCs w:val="16"/>
              </w:rPr>
              <w:t xml:space="preserve">2,156,163</w:t>
            </w:r>
          </w:p>
        </w:tc>
        <w:tc>
          <w:tcPr>
            <w:tcW w:type="dxa" w:w="20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right"/>
            </w:pPr>
            <w:r>
              <w:rPr>
                <w:rFonts w:ascii="Calibri" w:cs="Calibri" w:eastAsia="Calibri" w:hAnsi="Calibri"/>
                <w:b w:val="false"/>
                <w:bCs w:val="false"/>
                <w:i w:val="false"/>
                <w:iCs w:val="false"/>
                <w:caps w:val="false"/>
                <w:color w:val="1A1A1A"/>
                <w:sz w:val="16"/>
                <w:szCs w:val="16"/>
              </w:rPr>
              <w:t xml:space="preserve">11,989,392</w:t>
            </w:r>
          </w:p>
        </w:tc>
        <w:tc>
          <w:tcPr>
            <w:tcW w:type="dxa" w:w="98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center"/>
            </w:pPr>
            <w:r>
              <w:rPr>
                <w:rFonts w:ascii="Calibri" w:cs="Calibri" w:eastAsia="Calibri" w:hAnsi="Calibri"/>
                <w:b w:val="false"/>
                <w:bCs w:val="false"/>
                <w:i w:val="false"/>
                <w:iCs w:val="false"/>
                <w:caps w:val="false"/>
                <w:color w:val="1A1A1A"/>
                <w:sz w:val="16"/>
                <w:szCs w:val="16"/>
              </w:rPr>
              <w:t xml:space="preserve">66.4%</w:t>
            </w:r>
          </w:p>
        </w:tc>
      </w:tr>
      <w:tr>
        <w:tc>
          <w:tcPr>
            <w:tcW w:type="dxa" w:w="14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center"/>
            </w:pPr>
            <w:r>
              <w:rPr>
                <w:rFonts w:ascii="Calibri" w:cs="Calibri" w:eastAsia="Calibri" w:hAnsi="Calibri"/>
                <w:b w:val="false"/>
                <w:bCs w:val="false"/>
                <w:i w:val="false"/>
                <w:iCs w:val="false"/>
                <w:caps w:val="false"/>
                <w:color w:val="1A1A1A"/>
                <w:sz w:val="16"/>
                <w:szCs w:val="16"/>
              </w:rPr>
              <w:t xml:space="preserve">10</w:t>
            </w:r>
          </w:p>
        </w:tc>
        <w:tc>
          <w:tcPr>
            <w:tcW w:type="dxa" w:w="19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right"/>
            </w:pPr>
            <w:r>
              <w:rPr>
                <w:rFonts w:ascii="Calibri" w:cs="Calibri" w:eastAsia="Calibri" w:hAnsi="Calibri"/>
                <w:b w:val="false"/>
                <w:bCs w:val="false"/>
                <w:i w:val="false"/>
                <w:iCs w:val="false"/>
                <w:caps w:val="false"/>
                <w:color w:val="1A1A1A"/>
                <w:sz w:val="16"/>
                <w:szCs w:val="16"/>
              </w:rPr>
              <w:t xml:space="preserve">8,214,713</w:t>
            </w:r>
          </w:p>
        </w:tc>
        <w:tc>
          <w:tcPr>
            <w:tcW w:type="dxa" w:w="19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right"/>
            </w:pPr>
            <w:r>
              <w:rPr>
                <w:rFonts w:ascii="Calibri" w:cs="Calibri" w:eastAsia="Calibri" w:hAnsi="Calibri"/>
                <w:b w:val="false"/>
                <w:bCs w:val="false"/>
                <w:i w:val="false"/>
                <w:iCs w:val="false"/>
                <w:caps w:val="false"/>
                <w:color w:val="1A1A1A"/>
                <w:sz w:val="16"/>
                <w:szCs w:val="16"/>
              </w:rPr>
              <w:t xml:space="preserve">0</w:t>
            </w:r>
          </w:p>
        </w:tc>
        <w:tc>
          <w:tcPr>
            <w:tcW w:type="dxa" w:w="14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right"/>
            </w:pPr>
            <w:r>
              <w:rPr>
                <w:rFonts w:ascii="Calibri" w:cs="Calibri" w:eastAsia="Calibri" w:hAnsi="Calibri"/>
                <w:b w:val="false"/>
                <w:bCs w:val="false"/>
                <w:i w:val="false"/>
                <w:iCs w:val="false"/>
                <w:caps w:val="false"/>
                <w:color w:val="1A1A1A"/>
                <w:sz w:val="16"/>
                <w:szCs w:val="16"/>
              </w:rPr>
              <w:t xml:space="preserve">1,438,207</w:t>
            </w:r>
          </w:p>
        </w:tc>
        <w:tc>
          <w:tcPr>
            <w:tcW w:type="dxa" w:w="20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right"/>
            </w:pPr>
            <w:r>
              <w:rPr>
                <w:rFonts w:ascii="Calibri" w:cs="Calibri" w:eastAsia="Calibri" w:hAnsi="Calibri"/>
                <w:b w:val="false"/>
                <w:bCs w:val="false"/>
                <w:i w:val="false"/>
                <w:iCs w:val="false"/>
                <w:caps w:val="false"/>
                <w:color w:val="1A1A1A"/>
                <w:sz w:val="16"/>
                <w:szCs w:val="16"/>
              </w:rPr>
              <w:t xml:space="preserve">9,652,919</w:t>
            </w:r>
          </w:p>
        </w:tc>
        <w:tc>
          <w:tcPr>
            <w:tcW w:type="dxa" w:w="98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center"/>
            </w:pPr>
            <w:r>
              <w:rPr>
                <w:rFonts w:ascii="Calibri" w:cs="Calibri" w:eastAsia="Calibri" w:hAnsi="Calibri"/>
                <w:b w:val="false"/>
                <w:bCs w:val="false"/>
                <w:i w:val="false"/>
                <w:iCs w:val="false"/>
                <w:caps w:val="false"/>
                <w:color w:val="1A1A1A"/>
                <w:sz w:val="16"/>
                <w:szCs w:val="16"/>
              </w:rPr>
              <w:t xml:space="preserve">53.5%</w:t>
            </w:r>
          </w:p>
        </w:tc>
      </w:tr>
      <w:tr>
        <w:tc>
          <w:tcPr>
            <w:tcW w:type="dxa" w:w="14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center"/>
            </w:pPr>
            <w:r>
              <w:rPr>
                <w:rFonts w:ascii="Calibri" w:cs="Calibri" w:eastAsia="Calibri" w:hAnsi="Calibri"/>
                <w:b w:val="false"/>
                <w:bCs w:val="false"/>
                <w:i w:val="false"/>
                <w:iCs w:val="false"/>
                <w:caps w:val="false"/>
                <w:color w:val="1A1A1A"/>
                <w:sz w:val="16"/>
                <w:szCs w:val="16"/>
              </w:rPr>
              <w:t xml:space="preserve">15</w:t>
            </w:r>
          </w:p>
        </w:tc>
        <w:tc>
          <w:tcPr>
            <w:tcW w:type="dxa" w:w="19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right"/>
            </w:pPr>
            <w:r>
              <w:rPr>
                <w:rFonts w:ascii="Calibri" w:cs="Calibri" w:eastAsia="Calibri" w:hAnsi="Calibri"/>
                <w:b w:val="false"/>
                <w:bCs w:val="false"/>
                <w:i w:val="false"/>
                <w:iCs w:val="false"/>
                <w:caps w:val="false"/>
                <w:color w:val="1A1A1A"/>
                <w:sz w:val="16"/>
                <w:szCs w:val="16"/>
              </w:rPr>
              <w:t xml:space="preserve">6,583,707</w:t>
            </w:r>
          </w:p>
        </w:tc>
        <w:tc>
          <w:tcPr>
            <w:tcW w:type="dxa" w:w="19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right"/>
            </w:pPr>
            <w:r>
              <w:rPr>
                <w:rFonts w:ascii="Calibri" w:cs="Calibri" w:eastAsia="Calibri" w:hAnsi="Calibri"/>
                <w:b w:val="false"/>
                <w:bCs w:val="false"/>
                <w:i w:val="false"/>
                <w:iCs w:val="false"/>
                <w:caps w:val="false"/>
                <w:color w:val="1A1A1A"/>
                <w:sz w:val="16"/>
                <w:szCs w:val="16"/>
              </w:rPr>
              <w:t xml:space="preserve">0</w:t>
            </w:r>
          </w:p>
        </w:tc>
        <w:tc>
          <w:tcPr>
            <w:tcW w:type="dxa" w:w="14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right"/>
            </w:pPr>
            <w:r>
              <w:rPr>
                <w:rFonts w:ascii="Calibri" w:cs="Calibri" w:eastAsia="Calibri" w:hAnsi="Calibri"/>
                <w:b w:val="false"/>
                <w:bCs w:val="false"/>
                <w:i w:val="false"/>
                <w:iCs w:val="false"/>
                <w:caps w:val="false"/>
                <w:color w:val="1A1A1A"/>
                <w:sz w:val="16"/>
                <w:szCs w:val="16"/>
              </w:rPr>
              <w:t xml:space="preserve">870,223</w:t>
            </w:r>
          </w:p>
        </w:tc>
        <w:tc>
          <w:tcPr>
            <w:tcW w:type="dxa" w:w="20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right"/>
            </w:pPr>
            <w:r>
              <w:rPr>
                <w:rFonts w:ascii="Calibri" w:cs="Calibri" w:eastAsia="Calibri" w:hAnsi="Calibri"/>
                <w:b w:val="false"/>
                <w:bCs w:val="false"/>
                <w:i w:val="false"/>
                <w:iCs w:val="false"/>
                <w:caps w:val="false"/>
                <w:color w:val="1A1A1A"/>
                <w:sz w:val="16"/>
                <w:szCs w:val="16"/>
              </w:rPr>
              <w:t xml:space="preserve">7,453,930</w:t>
            </w:r>
          </w:p>
        </w:tc>
        <w:tc>
          <w:tcPr>
            <w:tcW w:type="dxa" w:w="98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center"/>
            </w:pPr>
            <w:r>
              <w:rPr>
                <w:rFonts w:ascii="Calibri" w:cs="Calibri" w:eastAsia="Calibri" w:hAnsi="Calibri"/>
                <w:b w:val="false"/>
                <w:bCs w:val="false"/>
                <w:i w:val="false"/>
                <w:iCs w:val="false"/>
                <w:caps w:val="false"/>
                <w:color w:val="1A1A1A"/>
                <w:sz w:val="16"/>
                <w:szCs w:val="16"/>
              </w:rPr>
              <w:t xml:space="preserve">41.3%</w:t>
            </w:r>
          </w:p>
        </w:tc>
      </w:tr>
      <w:tr>
        <w:tc>
          <w:tcPr>
            <w:tcW w:type="dxa" w:w="14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center"/>
            </w:pPr>
            <w:r>
              <w:rPr>
                <w:rFonts w:ascii="Calibri" w:cs="Calibri" w:eastAsia="Calibri" w:hAnsi="Calibri"/>
                <w:b w:val="false"/>
                <w:bCs w:val="false"/>
                <w:i w:val="false"/>
                <w:iCs w:val="false"/>
                <w:caps w:val="false"/>
                <w:color w:val="1A1A1A"/>
                <w:sz w:val="16"/>
                <w:szCs w:val="16"/>
              </w:rPr>
              <w:t xml:space="preserve">20</w:t>
            </w:r>
          </w:p>
        </w:tc>
        <w:tc>
          <w:tcPr>
            <w:tcW w:type="dxa" w:w="19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right"/>
            </w:pPr>
            <w:r>
              <w:rPr>
                <w:rFonts w:ascii="Calibri" w:cs="Calibri" w:eastAsia="Calibri" w:hAnsi="Calibri"/>
                <w:b w:val="false"/>
                <w:bCs w:val="false"/>
                <w:i w:val="false"/>
                <w:iCs w:val="false"/>
                <w:caps w:val="false"/>
                <w:color w:val="1A1A1A"/>
                <w:sz w:val="16"/>
                <w:szCs w:val="16"/>
              </w:rPr>
              <w:t xml:space="preserve">5,296,290</w:t>
            </w:r>
          </w:p>
        </w:tc>
        <w:tc>
          <w:tcPr>
            <w:tcW w:type="dxa" w:w="19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right"/>
            </w:pPr>
            <w:r>
              <w:rPr>
                <w:rFonts w:ascii="Calibri" w:cs="Calibri" w:eastAsia="Calibri" w:hAnsi="Calibri"/>
                <w:b w:val="false"/>
                <w:bCs w:val="false"/>
                <w:i w:val="false"/>
                <w:iCs w:val="false"/>
                <w:caps w:val="false"/>
                <w:color w:val="1A1A1A"/>
                <w:sz w:val="16"/>
                <w:szCs w:val="16"/>
              </w:rPr>
              <w:t xml:space="preserve">0</w:t>
            </w:r>
          </w:p>
        </w:tc>
        <w:tc>
          <w:tcPr>
            <w:tcW w:type="dxa" w:w="14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right"/>
            </w:pPr>
            <w:r>
              <w:rPr>
                <w:rFonts w:ascii="Calibri" w:cs="Calibri" w:eastAsia="Calibri" w:hAnsi="Calibri"/>
                <w:b w:val="false"/>
                <w:bCs w:val="false"/>
                <w:i w:val="false"/>
                <w:iCs w:val="false"/>
                <w:caps w:val="false"/>
                <w:color w:val="1A1A1A"/>
                <w:sz w:val="16"/>
                <w:szCs w:val="16"/>
              </w:rPr>
              <w:t xml:space="preserve">528,536</w:t>
            </w:r>
          </w:p>
        </w:tc>
        <w:tc>
          <w:tcPr>
            <w:tcW w:type="dxa" w:w="20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right"/>
            </w:pPr>
            <w:r>
              <w:rPr>
                <w:rFonts w:ascii="Calibri" w:cs="Calibri" w:eastAsia="Calibri" w:hAnsi="Calibri"/>
                <w:b w:val="false"/>
                <w:bCs w:val="false"/>
                <w:i w:val="false"/>
                <w:iCs w:val="false"/>
                <w:caps w:val="false"/>
                <w:color w:val="1A1A1A"/>
                <w:sz w:val="16"/>
                <w:szCs w:val="16"/>
              </w:rPr>
              <w:t xml:space="preserve">5,824,826</w:t>
            </w:r>
          </w:p>
        </w:tc>
        <w:tc>
          <w:tcPr>
            <w:tcW w:type="dxa" w:w="98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center"/>
            </w:pPr>
            <w:r>
              <w:rPr>
                <w:rFonts w:ascii="Calibri" w:cs="Calibri" w:eastAsia="Calibri" w:hAnsi="Calibri"/>
                <w:b w:val="false"/>
                <w:bCs w:val="false"/>
                <w:i w:val="false"/>
                <w:iCs w:val="false"/>
                <w:caps w:val="false"/>
                <w:color w:val="1A1A1A"/>
                <w:sz w:val="16"/>
                <w:szCs w:val="16"/>
              </w:rPr>
              <w:t xml:space="preserve">32.3%</w:t>
            </w:r>
          </w:p>
        </w:tc>
      </w:tr>
    </w:tbl>
    <w:p>
      <w:pPr>
        <w:spacing w:before="0" w:after="100"/>
      </w:pPr>
      <w:r>
        <w:rPr>
          <w:rFonts w:ascii="Calibri" w:cs="Calibri" w:eastAsia="Calibri" w:hAnsi="Calibri"/>
          <w:b w:val="false"/>
          <w:bCs w:val="false"/>
          <w:i w:val="false"/>
          <w:iCs w:val="false"/>
          <w:caps w:val="false"/>
          <w:color w:val="1A1A1A"/>
          <w:sz w:val="22"/>
          <w:szCs w:val="22"/>
        </w:rPr>
        <w:t xml:space="preserve"/>
      </w:r>
    </w:p>
    <w:p>
      <w:pPr>
        <w:spacing w:before="120" w:after="60"/>
        <w:ind w:left="360"/>
      </w:pPr>
      <w:r>
        <w:rPr>
          <w:rFonts w:ascii="Calibri" w:cs="Calibri" w:eastAsia="Calibri" w:hAnsi="Calibri"/>
          <w:b/>
          <w:bCs/>
          <w:i w:val="false"/>
          <w:iCs w:val="false"/>
          <w:caps w:val="false"/>
          <w:color w:val="1B4F72"/>
          <w:sz w:val="22"/>
          <w:szCs w:val="22"/>
        </w:rPr>
        <w:t xml:space="preserve">D.3 20-Year Efficiency Ranking</w:t>
      </w:r>
    </w:p>
    <w:p>
      <w:pPr>
        <w:spacing w:before="120" w:after="80"/>
        <w:jc w:val="center"/>
      </w:pPr>
      <w:r>
        <w:rPr>
          <w:rFonts w:ascii="Calibri" w:cs="Calibri" w:eastAsia="Calibri" w:hAnsi="Calibri"/>
          <w:b/>
          <w:bCs/>
          <w:i/>
          <w:iCs/>
          <w:caps w:val="false"/>
          <w:color w:val="555555"/>
          <w:sz w:val="19"/>
          <w:szCs w:val="19"/>
        </w:rPr>
        <w:t xml:space="preserve">Appendix Table 9. Per-Dollar Efficiency Over 20 Years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2600"/>
        <w:gridCol w:w="1880"/>
      </w:tblGrid>
      <w:tr>
        <w:trPr>
          <w:tblHeader/>
        </w:trPr>
        <w:tc>
          <w:tcPr>
            <w:tcW w:type="dxa" w:w="3000"/>
            <w:tcBorders>
              <w:top w:val="single" w:color="1B4F72" w:sz="4"/>
              <w:left w:val="single" w:color="1B4F72" w:sz="4"/>
              <w:bottom w:val="single" w:color="1B4F72" w:sz="4"/>
              <w:right w:val="single" w:color="1B4F72" w:sz="4"/>
            </w:tcBorders>
            <w:shd w:fill="2E4057" w:val="clear"/>
            <w:tcMar>
              <w:top w:type="dxa" w:w="60"/>
              <w:left w:type="dxa" w:w="100"/>
              <w:bottom w:type="dxa" w:w="60"/>
              <w:right w:type="dxa" w:w="100"/>
            </w:tcMar>
          </w:tcPr>
          <w:p>
            <w:pPr>
              <w:spacing w:before="0" w:after="0"/>
              <w:jc w:val="center"/>
            </w:pPr>
            <w:r>
              <w:rPr>
                <w:rFonts w:ascii="Calibri" w:cs="Calibri" w:eastAsia="Calibri" w:hAnsi="Calibri"/>
                <w:b/>
                <w:bCs/>
                <w:i w:val="false"/>
                <w:iCs w:val="false"/>
                <w:caps w:val="false"/>
                <w:color w:val="FFFFFF"/>
                <w:sz w:val="16"/>
                <w:szCs w:val="16"/>
              </w:rPr>
              <w:t xml:space="preserve">Policy</w:t>
            </w:r>
          </w:p>
        </w:tc>
        <w:tc>
          <w:tcPr>
            <w:tcW w:type="dxa" w:w="1600"/>
            <w:tcBorders>
              <w:top w:val="single" w:color="1B4F72" w:sz="4"/>
              <w:left w:val="single" w:color="1B4F72" w:sz="4"/>
              <w:bottom w:val="single" w:color="1B4F72" w:sz="4"/>
              <w:right w:val="single" w:color="1B4F72" w:sz="4"/>
            </w:tcBorders>
            <w:shd w:fill="2E4057" w:val="clear"/>
            <w:tcMar>
              <w:top w:type="dxa" w:w="60"/>
              <w:left w:type="dxa" w:w="100"/>
              <w:bottom w:type="dxa" w:w="60"/>
              <w:right w:type="dxa" w:w="100"/>
            </w:tcMar>
          </w:tcPr>
          <w:p>
            <w:pPr>
              <w:spacing w:before="0" w:after="0"/>
              <w:jc w:val="center"/>
            </w:pPr>
            <w:r>
              <w:rPr>
                <w:rFonts w:ascii="Calibri" w:cs="Calibri" w:eastAsia="Calibri" w:hAnsi="Calibri"/>
                <w:b/>
                <w:bCs/>
                <w:i w:val="false"/>
                <w:iCs w:val="false"/>
                <w:caps w:val="false"/>
                <w:color w:val="FFFFFF"/>
                <w:sz w:val="16"/>
                <w:szCs w:val="16"/>
              </w:rPr>
              <w:t xml:space="preserve">Invested</w:t>
            </w:r>
          </w:p>
        </w:tc>
        <w:tc>
          <w:tcPr>
            <w:tcW w:type="dxa" w:w="2600"/>
            <w:tcBorders>
              <w:top w:val="single" w:color="1B4F72" w:sz="4"/>
              <w:left w:val="single" w:color="1B4F72" w:sz="4"/>
              <w:bottom w:val="single" w:color="1B4F72" w:sz="4"/>
              <w:right w:val="single" w:color="1B4F72" w:sz="4"/>
            </w:tcBorders>
            <w:shd w:fill="2E4057" w:val="clear"/>
            <w:tcMar>
              <w:top w:type="dxa" w:w="60"/>
              <w:left w:type="dxa" w:w="100"/>
              <w:bottom w:type="dxa" w:w="60"/>
              <w:right w:type="dxa" w:w="100"/>
            </w:tcMar>
          </w:tcPr>
          <w:p>
            <w:pPr>
              <w:spacing w:before="0" w:after="0"/>
              <w:jc w:val="center"/>
            </w:pPr>
            <w:r>
              <w:rPr>
                <w:rFonts w:ascii="Calibri" w:cs="Calibri" w:eastAsia="Calibri" w:hAnsi="Calibri"/>
                <w:b/>
                <w:bCs/>
                <w:i w:val="false"/>
                <w:iCs w:val="false"/>
                <w:caps w:val="false"/>
                <w:color w:val="FFFFFF"/>
                <w:sz w:val="16"/>
                <w:szCs w:val="16"/>
              </w:rPr>
              <w:t xml:space="preserve">20-Year Person-Years</w:t>
            </w:r>
          </w:p>
        </w:tc>
        <w:tc>
          <w:tcPr>
            <w:tcW w:type="dxa" w:w="1880"/>
            <w:tcBorders>
              <w:top w:val="single" w:color="1B4F72" w:sz="4"/>
              <w:left w:val="single" w:color="1B4F72" w:sz="4"/>
              <w:bottom w:val="single" w:color="1B4F72" w:sz="4"/>
              <w:right w:val="single" w:color="1B4F72" w:sz="4"/>
            </w:tcBorders>
            <w:shd w:fill="2E4057" w:val="clear"/>
            <w:tcMar>
              <w:top w:type="dxa" w:w="60"/>
              <w:left w:type="dxa" w:w="100"/>
              <w:bottom w:type="dxa" w:w="60"/>
              <w:right w:type="dxa" w:w="100"/>
            </w:tcMar>
          </w:tcPr>
          <w:p>
            <w:pPr>
              <w:spacing w:before="0" w:after="0"/>
              <w:jc w:val="center"/>
            </w:pPr>
            <w:r>
              <w:rPr>
                <w:rFonts w:ascii="Calibri" w:cs="Calibri" w:eastAsia="Calibri" w:hAnsi="Calibri"/>
                <w:b/>
                <w:bCs/>
                <w:i w:val="false"/>
                <w:iCs w:val="false"/>
                <w:caps w:val="false"/>
                <w:color w:val="FFFFFF"/>
                <w:sz w:val="16"/>
                <w:szCs w:val="16"/>
              </w:rPr>
              <w:t xml:space="preserve">Per $M (20yr)</w:t>
            </w:r>
          </w:p>
        </w:tc>
      </w:tr>
      <w:tr>
        <w:tc>
          <w:tcPr>
            <w:tcW w:type="dxa" w:w="30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Post-harvest storage</w:t>
            </w:r>
          </w:p>
        </w:tc>
        <w:tc>
          <w:tcPr>
            <w:tcW w:type="dxa" w:w="16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$1,200M</w:t>
            </w:r>
          </w:p>
        </w:tc>
        <w:tc>
          <w:tcPr>
            <w:tcW w:type="dxa" w:w="26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right"/>
            </w:pPr>
            <w:r>
              <w:rPr>
                <w:rFonts w:ascii="Calibri" w:cs="Calibri" w:eastAsia="Calibri" w:hAnsi="Calibri"/>
                <w:b w:val="false"/>
                <w:bCs w:val="false"/>
                <w:i w:val="false"/>
                <w:iCs w:val="false"/>
                <w:caps w:val="false"/>
                <w:color w:val="1A1A1A"/>
                <w:sz w:val="16"/>
                <w:szCs w:val="16"/>
              </w:rPr>
              <w:t xml:space="preserve">38,416,726</w:t>
            </w:r>
          </w:p>
        </w:tc>
        <w:tc>
          <w:tcPr>
            <w:tcW w:type="dxa" w:w="188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right"/>
            </w:pPr>
            <w:r>
              <w:rPr>
                <w:rFonts w:ascii="Calibri" w:cs="Calibri" w:eastAsia="Calibri" w:hAnsi="Calibri"/>
                <w:b w:val="false"/>
                <w:bCs w:val="false"/>
                <w:i w:val="false"/>
                <w:iCs w:val="false"/>
                <w:caps w:val="false"/>
                <w:color w:val="1A1A1A"/>
                <w:sz w:val="16"/>
                <w:szCs w:val="16"/>
              </w:rPr>
              <w:t xml:space="preserve">32,014</w:t>
            </w:r>
          </w:p>
        </w:tc>
      </w:tr>
      <w:tr>
        <w:tc>
          <w:tcPr>
            <w:tcW w:type="dxa" w:w="30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Saline-tolerant rice</w:t>
            </w:r>
          </w:p>
        </w:tc>
        <w:tc>
          <w:tcPr>
            <w:tcW w:type="dxa" w:w="16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$1,500M</w:t>
            </w:r>
          </w:p>
        </w:tc>
        <w:tc>
          <w:tcPr>
            <w:tcW w:type="dxa" w:w="26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right"/>
            </w:pPr>
            <w:r>
              <w:rPr>
                <w:rFonts w:ascii="Calibri" w:cs="Calibri" w:eastAsia="Calibri" w:hAnsi="Calibri"/>
                <w:b w:val="false"/>
                <w:bCs w:val="false"/>
                <w:i w:val="false"/>
                <w:iCs w:val="false"/>
                <w:caps w:val="false"/>
                <w:color w:val="1A1A1A"/>
                <w:sz w:val="16"/>
                <w:szCs w:val="16"/>
              </w:rPr>
              <w:t xml:space="preserve">45,049,235</w:t>
            </w:r>
          </w:p>
        </w:tc>
        <w:tc>
          <w:tcPr>
            <w:tcW w:type="dxa" w:w="188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right"/>
            </w:pPr>
            <w:r>
              <w:rPr>
                <w:rFonts w:ascii="Calibri" w:cs="Calibri" w:eastAsia="Calibri" w:hAnsi="Calibri"/>
                <w:b w:val="false"/>
                <w:bCs w:val="false"/>
                <w:i w:val="false"/>
                <w:iCs w:val="false"/>
                <w:caps w:val="false"/>
                <w:color w:val="1A1A1A"/>
                <w:sz w:val="16"/>
                <w:szCs w:val="16"/>
              </w:rPr>
              <w:t xml:space="preserve">30,033</w:t>
            </w:r>
          </w:p>
        </w:tc>
      </w:tr>
      <w:tr>
        <w:tc>
          <w:tcPr>
            <w:tcW w:type="dxa" w:w="30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AWD irrigation</w:t>
            </w:r>
          </w:p>
        </w:tc>
        <w:tc>
          <w:tcPr>
            <w:tcW w:type="dxa" w:w="16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$1,000M</w:t>
            </w:r>
          </w:p>
        </w:tc>
        <w:tc>
          <w:tcPr>
            <w:tcW w:type="dxa" w:w="26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right"/>
            </w:pPr>
            <w:r>
              <w:rPr>
                <w:rFonts w:ascii="Calibri" w:cs="Calibri" w:eastAsia="Calibri" w:hAnsi="Calibri"/>
                <w:b w:val="false"/>
                <w:bCs w:val="false"/>
                <w:i w:val="false"/>
                <w:iCs w:val="false"/>
                <w:caps w:val="false"/>
                <w:color w:val="1A1A1A"/>
                <w:sz w:val="16"/>
                <w:szCs w:val="16"/>
              </w:rPr>
              <w:t xml:space="preserve">28,437,721</w:t>
            </w:r>
          </w:p>
        </w:tc>
        <w:tc>
          <w:tcPr>
            <w:tcW w:type="dxa" w:w="188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right"/>
            </w:pPr>
            <w:r>
              <w:rPr>
                <w:rFonts w:ascii="Calibri" w:cs="Calibri" w:eastAsia="Calibri" w:hAnsi="Calibri"/>
                <w:b w:val="false"/>
                <w:bCs w:val="false"/>
                <w:i w:val="false"/>
                <w:iCs w:val="false"/>
                <w:caps w:val="false"/>
                <w:color w:val="1A1A1A"/>
                <w:sz w:val="16"/>
                <w:szCs w:val="16"/>
              </w:rPr>
              <w:t xml:space="preserve">28,438</w:t>
            </w:r>
          </w:p>
        </w:tc>
      </w:tr>
      <w:tr>
        <w:tc>
          <w:tcPr>
            <w:tcW w:type="dxa" w:w="30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Renewable irrigation</w:t>
            </w:r>
          </w:p>
        </w:tc>
        <w:tc>
          <w:tcPr>
            <w:tcW w:type="dxa" w:w="16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$1,200M</w:t>
            </w:r>
          </w:p>
        </w:tc>
        <w:tc>
          <w:tcPr>
            <w:tcW w:type="dxa" w:w="26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right"/>
            </w:pPr>
            <w:r>
              <w:rPr>
                <w:rFonts w:ascii="Calibri" w:cs="Calibri" w:eastAsia="Calibri" w:hAnsi="Calibri"/>
                <w:b w:val="false"/>
                <w:bCs w:val="false"/>
                <w:i w:val="false"/>
                <w:iCs w:val="false"/>
                <w:caps w:val="false"/>
                <w:color w:val="1A1A1A"/>
                <w:sz w:val="16"/>
                <w:szCs w:val="16"/>
              </w:rPr>
              <w:t xml:space="preserve">20,237,890</w:t>
            </w:r>
          </w:p>
        </w:tc>
        <w:tc>
          <w:tcPr>
            <w:tcW w:type="dxa" w:w="188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right"/>
            </w:pPr>
            <w:r>
              <w:rPr>
                <w:rFonts w:ascii="Calibri" w:cs="Calibri" w:eastAsia="Calibri" w:hAnsi="Calibri"/>
                <w:b w:val="false"/>
                <w:bCs w:val="false"/>
                <w:i w:val="false"/>
                <w:iCs w:val="false"/>
                <w:caps w:val="false"/>
                <w:color w:val="1A1A1A"/>
                <w:sz w:val="16"/>
                <w:szCs w:val="16"/>
              </w:rPr>
              <w:t xml:space="preserve">16,865</w:t>
            </w:r>
          </w:p>
        </w:tc>
      </w:tr>
      <w:tr>
        <w:tc>
          <w:tcPr>
            <w:tcW w:type="dxa" w:w="30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Flood-tolerant rice</w:t>
            </w:r>
          </w:p>
        </w:tc>
        <w:tc>
          <w:tcPr>
            <w:tcW w:type="dxa" w:w="16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$1,800M</w:t>
            </w:r>
          </w:p>
        </w:tc>
        <w:tc>
          <w:tcPr>
            <w:tcW w:type="dxa" w:w="26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right"/>
            </w:pPr>
            <w:r>
              <w:rPr>
                <w:rFonts w:ascii="Calibri" w:cs="Calibri" w:eastAsia="Calibri" w:hAnsi="Calibri"/>
                <w:b w:val="false"/>
                <w:bCs w:val="false"/>
                <w:i w:val="false"/>
                <w:iCs w:val="false"/>
                <w:caps w:val="false"/>
                <w:color w:val="1A1A1A"/>
                <w:sz w:val="16"/>
                <w:szCs w:val="16"/>
              </w:rPr>
              <w:t xml:space="preserve">20,290,073</w:t>
            </w:r>
          </w:p>
        </w:tc>
        <w:tc>
          <w:tcPr>
            <w:tcW w:type="dxa" w:w="188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right"/>
            </w:pPr>
            <w:r>
              <w:rPr>
                <w:rFonts w:ascii="Calibri" w:cs="Calibri" w:eastAsia="Calibri" w:hAnsi="Calibri"/>
                <w:b w:val="false"/>
                <w:bCs w:val="false"/>
                <w:i w:val="false"/>
                <w:iCs w:val="false"/>
                <w:caps w:val="false"/>
                <w:color w:val="1A1A1A"/>
                <w:sz w:val="16"/>
                <w:szCs w:val="16"/>
              </w:rPr>
              <w:t xml:space="preserve">11,272</w:t>
            </w:r>
          </w:p>
        </w:tc>
      </w:tr>
      <w:tr>
        <w:tc>
          <w:tcPr>
            <w:tcW w:type="dxa" w:w="30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Fortified feeding</w:t>
            </w:r>
          </w:p>
        </w:tc>
        <w:tc>
          <w:tcPr>
            <w:tcW w:type="dxa" w:w="16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$9,000M</w:t>
            </w:r>
          </w:p>
        </w:tc>
        <w:tc>
          <w:tcPr>
            <w:tcW w:type="dxa" w:w="26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right"/>
            </w:pPr>
            <w:r>
              <w:rPr>
                <w:rFonts w:ascii="Calibri" w:cs="Calibri" w:eastAsia="Calibri" w:hAnsi="Calibri"/>
                <w:b w:val="false"/>
                <w:bCs w:val="false"/>
                <w:i w:val="false"/>
                <w:iCs w:val="false"/>
                <w:caps w:val="false"/>
                <w:color w:val="1A1A1A"/>
                <w:sz w:val="16"/>
                <w:szCs w:val="16"/>
              </w:rPr>
              <w:t xml:space="preserve">57,361,824</w:t>
            </w:r>
          </w:p>
        </w:tc>
        <w:tc>
          <w:tcPr>
            <w:tcW w:type="dxa" w:w="188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right"/>
            </w:pPr>
            <w:r>
              <w:rPr>
                <w:rFonts w:ascii="Calibri" w:cs="Calibri" w:eastAsia="Calibri" w:hAnsi="Calibri"/>
                <w:b w:val="false"/>
                <w:bCs w:val="false"/>
                <w:i w:val="false"/>
                <w:iCs w:val="false"/>
                <w:caps w:val="false"/>
                <w:color w:val="1A1A1A"/>
                <w:sz w:val="16"/>
                <w:szCs w:val="16"/>
              </w:rPr>
              <w:t xml:space="preserve">6,374</w:t>
            </w:r>
          </w:p>
        </w:tc>
      </w:tr>
      <w:tr>
        <w:tc>
          <w:tcPr>
            <w:tcW w:type="dxa" w:w="30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Crop diversification</w:t>
            </w:r>
          </w:p>
        </w:tc>
        <w:tc>
          <w:tcPr>
            <w:tcW w:type="dxa" w:w="16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$1,000M</w:t>
            </w:r>
          </w:p>
        </w:tc>
        <w:tc>
          <w:tcPr>
            <w:tcW w:type="dxa" w:w="26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right"/>
            </w:pPr>
            <w:r>
              <w:rPr>
                <w:rFonts w:ascii="Calibri" w:cs="Calibri" w:eastAsia="Calibri" w:hAnsi="Calibri"/>
                <w:b w:val="false"/>
                <w:bCs w:val="false"/>
                <w:i w:val="false"/>
                <w:iCs w:val="false"/>
                <w:caps w:val="false"/>
                <w:color w:val="1A1A1A"/>
                <w:sz w:val="16"/>
                <w:szCs w:val="16"/>
              </w:rPr>
              <w:t xml:space="preserve">5,441,917</w:t>
            </w:r>
          </w:p>
        </w:tc>
        <w:tc>
          <w:tcPr>
            <w:tcW w:type="dxa" w:w="188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right"/>
            </w:pPr>
            <w:r>
              <w:rPr>
                <w:rFonts w:ascii="Calibri" w:cs="Calibri" w:eastAsia="Calibri" w:hAnsi="Calibri"/>
                <w:b w:val="false"/>
                <w:bCs w:val="false"/>
                <w:i w:val="false"/>
                <w:iCs w:val="false"/>
                <w:caps w:val="false"/>
                <w:color w:val="1A1A1A"/>
                <w:sz w:val="16"/>
                <w:szCs w:val="16"/>
              </w:rPr>
              <w:t xml:space="preserve">5,442</w:t>
            </w:r>
          </w:p>
        </w:tc>
      </w:tr>
    </w:tbl>
    <w:p>
      <w:pPr>
        <w:spacing w:before="0" w:after="100"/>
      </w:pPr>
      <w:r>
        <w:rPr>
          <w:rFonts w:ascii="Calibri" w:cs="Calibri" w:eastAsia="Calibri" w:hAnsi="Calibri"/>
          <w:b w:val="false"/>
          <w:bCs w:val="false"/>
          <w:i w:val="false"/>
          <w:iCs w:val="false"/>
          <w:caps w:val="false"/>
          <w:color w:val="1A1A1A"/>
          <w:sz w:val="22"/>
          <w:szCs w:val="22"/>
        </w:rPr>
        <w:t xml:space="preserve"/>
      </w:r>
    </w:p>
    <w:p>
      <w:pPr>
        <w:spacing w:before="120" w:after="60"/>
        <w:ind w:left="360"/>
      </w:pPr>
      <w:r>
        <w:rPr>
          <w:rFonts w:ascii="Calibri" w:cs="Calibri" w:eastAsia="Calibri" w:hAnsi="Calibri"/>
          <w:b/>
          <w:bCs/>
          <w:i w:val="false"/>
          <w:iCs w:val="false"/>
          <w:caps w:val="false"/>
          <w:color w:val="1B4F72"/>
          <w:sz w:val="22"/>
          <w:szCs w:val="22"/>
        </w:rPr>
        <w:t xml:space="preserve">D.4 Capital vs. Operational — 20-Year Comparison</w:t>
      </w:r>
    </w:p>
    <w:p>
      <w:pPr>
        <w:spacing w:before="120" w:after="80"/>
        <w:jc w:val="center"/>
      </w:pPr>
      <w:r>
        <w:rPr>
          <w:rFonts w:ascii="Calibri" w:cs="Calibri" w:eastAsia="Calibri" w:hAnsi="Calibri"/>
          <w:b/>
          <w:bCs/>
          <w:i/>
          <w:iCs/>
          <w:caps w:val="false"/>
          <w:color w:val="555555"/>
          <w:sz w:val="19"/>
          <w:szCs w:val="19"/>
        </w:rPr>
        <w:t xml:space="preserve">Appendix Table 10. Capital vs. Operational Policy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1280"/>
      </w:tblGrid>
      <w:tr>
        <w:trPr>
          <w:tblHeader/>
        </w:trPr>
        <w:tc>
          <w:tcPr>
            <w:tcW w:type="dxa" w:w="3000"/>
            <w:tcBorders>
              <w:top w:val="single" w:color="1B4F72" w:sz="4"/>
              <w:left w:val="single" w:color="1B4F72" w:sz="4"/>
              <w:bottom w:val="single" w:color="1B4F72" w:sz="4"/>
              <w:right w:val="single" w:color="1B4F72" w:sz="4"/>
            </w:tcBorders>
            <w:shd w:fill="2E4057" w:val="clear"/>
            <w:tcMar>
              <w:top w:type="dxa" w:w="60"/>
              <w:left w:type="dxa" w:w="100"/>
              <w:bottom w:type="dxa" w:w="60"/>
              <w:right w:type="dxa" w:w="100"/>
            </w:tcMar>
          </w:tcPr>
          <w:p>
            <w:pPr>
              <w:spacing w:before="0" w:after="0"/>
              <w:jc w:val="center"/>
            </w:pPr>
            <w:r>
              <w:rPr>
                <w:rFonts w:ascii="Calibri" w:cs="Calibri" w:eastAsia="Calibri" w:hAnsi="Calibri"/>
                <w:b/>
                <w:bCs/>
                <w:i w:val="false"/>
                <w:iCs w:val="false"/>
                <w:caps w:val="false"/>
                <w:color w:val="FFFFFF"/>
                <w:sz w:val="16"/>
                <w:szCs w:val="16"/>
              </w:rPr>
              <w:t xml:space="preserve">Metric</w:t>
            </w:r>
          </w:p>
        </w:tc>
        <w:tc>
          <w:tcPr>
            <w:tcW w:type="dxa" w:w="2400"/>
            <w:tcBorders>
              <w:top w:val="single" w:color="1B4F72" w:sz="4"/>
              <w:left w:val="single" w:color="1B4F72" w:sz="4"/>
              <w:bottom w:val="single" w:color="1B4F72" w:sz="4"/>
              <w:right w:val="single" w:color="1B4F72" w:sz="4"/>
            </w:tcBorders>
            <w:shd w:fill="2E4057" w:val="clear"/>
            <w:tcMar>
              <w:top w:type="dxa" w:w="60"/>
              <w:left w:type="dxa" w:w="100"/>
              <w:bottom w:type="dxa" w:w="60"/>
              <w:right w:type="dxa" w:w="100"/>
            </w:tcMar>
          </w:tcPr>
          <w:p>
            <w:pPr>
              <w:spacing w:before="0" w:after="0"/>
              <w:jc w:val="center"/>
            </w:pPr>
            <w:r>
              <w:rPr>
                <w:rFonts w:ascii="Calibri" w:cs="Calibri" w:eastAsia="Calibri" w:hAnsi="Calibri"/>
                <w:b/>
                <w:bCs/>
                <w:i w:val="false"/>
                <w:iCs w:val="false"/>
                <w:caps w:val="false"/>
                <w:color w:val="FFFFFF"/>
                <w:sz w:val="16"/>
                <w:szCs w:val="16"/>
              </w:rPr>
              <w:t xml:space="preserve">Capital</w:t>
            </w:r>
          </w:p>
        </w:tc>
        <w:tc>
          <w:tcPr>
            <w:tcW w:type="dxa" w:w="2400"/>
            <w:tcBorders>
              <w:top w:val="single" w:color="1B4F72" w:sz="4"/>
              <w:left w:val="single" w:color="1B4F72" w:sz="4"/>
              <w:bottom w:val="single" w:color="1B4F72" w:sz="4"/>
              <w:right w:val="single" w:color="1B4F72" w:sz="4"/>
            </w:tcBorders>
            <w:shd w:fill="2E4057" w:val="clear"/>
            <w:tcMar>
              <w:top w:type="dxa" w:w="60"/>
              <w:left w:type="dxa" w:w="100"/>
              <w:bottom w:type="dxa" w:w="60"/>
              <w:right w:type="dxa" w:w="100"/>
            </w:tcMar>
          </w:tcPr>
          <w:p>
            <w:pPr>
              <w:spacing w:before="0" w:after="0"/>
              <w:jc w:val="center"/>
            </w:pPr>
            <w:r>
              <w:rPr>
                <w:rFonts w:ascii="Calibri" w:cs="Calibri" w:eastAsia="Calibri" w:hAnsi="Calibri"/>
                <w:b/>
                <w:bCs/>
                <w:i w:val="false"/>
                <w:iCs w:val="false"/>
                <w:caps w:val="false"/>
                <w:color w:val="FFFFFF"/>
                <w:sz w:val="16"/>
                <w:szCs w:val="16"/>
              </w:rPr>
              <w:t xml:space="preserve">Operational</w:t>
            </w:r>
          </w:p>
        </w:tc>
        <w:tc>
          <w:tcPr>
            <w:tcW w:type="dxa" w:w="1280"/>
            <w:tcBorders>
              <w:top w:val="single" w:color="1B4F72" w:sz="4"/>
              <w:left w:val="single" w:color="1B4F72" w:sz="4"/>
              <w:bottom w:val="single" w:color="1B4F72" w:sz="4"/>
              <w:right w:val="single" w:color="1B4F72" w:sz="4"/>
            </w:tcBorders>
            <w:shd w:fill="2E4057" w:val="clear"/>
            <w:tcMar>
              <w:top w:type="dxa" w:w="60"/>
              <w:left w:type="dxa" w:w="100"/>
              <w:bottom w:type="dxa" w:w="60"/>
              <w:right w:type="dxa" w:w="100"/>
            </w:tcMar>
          </w:tcPr>
          <w:p>
            <w:pPr>
              <w:spacing w:before="0" w:after="0"/>
              <w:jc w:val="center"/>
            </w:pPr>
            <w:r>
              <w:rPr>
                <w:rFonts w:ascii="Calibri" w:cs="Calibri" w:eastAsia="Calibri" w:hAnsi="Calibri"/>
                <w:b/>
                <w:bCs/>
                <w:i w:val="false"/>
                <w:iCs w:val="false"/>
                <w:caps w:val="false"/>
                <w:color w:val="FFFFFF"/>
                <w:sz w:val="16"/>
                <w:szCs w:val="16"/>
              </w:rPr>
              <w:t xml:space="preserve">Synergy</w:t>
            </w:r>
          </w:p>
        </w:tc>
      </w:tr>
      <w:tr>
        <w:tc>
          <w:tcPr>
            <w:tcW w:type="dxa" w:w="30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Total invested</w:t>
            </w:r>
          </w:p>
        </w:tc>
        <w:tc>
          <w:tcPr>
            <w:tcW w:type="dxa" w:w="24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center"/>
            </w:pPr>
            <w:r>
              <w:rPr>
                <w:rFonts w:ascii="Calibri" w:cs="Calibri" w:eastAsia="Calibri" w:hAnsi="Calibri"/>
                <w:b w:val="false"/>
                <w:bCs w:val="false"/>
                <w:i w:val="false"/>
                <w:iCs w:val="false"/>
                <w:caps w:val="false"/>
                <w:color w:val="1A1A1A"/>
                <w:sz w:val="16"/>
                <w:szCs w:val="16"/>
              </w:rPr>
              <w:t xml:space="preserve">$11,200M (45.9%)</w:t>
            </w:r>
          </w:p>
        </w:tc>
        <w:tc>
          <w:tcPr>
            <w:tcW w:type="dxa" w:w="24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center"/>
            </w:pPr>
            <w:r>
              <w:rPr>
                <w:rFonts w:ascii="Calibri" w:cs="Calibri" w:eastAsia="Calibri" w:hAnsi="Calibri"/>
                <w:b w:val="false"/>
                <w:bCs w:val="false"/>
                <w:i w:val="false"/>
                <w:iCs w:val="false"/>
                <w:caps w:val="false"/>
                <w:color w:val="1A1A1A"/>
                <w:sz w:val="16"/>
                <w:szCs w:val="16"/>
              </w:rPr>
              <w:t xml:space="preserve">$13,200M (54.1%)</w:t>
            </w:r>
          </w:p>
        </w:tc>
        <w:tc>
          <w:tcPr>
            <w:tcW w:type="dxa" w:w="128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center"/>
            </w:pPr>
            <w:r>
              <w:rPr>
                <w:rFonts w:ascii="Calibri" w:cs="Calibri" w:eastAsia="Calibri" w:hAnsi="Calibri"/>
                <w:b w:val="false"/>
                <w:bCs w:val="false"/>
                <w:i w:val="false"/>
                <w:iCs w:val="false"/>
                <w:caps w:val="false"/>
                <w:color w:val="1A1A1A"/>
                <w:sz w:val="16"/>
                <w:szCs w:val="16"/>
              </w:rPr>
              <w:t xml:space="preserve">—</w:t>
            </w:r>
          </w:p>
        </w:tc>
      </w:tr>
      <w:tr>
        <w:tc>
          <w:tcPr>
            <w:tcW w:type="dxa" w:w="30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Total person-years</w:t>
            </w:r>
          </w:p>
        </w:tc>
        <w:tc>
          <w:tcPr>
            <w:tcW w:type="dxa" w:w="24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center"/>
            </w:pPr>
            <w:r>
              <w:rPr>
                <w:rFonts w:ascii="Calibri" w:cs="Calibri" w:eastAsia="Calibri" w:hAnsi="Calibri"/>
                <w:b w:val="false"/>
                <w:bCs w:val="false"/>
                <w:i w:val="false"/>
                <w:iCs w:val="false"/>
                <w:caps w:val="false"/>
                <w:color w:val="1A1A1A"/>
                <w:sz w:val="16"/>
                <w:szCs w:val="16"/>
              </w:rPr>
              <w:t xml:space="preserve">160,212,798 (64.5%)</w:t>
            </w:r>
          </w:p>
        </w:tc>
        <w:tc>
          <w:tcPr>
            <w:tcW w:type="dxa" w:w="240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center"/>
            </w:pPr>
            <w:r>
              <w:rPr>
                <w:rFonts w:ascii="Calibri" w:cs="Calibri" w:eastAsia="Calibri" w:hAnsi="Calibri"/>
                <w:b w:val="false"/>
                <w:bCs w:val="false"/>
                <w:i w:val="false"/>
                <w:iCs w:val="false"/>
                <w:caps w:val="false"/>
                <w:color w:val="1A1A1A"/>
                <w:sz w:val="16"/>
                <w:szCs w:val="16"/>
              </w:rPr>
              <w:t xml:space="preserve">58,346,257 (23.5%)</w:t>
            </w:r>
          </w:p>
        </w:tc>
        <w:tc>
          <w:tcPr>
            <w:tcW w:type="dxa" w:w="1280"/>
            <w:tcBorders>
              <w:top w:val="single" w:color="CCCCCC" w:sz="3"/>
              <w:left w:val="single" w:color="CCCCCC" w:sz="3"/>
              <w:bottom w:val="single" w:color="CCCCCC" w:sz="3"/>
              <w:right w:val="single" w:color="CCCCCC" w:sz="3"/>
            </w:tcBorders>
            <w:shd w:fill="F0F4F8" w:val="clear"/>
            <w:tcMar>
              <w:top w:type="dxa" w:w="40"/>
              <w:left w:type="dxa" w:w="80"/>
              <w:bottom w:type="dxa" w:w="40"/>
              <w:right w:type="dxa" w:w="80"/>
            </w:tcMar>
          </w:tcPr>
          <w:p>
            <w:pPr>
              <w:spacing w:before="0" w:after="0"/>
              <w:jc w:val="center"/>
            </w:pPr>
            <w:r>
              <w:rPr>
                <w:rFonts w:ascii="Calibri" w:cs="Calibri" w:eastAsia="Calibri" w:hAnsi="Calibri"/>
                <w:b w:val="false"/>
                <w:bCs w:val="false"/>
                <w:i w:val="false"/>
                <w:iCs w:val="false"/>
                <w:caps w:val="false"/>
                <w:color w:val="1A1A1A"/>
                <w:sz w:val="16"/>
                <w:szCs w:val="16"/>
              </w:rPr>
              <w:t xml:space="preserve">29,719,576 (12.0%)</w:t>
            </w:r>
          </w:p>
        </w:tc>
      </w:tr>
      <w:tr>
        <w:tc>
          <w:tcPr>
            <w:tcW w:type="dxa" w:w="30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left"/>
            </w:pPr>
            <w:r>
              <w:rPr>
                <w:rFonts w:ascii="Calibri" w:cs="Calibri" w:eastAsia="Calibri" w:hAnsi="Calibri"/>
                <w:b w:val="false"/>
                <w:bCs w:val="false"/>
                <w:i w:val="false"/>
                <w:iCs w:val="false"/>
                <w:caps w:val="false"/>
                <w:color w:val="1A1A1A"/>
                <w:sz w:val="16"/>
                <w:szCs w:val="16"/>
              </w:rPr>
              <w:t xml:space="preserve">Person-years per $M</w:t>
            </w:r>
          </w:p>
        </w:tc>
        <w:tc>
          <w:tcPr>
            <w:tcW w:type="dxa" w:w="24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center"/>
            </w:pPr>
            <w:r>
              <w:rPr>
                <w:rFonts w:ascii="Calibri" w:cs="Calibri" w:eastAsia="Calibri" w:hAnsi="Calibri"/>
                <w:b w:val="false"/>
                <w:bCs w:val="false"/>
                <w:i w:val="false"/>
                <w:iCs w:val="false"/>
                <w:caps w:val="false"/>
                <w:color w:val="1A1A1A"/>
                <w:sz w:val="16"/>
                <w:szCs w:val="16"/>
              </w:rPr>
              <w:t xml:space="preserve">14,305</w:t>
            </w:r>
          </w:p>
        </w:tc>
        <w:tc>
          <w:tcPr>
            <w:tcW w:type="dxa" w:w="240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center"/>
            </w:pPr>
            <w:r>
              <w:rPr>
                <w:rFonts w:ascii="Calibri" w:cs="Calibri" w:eastAsia="Calibri" w:hAnsi="Calibri"/>
                <w:b w:val="false"/>
                <w:bCs w:val="false"/>
                <w:i w:val="false"/>
                <w:iCs w:val="false"/>
                <w:caps w:val="false"/>
                <w:color w:val="1A1A1A"/>
                <w:sz w:val="16"/>
                <w:szCs w:val="16"/>
              </w:rPr>
              <w:t xml:space="preserve">4,420</w:t>
            </w:r>
          </w:p>
        </w:tc>
        <w:tc>
          <w:tcPr>
            <w:tcW w:type="dxa" w:w="1280"/>
            <w:tcBorders>
              <w:top w:val="single" w:color="CCCCCC" w:sz="3"/>
              <w:left w:val="single" w:color="CCCCCC" w:sz="3"/>
              <w:bottom w:val="single" w:color="CCCCCC" w:sz="3"/>
              <w:right w:val="single" w:color="CCCCCC" w:sz="3"/>
            </w:tcBorders>
            <w:shd w:fill="FFFFFF" w:val="clear"/>
            <w:tcMar>
              <w:top w:type="dxa" w:w="40"/>
              <w:left w:type="dxa" w:w="80"/>
              <w:bottom w:type="dxa" w:w="40"/>
              <w:right w:type="dxa" w:w="80"/>
            </w:tcMar>
          </w:tcPr>
          <w:p>
            <w:pPr>
              <w:spacing w:before="0" w:after="0"/>
              <w:jc w:val="center"/>
            </w:pPr>
            <w:r>
              <w:rPr>
                <w:rFonts w:ascii="Calibri" w:cs="Calibri" w:eastAsia="Calibri" w:hAnsi="Calibri"/>
                <w:b w:val="false"/>
                <w:bCs w:val="false"/>
                <w:i w:val="false"/>
                <w:iCs w:val="false"/>
                <w:caps w:val="false"/>
                <w:color w:val="1A1A1A"/>
                <w:sz w:val="16"/>
                <w:szCs w:val="16"/>
              </w:rPr>
              <w:t xml:space="preserve">—</w:t>
            </w:r>
          </w:p>
        </w:tc>
      </w:tr>
    </w:tbl>
    <w:p>
      <w:pPr>
        <w:spacing w:before="0" w:after="80"/>
      </w:pPr>
      <w:r>
        <w:rPr>
          <w:rFonts w:ascii="Calibri" w:cs="Calibri" w:eastAsia="Calibri" w:hAnsi="Calibri"/>
          <w:b w:val="false"/>
          <w:bCs w:val="false"/>
          <w:i w:val="false"/>
          <w:iCs w:val="false"/>
          <w:caps w:val="false"/>
          <w:color w:val="1A1A1A"/>
          <w:sz w:val="22"/>
          <w:szCs w:val="22"/>
        </w:rPr>
        <w:t xml:space="preserve"/>
      </w:r>
    </w:p>
    <w:p>
      <w:pPr>
        <w:spacing w:before="0" w:after="80"/>
        <w:ind w:left="360"/>
        <w:jc w:val="both"/>
      </w:pPr>
      <w:r>
        <w:rPr>
          <w:rFonts w:ascii="Calibri" w:cs="Calibri" w:eastAsia="Calibri" w:hAnsi="Calibri"/>
          <w:b w:val="false"/>
          <w:bCs w:val="false"/>
          <w:i w:val="false"/>
          <w:iCs w:val="false"/>
          <w:caps w:val="false"/>
          <w:color w:val="1A1A1A"/>
          <w:sz w:val="18"/>
          <w:szCs w:val="18"/>
        </w:rPr>
        <w:t xml:space="preserve">Capital investments produce 3.2× more person-years per dollar than operational programs over 20 years.</w:t>
      </w:r>
    </w:p>
    <w:p>
      <w:pPr>
        <w:spacing w:before="120" w:after="60"/>
        <w:ind w:left="360"/>
      </w:pPr>
      <w:r>
        <w:rPr>
          <w:rFonts w:ascii="Calibri" w:cs="Calibri" w:eastAsia="Calibri" w:hAnsi="Calibri"/>
          <w:b/>
          <w:bCs/>
          <w:i w:val="false"/>
          <w:iCs w:val="false"/>
          <w:caps w:val="false"/>
          <w:color w:val="1B4F72"/>
          <w:sz w:val="22"/>
          <w:szCs w:val="22"/>
        </w:rPr>
        <w:t xml:space="preserve">D.5 Key Findings</w:t>
      </w:r>
    </w:p>
    <w:p>
      <w:pPr>
        <w:pStyle w:val="ListParagraph"/>
        <w:numPr>
          <w:ilvl w:val="0"/>
          <w:numId w:val="2"/>
        </w:numPr>
        <w:spacing w:before="0" w:after="60"/>
        <w:ind w:left="720" w:hanging="360"/>
      </w:pPr>
      <w:r>
        <w:rPr>
          <w:rFonts w:ascii="Calibri" w:cs="Calibri" w:eastAsia="Calibri" w:hAnsi="Calibri"/>
          <w:b w:val="false"/>
          <w:bCs w:val="false"/>
          <w:i w:val="false"/>
          <w:iCs w:val="false"/>
          <w:caps w:val="false"/>
          <w:color w:val="1A1A1A"/>
          <w:sz w:val="18"/>
          <w:szCs w:val="18"/>
        </w:rPr>
        <w:t xml:space="preserve">All 11 capital policies reach full deployment by year 2.</w:t>
      </w:r>
    </w:p>
    <w:p>
      <w:pPr>
        <w:pStyle w:val="ListParagraph"/>
        <w:numPr>
          <w:ilvl w:val="0"/>
          <w:numId w:val="2"/>
        </w:numPr>
        <w:spacing w:before="0" w:after="60"/>
        <w:ind w:left="720" w:hanging="360"/>
      </w:pPr>
      <w:r>
        <w:rPr>
          <w:rFonts w:ascii="Calibri" w:cs="Calibri" w:eastAsia="Calibri" w:hAnsi="Calibri"/>
          <w:b w:val="false"/>
          <w:bCs w:val="false"/>
          <w:i w:val="false"/>
          <w:iCs w:val="false"/>
          <w:caps w:val="false"/>
          <w:color w:val="1A1A1A"/>
          <w:sz w:val="18"/>
          <w:szCs w:val="18"/>
        </w:rPr>
        <w:t xml:space="preserve">Only $24.4B of $40B is productively deployable — surplus should fund education, healthcare, or climate resilience reserves.</w:t>
      </w:r>
    </w:p>
    <w:p>
      <w:pPr>
        <w:pStyle w:val="ListParagraph"/>
        <w:numPr>
          <w:ilvl w:val="0"/>
          <w:numId w:val="2"/>
        </w:numPr>
        <w:spacing w:before="0" w:after="60"/>
        <w:ind w:left="720" w:hanging="360"/>
      </w:pPr>
      <w:r>
        <w:rPr>
          <w:rFonts w:ascii="Calibri" w:cs="Calibri" w:eastAsia="Calibri" w:hAnsi="Calibri"/>
          <w:b w:val="false"/>
          <w:bCs w:val="false"/>
          <w:i w:val="false"/>
          <w:iCs w:val="false"/>
          <w:caps w:val="false"/>
          <w:color w:val="1A1A1A"/>
          <w:sz w:val="18"/>
          <w:szCs w:val="18"/>
        </w:rPr>
        <w:t xml:space="preserve">Capital investments deliver 127.5M person-years AFTER funding stops vs. 90.3M DURING the 5-year period.</w:t>
      </w:r>
    </w:p>
    <w:p>
      <w:pPr>
        <w:pStyle w:val="ListParagraph"/>
        <w:numPr>
          <w:ilvl w:val="0"/>
          <w:numId w:val="2"/>
        </w:numPr>
        <w:spacing w:before="0" w:after="60"/>
        <w:ind w:left="720" w:hanging="360"/>
      </w:pPr>
      <w:r>
        <w:rPr>
          <w:rFonts w:ascii="Calibri" w:cs="Calibri" w:eastAsia="Calibri" w:hAnsi="Calibri"/>
          <w:b w:val="false"/>
          <w:bCs w:val="false"/>
          <w:i w:val="false"/>
          <w:iCs w:val="false"/>
          <w:caps w:val="false"/>
          <w:color w:val="1A1A1A"/>
          <w:sz w:val="18"/>
          <w:szCs w:val="18"/>
        </w:rPr>
        <w:t xml:space="preserve">When operational funding stops in year 6, impact drops 51% overnight (the “vulnerability cliff”).</w:t>
      </w:r>
    </w:p>
    <w:p>
      <w:pPr>
        <w:pStyle w:val="ListParagraph"/>
        <w:numPr>
          <w:ilvl w:val="0"/>
          <w:numId w:val="2"/>
        </w:numPr>
        <w:spacing w:before="0" w:after="60"/>
        <w:ind w:left="720" w:hanging="360"/>
      </w:pPr>
      <w:r>
        <w:rPr>
          <w:rFonts w:ascii="Calibri" w:cs="Calibri" w:eastAsia="Calibri" w:hAnsi="Calibri"/>
          <w:b w:val="false"/>
          <w:bCs w:val="false"/>
          <w:i w:val="false"/>
          <w:iCs w:val="false"/>
          <w:caps w:val="false"/>
          <w:color w:val="1A1A1A"/>
          <w:sz w:val="18"/>
          <w:szCs w:val="18"/>
        </w:rPr>
        <w:t xml:space="preserve">Cost per person-year across 20 years: $112, well below the $285 food cost benchmark.</w:t>
      </w:r>
    </w:p>
    <w:p>
      <w:pPr>
        <w:pStyle w:val="ListParagraph"/>
        <w:numPr>
          <w:ilvl w:val="0"/>
          <w:numId w:val="2"/>
        </w:numPr>
        <w:spacing w:before="0" w:after="60"/>
        <w:ind w:left="720" w:hanging="360"/>
      </w:pPr>
      <w:r>
        <w:rPr>
          <w:rFonts w:ascii="Calibri" w:cs="Calibri" w:eastAsia="Calibri" w:hAnsi="Calibri"/>
          <w:b w:val="false"/>
          <w:bCs w:val="false"/>
          <w:i w:val="false"/>
          <w:iCs w:val="false"/>
          <w:caps w:val="false"/>
          <w:color w:val="1A1A1A"/>
          <w:sz w:val="18"/>
          <w:szCs w:val="18"/>
        </w:rPr>
        <w:t xml:space="preserve">At year 20, capital alone still covers 32.3% of the deficit — 5.8 million people remain food-secure from investments made 15+ years earlier.</w:t>
      </w:r>
    </w:p>
    <w:p>
      <w:pPr>
        <w:spacing w:before="0" w:after="200"/>
      </w:pPr>
      <w:r>
        <w:rPr>
          <w:rFonts w:ascii="Calibri" w:cs="Calibri" w:eastAsia="Calibri" w:hAnsi="Calibri"/>
          <w:b w:val="false"/>
          <w:bCs w:val="false"/>
          <w:i w:val="false"/>
          <w:iCs w:val="false"/>
          <w:caps w:val="false"/>
          <w:color w:val="1A1A1A"/>
          <w:sz w:val="22"/>
          <w:szCs w:val="22"/>
        </w:rP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6914" w:sz="4" w:space="4"/>
      </w:pBdr>
      <w:tabs>
        <w:tab w:val="right" w:pos="10080"/>
      </w:tabs>
      <w:spacing w:before="120" w:after="0"/>
    </w:pPr>
    <w:r>
      <w:rPr>
        <w:rFonts w:ascii="Calibri" w:cs="Calibri" w:eastAsia="Calibri" w:hAnsi="Calibri"/>
        <w:b w:val="false"/>
        <w:bCs w:val="false"/>
        <w:i w:val="false"/>
        <w:iCs w:val="false"/>
        <w:caps w:val="false"/>
        <w:color w:val="888888"/>
        <w:sz w:val="16"/>
        <w:szCs w:val="16"/>
      </w:rPr>
      <w:t xml:space="preserve">Garrett Zhou  •  Durham Academy Upper School  •  </w:t>
    </w:r>
    <w:r>
      <w:rPr>
        <w:rFonts w:ascii="Calibri" w:cs="Calibri" w:eastAsia="Calibri" w:hAnsi="Calibri"/>
        <w:b w:val="false"/>
        <w:bCs w:val="false"/>
        <w:i w:val="false"/>
        <w:iCs w:val="false"/>
        <w:caps w:val="false"/>
        <w:color w:val="1A1A1A"/>
        <w:sz w:val="16"/>
        <w:szCs w:val="16"/>
      </w:rPr>
      <w:t xml:space="preserv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6914" w:sz="4" w:space="4"/>
      </w:pBdr>
      <w:tabs>
        <w:tab w:val="right" w:pos="10080"/>
      </w:tabs>
      <w:spacing w:before="0" w:after="120"/>
    </w:pPr>
    <w:r>
      <w:rPr>
        <w:rFonts w:ascii="Calibri" w:cs="Calibri" w:eastAsia="Calibri" w:hAnsi="Calibri"/>
        <w:b w:val="false"/>
        <w:bCs w:val="false"/>
        <w:i/>
        <w:iCs/>
        <w:caps w:val="false"/>
        <w:color w:val="888888"/>
        <w:sz w:val="16"/>
        <w:szCs w:val="16"/>
      </w:rPr>
      <w:t xml:space="preserve">Bangladesh — Climate Change and Food Security in a Delta at Risk</w:t>
    </w:r>
    <w:r>
      <w:rPr>
        <w:rFonts w:ascii="Calibri" w:cs="Calibri" w:eastAsia="Calibri" w:hAnsi="Calibri"/>
        <w:b w:val="false"/>
        <w:bCs w:val="false"/>
        <w:i w:val="false"/>
        <w:iCs w:val="false"/>
        <w:caps w:val="false"/>
        <w:color w:val="1A1A1A"/>
        <w:sz w:val="16"/>
        <w:szCs w:val="16"/>
      </w:rPr>
      <w:t xml:space="preserve">	</w:t>
    </w:r>
    <w:r>
      <w:rPr>
        <w:rFonts w:ascii="Calibri" w:cs="Calibri" w:eastAsia="Calibri" w:hAnsi="Calibri"/>
        <w:b w:val="false"/>
        <w:bCs w:val="false"/>
        <w:i w:val="false"/>
        <w:iCs w:val="false"/>
        <w:caps w:val="false"/>
        <w:color w:val="888888"/>
        <w:sz w:val="16"/>
        <w:szCs w:val="16"/>
      </w:rPr>
      <w:t xml:space="preserve">World Food Prize Global Challenge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2026-03-29T18:24:19.908Z</dcterms:created>
  <dcterms:modified xsi:type="dcterms:W3CDTF">2026-03-29T18:24:19.909Z</dcterms:modified>
</cp:coreProperties>
</file>

<file path=docProps/custom.xml><?xml version="1.0" encoding="utf-8"?>
<Properties xmlns="http://schemas.openxmlformats.org/officeDocument/2006/custom-properties" xmlns:vt="http://schemas.openxmlformats.org/officeDocument/2006/docPropsVTypes"/>
</file>