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rFonts w:ascii="Calibri" w:hAnsi="Calibri"/>
          <w:b/>
          <w:i w:val="0"/>
          <w:sz w:val="22"/>
        </w:rPr>
        <w:t>WORLD FOOD PRIZE FOUNDATION</w:t>
      </w:r>
    </w:p>
    <w:p>
      <w:pPr>
        <w:spacing w:after="320" w:before="0" w:line="240" w:lineRule="auto"/>
        <w:jc w:val="center"/>
      </w:pPr>
      <w:r>
        <w:rPr>
          <w:rFonts w:ascii="Calibri" w:hAnsi="Calibri"/>
          <w:b w:val="0"/>
          <w:i w:val="0"/>
          <w:sz w:val="22"/>
        </w:rPr>
        <w:t>Global Youth Institute — Global Challenge</w:t>
      </w:r>
    </w:p>
    <w:p>
      <w:pPr>
        <w:spacing w:after="320" w:before="0" w:line="240" w:lineRule="auto"/>
        <w:jc w:val="center"/>
      </w:pPr>
      <w:r>
        <w:rPr>
          <w:rFonts w:ascii="Calibri" w:hAnsi="Calibri"/>
          <w:b/>
          <w:i w:val="0"/>
          <w:sz w:val="26"/>
        </w:rPr>
        <w:t>Bangladesh — Climate Change and Food Security in a Delta at Risk</w:t>
      </w:r>
    </w:p>
    <w:p>
      <w:pPr>
        <w:spacing w:after="40" w:before="0" w:line="240" w:lineRule="auto"/>
        <w:jc w:val="center"/>
      </w:pPr>
      <w:r>
        <w:rPr>
          <w:rFonts w:ascii="Calibri" w:hAnsi="Calibri"/>
          <w:b w:val="0"/>
          <w:i w:val="0"/>
          <w:sz w:val="22"/>
        </w:rPr>
        <w:t>Garrett Zhou</w:t>
      </w:r>
    </w:p>
    <w:p>
      <w:pPr>
        <w:spacing w:after="40" w:before="0" w:line="240" w:lineRule="auto"/>
        <w:jc w:val="center"/>
      </w:pPr>
      <w:r>
        <w:rPr>
          <w:rFonts w:ascii="Calibri" w:hAnsi="Calibri"/>
          <w:b w:val="0"/>
          <w:i w:val="0"/>
          <w:sz w:val="22"/>
        </w:rPr>
        <w:t>Durham Academy Upper School</w:t>
      </w:r>
    </w:p>
    <w:p>
      <w:pPr>
        <w:spacing w:after="40" w:before="0" w:line="240" w:lineRule="auto"/>
        <w:jc w:val="center"/>
      </w:pPr>
      <w:r>
        <w:rPr>
          <w:rFonts w:ascii="Calibri" w:hAnsi="Calibri"/>
          <w:b w:val="0"/>
          <w:i w:val="0"/>
          <w:sz w:val="22"/>
        </w:rPr>
        <w:t>Chapel Hill, North Carolina, United States of America</w:t>
      </w:r>
    </w:p>
    <w:p>
      <w:pPr>
        <w:spacing w:after="440" w:before="0" w:line="240" w:lineRule="auto"/>
        <w:jc w:val="center"/>
      </w:pPr>
      <w:r>
        <w:rPr>
          <w:rFonts w:ascii="Calibri" w:hAnsi="Calibri"/>
          <w:b w:val="0"/>
          <w:i w:val="0"/>
          <w:sz w:val="22"/>
        </w:rPr>
        <w:t>Topic: Bangladesh — Climate Change  •  March 27, 2026</w:t>
      </w:r>
    </w:p>
    <w:p>
      <w:pPr>
        <w:spacing w:before="440" w:after="220" w:line="240" w:lineRule="auto"/>
        <w:jc w:val="left"/>
      </w:pPr>
      <w:r>
        <w:rPr>
          <w:rFonts w:ascii="Calibri" w:hAnsi="Calibri"/>
          <w:b/>
          <w:sz w:val="22"/>
        </w:rPr>
        <w:t>INTRODUCTION</w:t>
      </w:r>
    </w:p>
    <w:p>
      <w:pPr>
        <w:spacing w:after="220" w:before="0" w:line="240" w:lineRule="auto"/>
        <w:jc w:val="left"/>
      </w:pPr>
      <w:r>
        <w:rPr>
          <w:rFonts w:ascii="Calibri" w:hAnsi="Calibri"/>
          <w:sz w:val="22"/>
        </w:rPr>
        <w:t>Most Americans will experience only a few natural disasters in their lifetimes — a hurricane, a tornado — and even then, the damage is often temporary. In Bangladesh, the stakes are categorically different. A single cyclone can devastate entire coastal communities, wiping out a season’s harvest and contaminating freshwater sources for months. Situated in the low-lying Ganges-Brahmaputra delta, Bangladesh is uniquely exposed: its flat terrain, dense population, and dependence on rain-fed agriculture create a perfect storm of climate vulnerability that few nations can match. As climate change intensifies these threats, the consequences for Bangladesh’s food security grow more severe. This paper quantifies how climate change is undermining food security in Bangladesh through statistical modeling and proposes a data-supported policy recommendation for the path forward.</w:t>
      </w:r>
    </w:p>
    <w:p>
      <w:pPr>
        <w:spacing w:before="440" w:after="220" w:line="240" w:lineRule="auto"/>
        <w:jc w:val="left"/>
      </w:pPr>
      <w:r>
        <w:rPr>
          <w:rFonts w:ascii="Calibri" w:hAnsi="Calibri"/>
          <w:b/>
          <w:sz w:val="22"/>
        </w:rPr>
        <w:t>COUNTRY BACKGROUND</w:t>
      </w:r>
    </w:p>
    <w:p>
      <w:pPr>
        <w:spacing w:after="220" w:before="0" w:line="240" w:lineRule="auto"/>
        <w:jc w:val="left"/>
      </w:pPr>
      <w:r>
        <w:rPr>
          <w:rFonts w:ascii="Calibri" w:hAnsi="Calibri"/>
          <w:sz w:val="22"/>
        </w:rPr>
        <w:t>Located in South Asia, with a land area similar to North Carolina and bordered by India, Myanmar, and the Bay of Bengal, lies Bangladesh (MapFight). Bangladesh is home to the confluence of three great rivers — the Ganges, the Brahmaputra, and the Meghna — which together form the world’s largest river delta (Roome). Two-thirds of Bangladesh’s population of 173 million live and depend upon the delta, and, consequently, these people also live less than 15 feet above sea level (Climate Reality Project).</w:t>
      </w:r>
    </w:p>
    <w:p>
      <w:pPr>
        <w:spacing w:after="220" w:before="0" w:line="240" w:lineRule="auto"/>
        <w:jc w:val="left"/>
      </w:pPr>
      <w:r>
        <w:rPr>
          <w:rFonts w:ascii="Calibri" w:hAnsi="Calibri"/>
          <w:sz w:val="22"/>
        </w:rPr>
        <w:t>Bangladesh’s GDP of $475 billion places it 35th globally — but GDP per capita ranks just 155th in the world (Worldometer). Bangladesh has a population density of 3,538 people per square mile, the tenth highest worldwide (World Bank, “Population, Total for Bangladesh”). Despite these challenges, living conditions have improved over the past few decades, with undernourishment falling from 16.4% a decade ago to about 11% today (United Nations Food Systems Summit).</w:t>
      </w:r>
    </w:p>
    <w:p>
      <w:pPr>
        <w:spacing w:after="220" w:before="0" w:line="240" w:lineRule="auto"/>
        <w:jc w:val="left"/>
      </w:pPr>
      <w:r>
        <w:rPr>
          <w:rFonts w:ascii="Calibri" w:hAnsi="Calibri"/>
          <w:sz w:val="22"/>
        </w:rPr>
        <w:t>A major component of Bangladesh’s development is international aid from the World Bank, USAID, and the Green Climate Fund. Bangladesh has suffered from political turmoil. Former Prime Minister Sheikh Hasina and the Awami League were ousted in mid-2024; an interim government led by Dr. Muhammad Yunus stabilized the country until the Bangladesh National Party (BNP) took power in February 2026 (“Government of Bangladesh”). Bangladesh ranked 149th out of 180 countries on Transparency International’s Corruption Perceptions Index in 2024, and the BNP’s rivalry with the Awami League puts existing climate policies — including the Bangladesh Delta Plan 2100 — at risk (Transparency International; Immigration and Refugee Board of Canada).</w:t>
      </w:r>
    </w:p>
    <w:p>
      <w:pPr>
        <w:spacing w:before="440" w:after="220" w:line="240" w:lineRule="auto"/>
        <w:jc w:val="left"/>
      </w:pPr>
      <w:r>
        <w:rPr>
          <w:rFonts w:ascii="Calibri" w:hAnsi="Calibri"/>
          <w:b/>
          <w:sz w:val="22"/>
        </w:rPr>
        <w:t>A TYPICAL BANGLADESHI FAMILY</w:t>
      </w:r>
    </w:p>
    <w:p>
      <w:pPr>
        <w:spacing w:after="220" w:before="0" w:line="240" w:lineRule="auto"/>
        <w:jc w:val="left"/>
      </w:pPr>
      <w:r>
        <w:rPr>
          <w:rFonts w:ascii="Calibri" w:hAnsi="Calibri"/>
          <w:sz w:val="22"/>
        </w:rPr>
        <w:t>The typical family in Bangladesh resides in a rural area and comprises two parents and two to three children (ArcGIS). You have access to electricity, just like 99% of fellow Bangladeshis (Ritchie). After waking up, your breakfast consists of rice, vegetables, and perhaps some cereal, sourced from your own subsistence farm or the local market. Cooked food such as eggs or meat is extremely rare; when cooking occurs, it uses wood, crop waste, or straw. Only 28% of Bangladeshis cook with gas or electricity. The barriers are both economic and cultural: Bangladesh relies on volatile petroleum imports, and cooking with biomass is culturally seen as producing more flavorful food (Ritchie).</w:t>
      </w:r>
    </w:p>
    <w:p>
      <w:pPr>
        <w:spacing w:after="220" w:before="0" w:line="240" w:lineRule="auto"/>
        <w:jc w:val="left"/>
      </w:pPr>
      <w:r>
        <w:rPr>
          <w:rFonts w:ascii="Calibri" w:hAnsi="Calibri"/>
          <w:sz w:val="22"/>
        </w:rPr>
        <w:t>After breakfast, you go to wash your hands — but like most rural Bangladeshis, you lack access to basic handwashing facilities with water and soap at home. Over one-third of the country lacks access to clean drinking water (“Drinking Water and Sanitation”). Your family, however, is relatively fortunate. Your father leaves for work in the service sector at the local market, where he makes roughly $10 a day — enough to ensure a comfortable lifestyle compared to many of your peers (“Average Salary in Bangladesh”). Your mother tends your family’s humble farm, watering rice, potatoes, jute, and some tropical fruits. You, like many of your neighbors, farm only for your family.</w:t>
      </w:r>
    </w:p>
    <w:p>
      <w:pPr>
        <w:spacing w:before="440" w:after="220" w:line="240" w:lineRule="auto"/>
        <w:jc w:val="left"/>
      </w:pPr>
      <w:r>
        <w:rPr>
          <w:rFonts w:ascii="Calibri" w:hAnsi="Calibri"/>
          <w:b/>
          <w:sz w:val="22"/>
        </w:rPr>
        <w:t>CHALLENGE AND IMPACT</w:t>
      </w:r>
    </w:p>
    <w:p>
      <w:pPr>
        <w:spacing w:after="220" w:before="0" w:line="240" w:lineRule="auto"/>
        <w:jc w:val="left"/>
      </w:pPr>
      <w:r>
        <w:rPr>
          <w:rFonts w:ascii="Calibri" w:hAnsi="Calibri"/>
          <w:sz w:val="22"/>
        </w:rPr>
        <w:t>The climate in Bangladesh follows a monsoon structure. Temperatures typically range from 27–31 °C but vary by geographic location (Jihan et al.). The country receives approximately 2,000 mm of rainfall per year, but 70–80% falls during the four-month monsoon season, creating an extreme cycle of drought and deluge (Bangladesh Meteorological Department). In the northeast, rainfall can exceed 5,000 mm, while the western interior receives as little as 1,200 mm — making water management simultaneously a problem of scarcity and surplus.</w:t>
      </w:r>
    </w:p>
    <w:p>
      <w:pPr>
        <w:spacing w:after="220" w:before="0" w:line="240" w:lineRule="auto"/>
        <w:jc w:val="left"/>
      </w:pPr>
      <w:r>
        <w:rPr>
          <w:rFonts w:ascii="Calibri" w:hAnsi="Calibri"/>
          <w:sz w:val="22"/>
        </w:rPr>
        <w:t>Flooding is not an anomaly in Bangladesh. During the last half century, at least eight extreme flood events have affected 50% or more of the country’s land area (World Bank, “Flood Management”). Over half the population is exposed to high flood risk — the highest proportion of any country in the world (LSE, “Tackling Flooding”). Climate change is accelerating this pattern. Peak river flow is expected to rise 16–36% by 2070–2099, and annual precipitation is projected to increase by almost 30%, mostly during the post-monsoon season (Jihan et al.).</w:t>
      </w:r>
    </w:p>
    <w:p>
      <w:pPr>
        <w:spacing w:after="220" w:before="0" w:line="240" w:lineRule="auto"/>
        <w:jc w:val="left"/>
      </w:pPr>
      <w:r>
        <w:rPr>
          <w:rFonts w:ascii="Calibri" w:hAnsi="Calibri"/>
          <w:sz w:val="22"/>
        </w:rPr>
        <w:t>Sea level rise compounds the flooding threat. Bangladesh experiences a relative sea-level rise of 4–7.8 mm per year, roughly double the global average (ICCCAD, “Rising Sea Level”). By 2050, an estimated 17% of Bangladesh’s territory could be submerged, resulting in a loss of 30% of agricultural land and forcing millions of coastal residents to migrate inland (“Bangladesh’s 17% Areas Might Be Submerged”).</w:t>
      </w:r>
    </w:p>
    <w:p>
      <w:pPr>
        <w:spacing w:after="220" w:before="0" w:line="240" w:lineRule="auto"/>
        <w:jc w:val="left"/>
      </w:pPr>
      <w:r>
        <w:rPr>
          <w:rFonts w:ascii="Calibri" w:hAnsi="Calibri"/>
          <w:sz w:val="22"/>
        </w:rPr>
        <w:t>The rivers that sustain Bangladesh’s delta originate in the Hindu Kush Himalayan glaciers that are disappearing. Between 1990 and 2020, the Ganges basin lost 21% of its glacier area, and the Brahmaputra basin lost 16%, with the overall rate of ice loss doubling since 2000 (ICIMOD, “HKH Glacier Outlook”). This creates a dual threat: accelerated melt is increasing peak river flows, intensifying the monsoon; while in the long term, as glaciers shrink past critical thresholds, dry-season water availability will decline sharply.</w:t>
      </w:r>
    </w:p>
    <w:p>
      <w:pPr>
        <w:spacing w:after="220" w:before="0" w:line="240" w:lineRule="auto"/>
        <w:jc w:val="left"/>
      </w:pPr>
      <w:r>
        <w:rPr>
          <w:rFonts w:ascii="Calibri" w:hAnsi="Calibri"/>
          <w:sz w:val="22"/>
        </w:rPr>
        <w:t>Given a massive river delta, low elevation, and poor infrastructure, it should come as no surprise that Bangladesh is one of the most climate-vulnerable countries in the world. In 2024, the World Risk Index ranked Bangladesh as the 9th most vulnerable country worldwide to extreme weather (Climate Reality Project). The ND-GAIN Index ranks Bangladesh 174th out of 185 countries (35.5/100), and its disaster preparedness sub-score is 1.000 — the worst possible, placing it dead last at 185th out of 185 (Notre Dame Global Adaptation Initiative).</w:t>
      </w:r>
    </w:p>
    <w:p>
      <w:pPr>
        <w:spacing w:before="320" w:after="160" w:line="240" w:lineRule="auto"/>
        <w:jc w:val="left"/>
      </w:pPr>
      <w:r>
        <w:rPr>
          <w:rFonts w:ascii="Calibri" w:hAnsi="Calibri"/>
          <w:b/>
          <w:sz w:val="22"/>
        </w:rPr>
        <w:t>Global Regression Model</w:t>
      </w:r>
    </w:p>
    <w:p>
      <w:pPr>
        <w:spacing w:after="220" w:before="0" w:line="240" w:lineRule="auto"/>
        <w:jc w:val="left"/>
      </w:pPr>
      <w:r>
        <w:rPr>
          <w:rFonts w:ascii="Calibri" w:hAnsi="Calibri"/>
          <w:sz w:val="22"/>
        </w:rPr>
        <w:t>Climate change impacts food security everywhere. By running an Ordinary Least Squares (OLS) regression between climate vulnerability and undernourishment across 131 countries, I found that climate vulnerability explains 48% of the variation in undernourishment rates.</w:t>
      </w:r>
    </w:p>
    <w:p>
      <w:pPr>
        <w:spacing w:after="220" w:before="0" w:line="240" w:lineRule="auto"/>
        <w:jc w:val="left"/>
      </w:pPr>
      <w:r>
        <w:rPr>
          <w:rFonts w:ascii="Calibri" w:hAnsi="Calibri"/>
          <w:sz w:val="22"/>
        </w:rPr>
        <w:t>Using this regression, the equation Undernourishment (%) = −22.03 + 75.65 × (Climate Vulnerability) was obtained. My model predicts that a country with Bangladesh’s vulnerability score should have an undernourishment rate of 21%. However, Bangladesh has an actual value of 11.9%. This means that although Bangladesh’s climate vulnerability would typically result in much higher hunger rates, other factors — including international aid, prior investments under Bangladesh Delta Plan (BDP) 2100, and decades of Green Revolution gains in rice self-sufficiency — are currently suppressing it.</w:t>
      </w:r>
    </w:p>
    <w:p>
      <w:pPr>
        <w:spacing w:before="320" w:after="160" w:line="240" w:lineRule="auto"/>
        <w:jc w:val="left"/>
      </w:pPr>
      <w:r>
        <w:rPr>
          <w:rFonts w:ascii="Calibri" w:hAnsi="Calibri"/>
          <w:b/>
          <w:sz w:val="22"/>
        </w:rPr>
        <w:t>Historical Trend Analysis (2002–2023)</w:t>
      </w:r>
    </w:p>
    <w:p>
      <w:pPr>
        <w:spacing w:after="220" w:before="0" w:line="240" w:lineRule="auto"/>
        <w:jc w:val="left"/>
      </w:pPr>
      <w:r>
        <w:rPr>
          <w:rFonts w:ascii="Calibri" w:hAnsi="Calibri"/>
          <w:sz w:val="22"/>
        </w:rPr>
        <w:t>I examined this adaptation buffer over time, tracking the gap between predicted and actual undernourishment from 2002 to 2023 (Figure 1; Table 1).</w:t>
      </w:r>
    </w:p>
    <w:p>
      <w:pPr>
        <w:spacing w:before="120" w:after="80"/>
        <w:jc w:val="center"/>
      </w:pPr>
      <w:r>
        <w:drawing>
          <wp:inline xmlns:a="http://schemas.openxmlformats.org/drawingml/2006/main" xmlns:pic="http://schemas.openxmlformats.org/drawingml/2006/picture">
            <wp:extent cx="5760720" cy="3240063"/>
            <wp:docPr id="1" name="Picture 1"/>
            <wp:cNvGraphicFramePr>
              <a:graphicFrameLocks noChangeAspect="1"/>
            </wp:cNvGraphicFramePr>
            <a:graphic>
              <a:graphicData uri="http://schemas.openxmlformats.org/drawingml/2006/picture">
                <pic:pic>
                  <pic:nvPicPr>
                    <pic:cNvPr id="0" name="vulnerability_graph.png"/>
                    <pic:cNvPicPr/>
                  </pic:nvPicPr>
                  <pic:blipFill>
                    <a:blip r:embed="rId9"/>
                    <a:stretch>
                      <a:fillRect/>
                    </a:stretch>
                  </pic:blipFill>
                  <pic:spPr>
                    <a:xfrm>
                      <a:off x="0" y="0"/>
                      <a:ext cx="5760720" cy="3240063"/>
                    </a:xfrm>
                    <a:prstGeom prst="rect"/>
                  </pic:spPr>
                </pic:pic>
              </a:graphicData>
            </a:graphic>
          </wp:inline>
        </w:drawing>
      </w:r>
    </w:p>
    <w:p>
      <w:pPr>
        <w:spacing w:before="120" w:after="120" w:line="240" w:lineRule="auto"/>
        <w:jc w:val="center"/>
      </w:pPr>
      <w:r>
        <w:rPr>
          <w:rFonts w:ascii="Calibri" w:hAnsi="Calibri"/>
          <w:i/>
          <w:sz w:val="20"/>
        </w:rPr>
        <w:t>Figure 1. Bangladesh’s undernourishment and climate vulnerability from 2002 to 2023</w:t>
      </w:r>
    </w:p>
    <w:p>
      <w:pPr>
        <w:spacing w:before="120" w:after="120" w:line="240" w:lineRule="auto"/>
        <w:jc w:val="center"/>
      </w:pPr>
      <w:r>
        <w:rPr>
          <w:rFonts w:ascii="Calibri" w:hAnsi="Calibri"/>
          <w:i/>
          <w:sz w:val="20"/>
        </w:rPr>
        <w:t>Table 1. Bangladesh Climate Vulnerability and Adaptation Buffer, 2002–2023</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D9E2F3" w:val="clear"/>
          </w:tcPr>
          <w:p>
            <w:pPr>
              <w:spacing w:after="40" w:before="40"/>
            </w:pPr>
            <w:r/>
            <w:r>
              <w:rPr>
                <w:rFonts w:ascii="Calibri" w:hAnsi="Calibri"/>
                <w:b/>
                <w:sz w:val="18"/>
              </w:rPr>
              <w:t>Phase</w:t>
            </w:r>
          </w:p>
        </w:tc>
        <w:tc>
          <w:tcPr>
            <w:tcW w:type="dxa" w:w="1560"/>
            <w:shd w:fill="D9E2F3" w:val="clear"/>
          </w:tcPr>
          <w:p>
            <w:pPr>
              <w:spacing w:after="40" w:before="40"/>
            </w:pPr>
            <w:r/>
            <w:r>
              <w:rPr>
                <w:rFonts w:ascii="Calibri" w:hAnsi="Calibri"/>
                <w:b/>
                <w:sz w:val="18"/>
              </w:rPr>
              <w:t>Years</w:t>
            </w:r>
          </w:p>
        </w:tc>
        <w:tc>
          <w:tcPr>
            <w:tcW w:type="dxa" w:w="1560"/>
            <w:shd w:fill="D9E2F3" w:val="clear"/>
          </w:tcPr>
          <w:p>
            <w:pPr>
              <w:spacing w:after="40" w:before="40"/>
            </w:pPr>
            <w:r/>
            <w:r>
              <w:rPr>
                <w:rFonts w:ascii="Calibri" w:hAnsi="Calibri"/>
                <w:b/>
                <w:sz w:val="18"/>
              </w:rPr>
              <w:t>Vulnerability</w:t>
            </w:r>
          </w:p>
        </w:tc>
        <w:tc>
          <w:tcPr>
            <w:tcW w:type="dxa" w:w="1560"/>
            <w:shd w:fill="D9E2F3" w:val="clear"/>
          </w:tcPr>
          <w:p>
            <w:pPr>
              <w:spacing w:after="40" w:before="40"/>
            </w:pPr>
            <w:r/>
            <w:r>
              <w:rPr>
                <w:rFonts w:ascii="Calibri" w:hAnsi="Calibri"/>
                <w:b/>
                <w:sz w:val="18"/>
              </w:rPr>
              <w:t>Predicted Under.</w:t>
            </w:r>
          </w:p>
        </w:tc>
        <w:tc>
          <w:tcPr>
            <w:tcW w:type="dxa" w:w="1560"/>
            <w:shd w:fill="D9E2F3" w:val="clear"/>
          </w:tcPr>
          <w:p>
            <w:pPr>
              <w:spacing w:after="40" w:before="40"/>
            </w:pPr>
            <w:r/>
            <w:r>
              <w:rPr>
                <w:rFonts w:ascii="Calibri" w:hAnsi="Calibri"/>
                <w:b/>
                <w:sz w:val="18"/>
              </w:rPr>
              <w:t>Actual Under.</w:t>
            </w:r>
          </w:p>
        </w:tc>
        <w:tc>
          <w:tcPr>
            <w:tcW w:type="dxa" w:w="1560"/>
            <w:shd w:fill="D9E2F3" w:val="clear"/>
          </w:tcPr>
          <w:p>
            <w:pPr>
              <w:spacing w:after="40" w:before="40"/>
            </w:pPr>
            <w:r/>
            <w:r>
              <w:rPr>
                <w:rFonts w:ascii="Calibri" w:hAnsi="Calibri"/>
                <w:b/>
                <w:sz w:val="18"/>
              </w:rPr>
              <w:t>Adaptation Buffer</w:t>
            </w:r>
          </w:p>
        </w:tc>
      </w:tr>
      <w:tr>
        <w:tc>
          <w:tcPr>
            <w:tcW w:type="dxa" w:w="1560"/>
          </w:tcPr>
          <w:p>
            <w:pPr>
              <w:spacing w:after="20" w:before="20"/>
            </w:pPr>
            <w:r/>
            <w:r>
              <w:rPr>
                <w:rFonts w:ascii="Calibri" w:hAnsi="Calibri"/>
                <w:sz w:val="18"/>
              </w:rPr>
              <w:t>Stagnation</w:t>
            </w:r>
          </w:p>
        </w:tc>
        <w:tc>
          <w:tcPr>
            <w:tcW w:type="dxa" w:w="1560"/>
          </w:tcPr>
          <w:p>
            <w:pPr>
              <w:spacing w:after="20" w:before="20"/>
            </w:pPr>
            <w:r/>
            <w:r>
              <w:rPr>
                <w:rFonts w:ascii="Calibri" w:hAnsi="Calibri"/>
                <w:sz w:val="18"/>
              </w:rPr>
              <w:t>2002–2007</w:t>
            </w:r>
          </w:p>
        </w:tc>
        <w:tc>
          <w:tcPr>
            <w:tcW w:type="dxa" w:w="1560"/>
          </w:tcPr>
          <w:p>
            <w:pPr>
              <w:spacing w:after="20" w:before="20"/>
            </w:pPr>
            <w:r/>
            <w:r>
              <w:rPr>
                <w:rFonts w:ascii="Calibri" w:hAnsi="Calibri"/>
                <w:sz w:val="18"/>
              </w:rPr>
              <w:t>~0.560</w:t>
            </w:r>
          </w:p>
        </w:tc>
        <w:tc>
          <w:tcPr>
            <w:tcW w:type="dxa" w:w="1560"/>
          </w:tcPr>
          <w:p>
            <w:pPr>
              <w:spacing w:after="20" w:before="20"/>
            </w:pPr>
            <w:r/>
            <w:r>
              <w:rPr>
                <w:rFonts w:ascii="Calibri" w:hAnsi="Calibri"/>
                <w:sz w:val="18"/>
              </w:rPr>
              <w:t>~20.4%</w:t>
            </w:r>
          </w:p>
        </w:tc>
        <w:tc>
          <w:tcPr>
            <w:tcW w:type="dxa" w:w="1560"/>
          </w:tcPr>
          <w:p>
            <w:pPr>
              <w:spacing w:after="20" w:before="20"/>
            </w:pPr>
            <w:r/>
            <w:r>
              <w:rPr>
                <w:rFonts w:ascii="Calibri" w:hAnsi="Calibri"/>
                <w:sz w:val="18"/>
              </w:rPr>
              <w:t>~15.5%</w:t>
            </w:r>
          </w:p>
        </w:tc>
        <w:tc>
          <w:tcPr>
            <w:tcW w:type="dxa" w:w="1560"/>
          </w:tcPr>
          <w:p>
            <w:pPr>
              <w:spacing w:after="20" w:before="20"/>
            </w:pPr>
            <w:r/>
            <w:r>
              <w:rPr>
                <w:rFonts w:ascii="Calibri" w:hAnsi="Calibri"/>
                <w:sz w:val="18"/>
              </w:rPr>
              <w:t>~5 pp</w:t>
            </w:r>
          </w:p>
        </w:tc>
      </w:tr>
      <w:tr>
        <w:tc>
          <w:tcPr>
            <w:tcW w:type="dxa" w:w="1560"/>
          </w:tcPr>
          <w:p>
            <w:pPr>
              <w:spacing w:after="20" w:before="20"/>
            </w:pPr>
            <w:r/>
            <w:r>
              <w:rPr>
                <w:rFonts w:ascii="Calibri" w:hAnsi="Calibri"/>
                <w:sz w:val="18"/>
              </w:rPr>
              <w:t>Collapse</w:t>
            </w:r>
          </w:p>
        </w:tc>
        <w:tc>
          <w:tcPr>
            <w:tcW w:type="dxa" w:w="1560"/>
          </w:tcPr>
          <w:p>
            <w:pPr>
              <w:spacing w:after="20" w:before="20"/>
            </w:pPr>
            <w:r/>
            <w:r>
              <w:rPr>
                <w:rFonts w:ascii="Calibri" w:hAnsi="Calibri"/>
                <w:sz w:val="18"/>
              </w:rPr>
              <w:t>2007–2012</w:t>
            </w:r>
          </w:p>
        </w:tc>
        <w:tc>
          <w:tcPr>
            <w:tcW w:type="dxa" w:w="1560"/>
          </w:tcPr>
          <w:p>
            <w:pPr>
              <w:spacing w:after="20" w:before="20"/>
            </w:pPr>
            <w:r/>
            <w:r>
              <w:rPr>
                <w:rFonts w:ascii="Calibri" w:hAnsi="Calibri"/>
                <w:sz w:val="18"/>
              </w:rPr>
              <w:t>0.562 → 0.563</w:t>
            </w:r>
          </w:p>
        </w:tc>
        <w:tc>
          <w:tcPr>
            <w:tcW w:type="dxa" w:w="1560"/>
          </w:tcPr>
          <w:p>
            <w:pPr>
              <w:spacing w:after="20" w:before="20"/>
            </w:pPr>
            <w:r/>
            <w:r>
              <w:rPr>
                <w:rFonts w:ascii="Calibri" w:hAnsi="Calibri"/>
                <w:sz w:val="18"/>
              </w:rPr>
              <w:t>~20.5%</w:t>
            </w:r>
          </w:p>
        </w:tc>
        <w:tc>
          <w:tcPr>
            <w:tcW w:type="dxa" w:w="1560"/>
          </w:tcPr>
          <w:p>
            <w:pPr>
              <w:spacing w:after="20" w:before="20"/>
            </w:pPr>
            <w:r/>
            <w:r>
              <w:rPr>
                <w:rFonts w:ascii="Calibri" w:hAnsi="Calibri"/>
                <w:sz w:val="18"/>
              </w:rPr>
              <w:t>17.2% → 18.2%</w:t>
            </w:r>
          </w:p>
        </w:tc>
        <w:tc>
          <w:tcPr>
            <w:tcW w:type="dxa" w:w="1560"/>
          </w:tcPr>
          <w:p>
            <w:pPr>
              <w:spacing w:after="20" w:before="20"/>
            </w:pPr>
            <w:r/>
            <w:r>
              <w:rPr>
                <w:rFonts w:ascii="Calibri" w:hAnsi="Calibri"/>
                <w:sz w:val="18"/>
              </w:rPr>
              <w:t>5 → 1.2 pp</w:t>
            </w:r>
          </w:p>
        </w:tc>
      </w:tr>
      <w:tr>
        <w:tc>
          <w:tcPr>
            <w:tcW w:type="dxa" w:w="1560"/>
          </w:tcPr>
          <w:p>
            <w:pPr>
              <w:spacing w:after="20" w:before="20"/>
            </w:pPr>
            <w:r/>
            <w:r>
              <w:rPr>
                <w:rFonts w:ascii="Calibri" w:hAnsi="Calibri"/>
                <w:sz w:val="18"/>
              </w:rPr>
              <w:t>Recovery</w:t>
            </w:r>
          </w:p>
        </w:tc>
        <w:tc>
          <w:tcPr>
            <w:tcW w:type="dxa" w:w="1560"/>
          </w:tcPr>
          <w:p>
            <w:pPr>
              <w:spacing w:after="20" w:before="20"/>
            </w:pPr>
            <w:r/>
            <w:r>
              <w:rPr>
                <w:rFonts w:ascii="Calibri" w:hAnsi="Calibri"/>
                <w:sz w:val="18"/>
              </w:rPr>
              <w:t>2012–2020</w:t>
            </w:r>
          </w:p>
        </w:tc>
        <w:tc>
          <w:tcPr>
            <w:tcW w:type="dxa" w:w="1560"/>
          </w:tcPr>
          <w:p>
            <w:pPr>
              <w:spacing w:after="20" w:before="20"/>
            </w:pPr>
            <w:r/>
            <w:r>
              <w:rPr>
                <w:rFonts w:ascii="Calibri" w:hAnsi="Calibri"/>
                <w:sz w:val="18"/>
              </w:rPr>
              <w:t>0.555 → 0.528</w:t>
            </w:r>
          </w:p>
        </w:tc>
        <w:tc>
          <w:tcPr>
            <w:tcW w:type="dxa" w:w="1560"/>
          </w:tcPr>
          <w:p>
            <w:pPr>
              <w:spacing w:after="20" w:before="20"/>
            </w:pPr>
            <w:r/>
            <w:r>
              <w:rPr>
                <w:rFonts w:ascii="Calibri" w:hAnsi="Calibri"/>
                <w:sz w:val="18"/>
              </w:rPr>
              <w:t>19.9% → 17.9%</w:t>
            </w:r>
          </w:p>
        </w:tc>
        <w:tc>
          <w:tcPr>
            <w:tcW w:type="dxa" w:w="1560"/>
          </w:tcPr>
          <w:p>
            <w:pPr>
              <w:spacing w:after="20" w:before="20"/>
            </w:pPr>
            <w:r/>
            <w:r>
              <w:rPr>
                <w:rFonts w:ascii="Calibri" w:hAnsi="Calibri"/>
                <w:sz w:val="18"/>
              </w:rPr>
              <w:t>18.2% → 10.9%</w:t>
            </w:r>
          </w:p>
        </w:tc>
        <w:tc>
          <w:tcPr>
            <w:tcW w:type="dxa" w:w="1560"/>
          </w:tcPr>
          <w:p>
            <w:pPr>
              <w:spacing w:after="20" w:before="20"/>
            </w:pPr>
            <w:r/>
            <w:r>
              <w:rPr>
                <w:rFonts w:ascii="Calibri" w:hAnsi="Calibri"/>
                <w:sz w:val="18"/>
              </w:rPr>
              <w:t>1.7 → 7 pp</w:t>
            </w:r>
          </w:p>
        </w:tc>
      </w:tr>
      <w:tr>
        <w:tc>
          <w:tcPr>
            <w:tcW w:type="dxa" w:w="1560"/>
          </w:tcPr>
          <w:p>
            <w:pPr>
              <w:spacing w:after="20" w:before="20"/>
            </w:pPr>
            <w:r/>
            <w:r>
              <w:rPr>
                <w:rFonts w:ascii="Calibri" w:hAnsi="Calibri"/>
                <w:sz w:val="18"/>
              </w:rPr>
              <w:t>Warning</w:t>
            </w:r>
          </w:p>
        </w:tc>
        <w:tc>
          <w:tcPr>
            <w:tcW w:type="dxa" w:w="1560"/>
          </w:tcPr>
          <w:p>
            <w:pPr>
              <w:spacing w:after="20" w:before="20"/>
            </w:pPr>
            <w:r/>
            <w:r>
              <w:rPr>
                <w:rFonts w:ascii="Calibri" w:hAnsi="Calibri"/>
                <w:sz w:val="18"/>
              </w:rPr>
              <w:t>2020–2023</w:t>
            </w:r>
          </w:p>
        </w:tc>
        <w:tc>
          <w:tcPr>
            <w:tcW w:type="dxa" w:w="1560"/>
          </w:tcPr>
          <w:p>
            <w:pPr>
              <w:spacing w:after="20" w:before="20"/>
            </w:pPr>
            <w:r/>
            <w:r>
              <w:rPr>
                <w:rFonts w:ascii="Calibri" w:hAnsi="Calibri"/>
                <w:sz w:val="18"/>
              </w:rPr>
              <w:t>0.528 → 0.568</w:t>
            </w:r>
          </w:p>
        </w:tc>
        <w:tc>
          <w:tcPr>
            <w:tcW w:type="dxa" w:w="1560"/>
          </w:tcPr>
          <w:p>
            <w:pPr>
              <w:spacing w:after="20" w:before="20"/>
            </w:pPr>
            <w:r/>
            <w:r>
              <w:rPr>
                <w:rFonts w:ascii="Calibri" w:hAnsi="Calibri"/>
                <w:sz w:val="18"/>
              </w:rPr>
              <w:t>17.9% → 20.9%</w:t>
            </w:r>
          </w:p>
        </w:tc>
        <w:tc>
          <w:tcPr>
            <w:tcW w:type="dxa" w:w="1560"/>
          </w:tcPr>
          <w:p>
            <w:pPr>
              <w:spacing w:after="20" w:before="20"/>
            </w:pPr>
            <w:r/>
            <w:r>
              <w:rPr>
                <w:rFonts w:ascii="Calibri" w:hAnsi="Calibri"/>
                <w:sz w:val="18"/>
              </w:rPr>
              <w:t>10.9% → 11.9%</w:t>
            </w:r>
          </w:p>
        </w:tc>
        <w:tc>
          <w:tcPr>
            <w:tcW w:type="dxa" w:w="1560"/>
          </w:tcPr>
          <w:p>
            <w:pPr>
              <w:spacing w:after="20" w:before="20"/>
            </w:pPr>
            <w:r/>
            <w:r>
              <w:rPr>
                <w:rFonts w:ascii="Calibri" w:hAnsi="Calibri"/>
                <w:sz w:val="18"/>
              </w:rPr>
              <w:t>7 → 9 pp</w:t>
            </w:r>
          </w:p>
        </w:tc>
      </w:tr>
    </w:tbl>
    <w:p>
      <w:pPr>
        <w:spacing w:after="120"/>
      </w:pPr>
    </w:p>
    <w:p>
      <w:pPr>
        <w:spacing w:after="220" w:before="0" w:line="240" w:lineRule="auto"/>
        <w:jc w:val="left"/>
      </w:pPr>
      <w:r>
        <w:rPr>
          <w:rFonts w:ascii="Calibri" w:hAnsi="Calibri"/>
          <w:sz w:val="22"/>
        </w:rPr>
        <w:t>Between 2002 and 2007, there were no major climate shocks, and climate vulnerability hovered around 0.560. The adaptation buffer — the difference between predicted and actual undernourishment — remained around 5 percentage points. From 2007 to 2012, following Cyclones Sidr and Aila, the buffer collapsed to 1.2 percentage points while undernourishment rose 2.8 percentage points. From 2012 to 2020, the BDP 2100 and international aid helped Bangladesh recover — undernourishment fell to 10.9% and the buffer rebuilt to 7 percentage points (FAO, “Suite of Food Security Indicators”). Now the warning signs are back. In 2021, vulnerability jumped from 0.528 to 0.557 — the largest single-year spike in the dataset — erasing a decade of resilience progress. The pattern is clear: vulnerability rises first, and undernourishment follows. Compounding this, in 2025, USAID cuts forced Bangladesh to suspend multiple climate development projects, including a $3.2 billion decade-long commitment (Mahmud).</w:t>
      </w:r>
    </w:p>
    <w:p>
      <w:pPr>
        <w:spacing w:before="440" w:after="220" w:line="240" w:lineRule="auto"/>
        <w:jc w:val="left"/>
      </w:pPr>
      <w:r>
        <w:rPr>
          <w:rFonts w:ascii="Calibri" w:hAnsi="Calibri"/>
          <w:b/>
          <w:sz w:val="22"/>
        </w:rPr>
        <w:t>EXPLORING SOLUTIONS</w:t>
      </w:r>
    </w:p>
    <w:p>
      <w:pPr>
        <w:spacing w:before="320" w:after="160" w:line="240" w:lineRule="auto"/>
        <w:jc w:val="left"/>
      </w:pPr>
      <w:r>
        <w:rPr>
          <w:rFonts w:ascii="Calibri" w:hAnsi="Calibri"/>
          <w:b/>
          <w:sz w:val="22"/>
        </w:rPr>
        <w:t>Known Solutions</w:t>
      </w:r>
    </w:p>
    <w:p>
      <w:pPr>
        <w:spacing w:after="220" w:before="0" w:line="240" w:lineRule="auto"/>
        <w:jc w:val="left"/>
      </w:pPr>
      <w:r>
        <w:rPr>
          <w:rFonts w:ascii="Calibri" w:hAnsi="Calibri"/>
          <w:sz w:val="22"/>
        </w:rPr>
        <w:t>Bangladesh is not short on ideas for fighting hunger, but it is short on a strategy that puts the right ideas together. Thirteen evidence-based solutions and policies, spanning food production, direct nutrition interventions, and damage prevention, were selected for this research (see Appendix Table 1).</w:t>
      </w:r>
    </w:p>
    <w:p>
      <w:pPr>
        <w:spacing w:after="220" w:before="0" w:line="240" w:lineRule="auto"/>
        <w:jc w:val="left"/>
      </w:pPr>
      <w:r>
        <w:rPr>
          <w:rFonts w:ascii="Calibri" w:hAnsi="Calibri"/>
          <w:sz w:val="22"/>
        </w:rPr>
        <w:t>The most direct existing solution is school feeding. The WFP reaches 15 million ultra-poor Bangladeshis through fortified rice and biscuit programs, improving enrollment by 4.2% and cutting dropout rates by 7.5% (WFP, “School Feeding Evaluation”). A second set of solutions involves climate-resilient agriculture including 1) saline-tolerant varieties — BRRI dhan97 and dhan99 — that can produce an additional two tons per hectare even in heavily saline soil (CGIAR, “Salt-Tolerant Rice”), 2) flood-tolerant Sub1 rice leading to 55% higher profits and 15% higher rice consumption (CGIAR, “Flood-Tolerant Rice”), 3) Alternate Wetting and Drying (AWD) irrigation — saves 27% of water while increasing yields by 500 kg per hectare (IRRI). A third category is damage prevention including hermetic storage bags, flood forecasting, and farmer insurance.</w:t>
      </w:r>
    </w:p>
    <w:p>
      <w:pPr>
        <w:spacing w:before="320" w:after="160" w:line="240" w:lineRule="auto"/>
        <w:jc w:val="left"/>
      </w:pPr>
      <w:r>
        <w:rPr>
          <w:rFonts w:ascii="Calibri" w:hAnsi="Calibri"/>
          <w:b/>
          <w:sz w:val="22"/>
        </w:rPr>
        <w:t>Policy Optimization Model</w:t>
      </w:r>
    </w:p>
    <w:p>
      <w:pPr>
        <w:spacing w:after="220" w:before="0" w:line="240" w:lineRule="auto"/>
        <w:jc w:val="left"/>
      </w:pPr>
      <w:r>
        <w:rPr>
          <w:rFonts w:ascii="Calibri" w:hAnsi="Calibri"/>
          <w:sz w:val="22"/>
        </w:rPr>
        <w:t>Each of these three categories is promising on its own, but the real question is how to allocate limited resources across many competing priorities for maximum impact. Bangladesh has roughly $8 billion budget per year available for climate adaptation — derived from the Bangladesh Delta Plan (BDP) 2100’s annual allocation of 2.5% of GDP (“Bangladesh’s Climate Resilience”), guaranteed commitments from the World Bank, Asian Development Bank, and Green Climate Fund. With 18 million undernourished citizens each consuming roughly 600–800 fewer calories per day than needed, the total caloric deficit that must be closed is approximately 4.6 trillion calories per year (FAO, “Suite of Food Security Indicators”).</w:t>
      </w:r>
    </w:p>
    <w:p>
      <w:pPr>
        <w:spacing w:after="220" w:before="0" w:line="240" w:lineRule="auto"/>
        <w:jc w:val="left"/>
      </w:pPr>
      <w:r>
        <w:rPr>
          <w:rFonts w:ascii="Calibri" w:hAnsi="Calibri"/>
          <w:sz w:val="22"/>
        </w:rPr>
        <w:t>To answer this, I built a constrained optimization model across the 13 evidence-based policies. I converted every policy’s output into a single common unit — additional people lifted out of undernourishment — using caloric equivalencies (see Appendix B.2). I modeled each policy’s impact as a concave power function with diminishing returns calibrated from IRRI field trials, World Bank evaluations, and FAO scaling analyses (see Appendix B.4). Seven policy pairs received synergy bonuses for documented complementarity — for example, pairing saline-tolerant rice with AWD irrigation produces compounding gains (see Appendix B.5).</w:t>
      </w:r>
    </w:p>
    <w:p>
      <w:pPr>
        <w:spacing w:after="220" w:before="0" w:line="240" w:lineRule="auto"/>
        <w:jc w:val="left"/>
      </w:pPr>
      <w:r>
        <w:rPr>
          <w:rFonts w:ascii="Calibri" w:hAnsi="Calibri"/>
          <w:sz w:val="22"/>
        </w:rPr>
        <w:t>Bangladesh’s political landscape introduces constraints that a purely technical model would miss. I applied a 40% effectiveness discount to all BDP 2100-linked policies and required at least 35% of the budget to flow to BNP-aligned policies to reflect political feasibility. People lifted from undernourishment were valued at $285 per person per year in direct food cost savings (WFP, “Bangladesh Market Monitor”).</w:t>
      </w:r>
    </w:p>
    <w:p>
      <w:pPr>
        <w:spacing w:after="220" w:before="0" w:line="240" w:lineRule="auto"/>
        <w:jc w:val="left"/>
      </w:pPr>
      <w:r>
        <w:rPr>
          <w:rFonts w:ascii="Calibri" w:hAnsi="Calibri"/>
          <w:sz w:val="22"/>
        </w:rPr>
        <w:t>I ran the model as both a single-year allocation and a multi-year simulation: $8 billion per year for 5 years (one BNP term), with impact measured over 20 years. The multi-year model distinguishes between capital policies — one-time investments whose benefits persist for decades — and operational policies requiring continuous funding. Full model parameters, policy data sheets, synergy evidence, and simulation results are provided in the Appendix.</w:t>
      </w:r>
    </w:p>
    <w:p>
      <w:pPr>
        <w:spacing w:after="220" w:before="0" w:line="240" w:lineRule="auto"/>
        <w:jc w:val="left"/>
      </w:pPr>
      <w:r>
        <w:rPr>
          <w:rFonts w:ascii="Calibri" w:hAnsi="Calibri"/>
          <w:sz w:val="22"/>
        </w:rPr>
        <w:t>In a single year, the model closes the entire undernourishment deficit with a 23% resilience buffer, funding 10 of 13 policies (see Table 2). The multi-year simulation reveals that all 11 capital policies can be fully funded within just two years at $11.2 billion total. Over 20 years, capital investments deliver 3.2 times more food security per dollar than operational programs. The model measures impact in the number of people fed. Feeding programs are still essential — they close the immediate caloric gap while infrastructure ramps up — but lasting food security must be built on durable investments, not temporary programs.</w:t>
      </w:r>
    </w:p>
    <w:p>
      <w:pPr>
        <w:spacing w:before="440" w:after="220" w:line="240" w:lineRule="auto"/>
        <w:jc w:val="left"/>
      </w:pPr>
      <w:r>
        <w:rPr>
          <w:rFonts w:ascii="Calibri" w:hAnsi="Calibri"/>
          <w:b/>
          <w:sz w:val="22"/>
        </w:rPr>
        <w:t>MY RECOMMENDATION</w:t>
      </w:r>
    </w:p>
    <w:p>
      <w:pPr>
        <w:spacing w:after="220" w:before="0" w:line="240" w:lineRule="auto"/>
        <w:jc w:val="left"/>
      </w:pPr>
      <w:r>
        <w:rPr>
          <w:rFonts w:ascii="Calibri" w:hAnsi="Calibri"/>
          <w:sz w:val="22"/>
        </w:rPr>
        <w:t>The model’s optimal allocation tells a clear story: invest heavily in permanent infrastructure during years one and two, then maintain direct nutrition programs through year five. The data shows why this sequence matters and what it would mean for the 18 million Bangladeshis currently going hungry.</w:t>
      </w:r>
    </w:p>
    <w:p>
      <w:pPr>
        <w:spacing w:after="220" w:before="0" w:line="240" w:lineRule="auto"/>
        <w:jc w:val="left"/>
      </w:pPr>
      <w:r>
        <w:rPr>
          <w:rFonts w:ascii="Calibri" w:hAnsi="Calibri"/>
          <w:sz w:val="22"/>
        </w:rPr>
        <w:t>In the single-year allocation model, the single largest allocation — $1.8 billion — goes to fortified school feeding. The limitation is that these benefits vanish the moment funding stops. This is why feeding must be paired with capital investments that outlast any single government’s budget. Saline-tolerant rice receives $1.5 billion because it addresses the root cause of hunger along Bangladesh’s 580-kilometer coastline. The model projects 45 million person-years of food security from this single investment over 20 years — the highest long-term return of any policy tested.</w:t>
      </w:r>
    </w:p>
    <w:p>
      <w:pPr>
        <w:spacing w:after="220" w:before="0" w:line="240" w:lineRule="auto"/>
        <w:jc w:val="left"/>
      </w:pPr>
      <w:r>
        <w:rPr>
          <w:rFonts w:ascii="Calibri" w:hAnsi="Calibri"/>
          <w:sz w:val="22"/>
        </w:rPr>
        <w:t>Post-harvest storage ($1.2 billion) targets the most infuriating dimension of Bangladesh’s hunger problem: food that has already been grown but never reaches anyone’s plate. Over 11% of Bangladesh’s rice harvest is currently lost to insects, moisture, and mold during storage — enough to feed approximately 2.3 million people per year. Distributing hermetic storage bags nationwide eliminates a source of food loss that is entirely preventable, producing 38 million person-years of food security at 32,014 people per dollar invested over 20 years — the highest per-dollar efficiency in the model.</w:t>
      </w:r>
    </w:p>
    <w:p>
      <w:pPr>
        <w:spacing w:before="120" w:after="120" w:line="240" w:lineRule="auto"/>
        <w:jc w:val="center"/>
      </w:pPr>
      <w:r>
        <w:rPr>
          <w:rFonts w:ascii="Calibri" w:hAnsi="Calibri"/>
          <w:i/>
          <w:sz w:val="20"/>
        </w:rPr>
        <w:t>Table 2. Single-Year Optimal Policy Allocation ($8.0B Budget)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E2F3" w:val="clear"/>
          </w:tcPr>
          <w:p>
            <w:pPr>
              <w:spacing w:after="40" w:before="40"/>
            </w:pPr>
            <w:r/>
            <w:r>
              <w:rPr>
                <w:rFonts w:ascii="Calibri" w:hAnsi="Calibri"/>
                <w:b/>
                <w:sz w:val="18"/>
              </w:rPr>
              <w:t>Policy</w:t>
            </w:r>
          </w:p>
        </w:tc>
        <w:tc>
          <w:tcPr>
            <w:tcW w:type="dxa" w:w="2340"/>
            <w:shd w:fill="D9E2F3" w:val="clear"/>
          </w:tcPr>
          <w:p>
            <w:pPr>
              <w:spacing w:after="40" w:before="40"/>
            </w:pPr>
            <w:r/>
            <w:r>
              <w:rPr>
                <w:rFonts w:ascii="Calibri" w:hAnsi="Calibri"/>
                <w:b/>
                <w:sz w:val="18"/>
              </w:rPr>
              <w:t>Allocation</w:t>
            </w:r>
          </w:p>
        </w:tc>
        <w:tc>
          <w:tcPr>
            <w:tcW w:type="dxa" w:w="2340"/>
            <w:shd w:fill="D9E2F3" w:val="clear"/>
          </w:tcPr>
          <w:p>
            <w:pPr>
              <w:spacing w:after="40" w:before="40"/>
            </w:pPr>
            <w:r/>
            <w:r>
              <w:rPr>
                <w:rFonts w:ascii="Calibri" w:hAnsi="Calibri"/>
                <w:b/>
                <w:sz w:val="18"/>
              </w:rPr>
              <w:t>People-Equiv</w:t>
            </w:r>
          </w:p>
        </w:tc>
        <w:tc>
          <w:tcPr>
            <w:tcW w:type="dxa" w:w="2340"/>
            <w:shd w:fill="D9E2F3" w:val="clear"/>
          </w:tcPr>
          <w:p>
            <w:pPr>
              <w:spacing w:after="40" w:before="40"/>
            </w:pPr>
            <w:r/>
            <w:r>
              <w:rPr>
                <w:rFonts w:ascii="Calibri" w:hAnsi="Calibri"/>
                <w:b/>
                <w:sz w:val="18"/>
              </w:rPr>
              <w:t>Tags</w:t>
            </w:r>
          </w:p>
        </w:tc>
      </w:tr>
      <w:tr>
        <w:tc>
          <w:tcPr>
            <w:tcW w:type="dxa" w:w="2340"/>
          </w:tcPr>
          <w:p>
            <w:pPr>
              <w:spacing w:after="20" w:before="20"/>
            </w:pPr>
            <w:r/>
            <w:r>
              <w:rPr>
                <w:rFonts w:ascii="Calibri" w:hAnsi="Calibri"/>
                <w:sz w:val="18"/>
              </w:rPr>
              <w:t>Fortified feeding</w:t>
            </w:r>
          </w:p>
        </w:tc>
        <w:tc>
          <w:tcPr>
            <w:tcW w:type="dxa" w:w="2340"/>
          </w:tcPr>
          <w:p>
            <w:pPr>
              <w:spacing w:after="20" w:before="20"/>
            </w:pPr>
            <w:r/>
            <w:r>
              <w:rPr>
                <w:rFonts w:ascii="Calibri" w:hAnsi="Calibri"/>
                <w:sz w:val="18"/>
              </w:rPr>
              <w:t>$1,800M</w:t>
            </w:r>
          </w:p>
        </w:tc>
        <w:tc>
          <w:tcPr>
            <w:tcW w:type="dxa" w:w="2340"/>
          </w:tcPr>
          <w:p>
            <w:pPr>
              <w:spacing w:after="20" w:before="20"/>
            </w:pPr>
            <w:r/>
            <w:r>
              <w:rPr>
                <w:rFonts w:ascii="Calibri" w:hAnsi="Calibri"/>
                <w:sz w:val="18"/>
              </w:rPr>
              <w:t>11,472,365</w:t>
            </w:r>
          </w:p>
        </w:tc>
        <w:tc>
          <w:tcPr>
            <w:tcW w:type="dxa" w:w="2340"/>
          </w:tcPr>
          <w:p>
            <w:pPr>
              <w:spacing w:after="20" w:before="20"/>
            </w:pPr>
            <w:r/>
            <w:r>
              <w:rPr>
                <w:rFonts w:ascii="Calibri" w:hAnsi="Calibri"/>
                <w:sz w:val="18"/>
              </w:rPr>
              <w:t>—</w:t>
            </w:r>
          </w:p>
        </w:tc>
      </w:tr>
      <w:tr>
        <w:tc>
          <w:tcPr>
            <w:tcW w:type="dxa" w:w="2340"/>
          </w:tcPr>
          <w:p>
            <w:pPr>
              <w:spacing w:after="20" w:before="20"/>
            </w:pPr>
            <w:r/>
            <w:r>
              <w:rPr>
                <w:rFonts w:ascii="Calibri" w:hAnsi="Calibri"/>
                <w:sz w:val="18"/>
              </w:rPr>
              <w:t>Saline-tolerant rice</w:t>
            </w:r>
          </w:p>
        </w:tc>
        <w:tc>
          <w:tcPr>
            <w:tcW w:type="dxa" w:w="2340"/>
          </w:tcPr>
          <w:p>
            <w:pPr>
              <w:spacing w:after="20" w:before="20"/>
            </w:pPr>
            <w:r/>
            <w:r>
              <w:rPr>
                <w:rFonts w:ascii="Calibri" w:hAnsi="Calibri"/>
                <w:sz w:val="18"/>
              </w:rPr>
              <w:t>$1,500M</w:t>
            </w:r>
          </w:p>
        </w:tc>
        <w:tc>
          <w:tcPr>
            <w:tcW w:type="dxa" w:w="2340"/>
          </w:tcPr>
          <w:p>
            <w:pPr>
              <w:spacing w:after="20" w:before="20"/>
            </w:pPr>
            <w:r/>
            <w:r>
              <w:rPr>
                <w:rFonts w:ascii="Calibri" w:hAnsi="Calibri"/>
                <w:sz w:val="18"/>
              </w:rPr>
              <w:t>2,964,259</w:t>
            </w:r>
          </w:p>
        </w:tc>
        <w:tc>
          <w:tcPr>
            <w:tcW w:type="dxa" w:w="2340"/>
          </w:tcPr>
          <w:p>
            <w:pPr>
              <w:spacing w:after="20" w:before="20"/>
            </w:pPr>
            <w:r/>
            <w:r>
              <w:rPr>
                <w:rFonts w:ascii="Calibri" w:hAnsi="Calibri"/>
                <w:sz w:val="18"/>
              </w:rPr>
              <w:t>BDP</w:t>
            </w:r>
          </w:p>
        </w:tc>
      </w:tr>
      <w:tr>
        <w:tc>
          <w:tcPr>
            <w:tcW w:type="dxa" w:w="2340"/>
          </w:tcPr>
          <w:p>
            <w:pPr>
              <w:spacing w:after="20" w:before="20"/>
            </w:pPr>
            <w:r/>
            <w:r>
              <w:rPr>
                <w:rFonts w:ascii="Calibri" w:hAnsi="Calibri"/>
                <w:sz w:val="18"/>
              </w:rPr>
              <w:t>Renewable irrigation</w:t>
            </w:r>
          </w:p>
        </w:tc>
        <w:tc>
          <w:tcPr>
            <w:tcW w:type="dxa" w:w="2340"/>
          </w:tcPr>
          <w:p>
            <w:pPr>
              <w:spacing w:after="20" w:before="20"/>
            </w:pPr>
            <w:r/>
            <w:r>
              <w:rPr>
                <w:rFonts w:ascii="Calibri" w:hAnsi="Calibri"/>
                <w:sz w:val="18"/>
              </w:rPr>
              <w:t>$1,200M</w:t>
            </w:r>
          </w:p>
        </w:tc>
        <w:tc>
          <w:tcPr>
            <w:tcW w:type="dxa" w:w="2340"/>
          </w:tcPr>
          <w:p>
            <w:pPr>
              <w:spacing w:after="20" w:before="20"/>
            </w:pPr>
            <w:r/>
            <w:r>
              <w:rPr>
                <w:rFonts w:ascii="Calibri" w:hAnsi="Calibri"/>
                <w:sz w:val="18"/>
              </w:rPr>
              <w:t>1,200,477</w:t>
            </w:r>
          </w:p>
        </w:tc>
        <w:tc>
          <w:tcPr>
            <w:tcW w:type="dxa" w:w="2340"/>
          </w:tcPr>
          <w:p>
            <w:pPr>
              <w:spacing w:after="20" w:before="20"/>
            </w:pPr>
            <w:r/>
            <w:r>
              <w:rPr>
                <w:rFonts w:ascii="Calibri" w:hAnsi="Calibri"/>
                <w:sz w:val="18"/>
              </w:rPr>
              <w:t>BNP</w:t>
            </w:r>
          </w:p>
        </w:tc>
      </w:tr>
      <w:tr>
        <w:tc>
          <w:tcPr>
            <w:tcW w:type="dxa" w:w="2340"/>
          </w:tcPr>
          <w:p>
            <w:pPr>
              <w:spacing w:after="20" w:before="20"/>
            </w:pPr>
            <w:r/>
            <w:r>
              <w:rPr>
                <w:rFonts w:ascii="Calibri" w:hAnsi="Calibri"/>
                <w:sz w:val="18"/>
              </w:rPr>
              <w:t>Post-harvest storage</w:t>
            </w:r>
          </w:p>
        </w:tc>
        <w:tc>
          <w:tcPr>
            <w:tcW w:type="dxa" w:w="2340"/>
          </w:tcPr>
          <w:p>
            <w:pPr>
              <w:spacing w:after="20" w:before="20"/>
            </w:pPr>
            <w:r/>
            <w:r>
              <w:rPr>
                <w:rFonts w:ascii="Calibri" w:hAnsi="Calibri"/>
                <w:sz w:val="18"/>
              </w:rPr>
              <w:t>$1,200M</w:t>
            </w:r>
          </w:p>
        </w:tc>
        <w:tc>
          <w:tcPr>
            <w:tcW w:type="dxa" w:w="2340"/>
          </w:tcPr>
          <w:p>
            <w:pPr>
              <w:spacing w:after="20" w:before="20"/>
            </w:pPr>
            <w:r/>
            <w:r>
              <w:rPr>
                <w:rFonts w:ascii="Calibri" w:hAnsi="Calibri"/>
                <w:sz w:val="18"/>
              </w:rPr>
              <w:t>2,278,814</w:t>
            </w:r>
          </w:p>
        </w:tc>
        <w:tc>
          <w:tcPr>
            <w:tcW w:type="dxa" w:w="2340"/>
          </w:tcPr>
          <w:p>
            <w:pPr>
              <w:spacing w:after="20" w:before="20"/>
            </w:pPr>
            <w:r/>
            <w:r>
              <w:rPr>
                <w:rFonts w:ascii="Calibri" w:hAnsi="Calibri"/>
                <w:sz w:val="18"/>
              </w:rPr>
              <w:t>—</w:t>
            </w:r>
          </w:p>
        </w:tc>
      </w:tr>
      <w:tr>
        <w:tc>
          <w:tcPr>
            <w:tcW w:type="dxa" w:w="2340"/>
          </w:tcPr>
          <w:p>
            <w:pPr>
              <w:spacing w:after="20" w:before="20"/>
            </w:pPr>
            <w:r/>
            <w:r>
              <w:rPr>
                <w:rFonts w:ascii="Calibri" w:hAnsi="Calibri"/>
                <w:sz w:val="18"/>
              </w:rPr>
              <w:t>AWD irrigation</w:t>
            </w:r>
          </w:p>
        </w:tc>
        <w:tc>
          <w:tcPr>
            <w:tcW w:type="dxa" w:w="2340"/>
          </w:tcPr>
          <w:p>
            <w:pPr>
              <w:spacing w:after="20" w:before="20"/>
            </w:pPr>
            <w:r/>
            <w:r>
              <w:rPr>
                <w:rFonts w:ascii="Calibri" w:hAnsi="Calibri"/>
                <w:sz w:val="18"/>
              </w:rPr>
              <w:t>$1,000M</w:t>
            </w:r>
          </w:p>
        </w:tc>
        <w:tc>
          <w:tcPr>
            <w:tcW w:type="dxa" w:w="2340"/>
          </w:tcPr>
          <w:p>
            <w:pPr>
              <w:spacing w:after="20" w:before="20"/>
            </w:pPr>
            <w:r/>
            <w:r>
              <w:rPr>
                <w:rFonts w:ascii="Calibri" w:hAnsi="Calibri"/>
                <w:sz w:val="18"/>
              </w:rPr>
              <w:t>1,871,215</w:t>
            </w:r>
          </w:p>
        </w:tc>
        <w:tc>
          <w:tcPr>
            <w:tcW w:type="dxa" w:w="2340"/>
          </w:tcPr>
          <w:p>
            <w:pPr>
              <w:spacing w:after="20" w:before="20"/>
            </w:pPr>
            <w:r/>
            <w:r>
              <w:rPr>
                <w:rFonts w:ascii="Calibri" w:hAnsi="Calibri"/>
                <w:sz w:val="18"/>
              </w:rPr>
              <w:t>BNP, BDP</w:t>
            </w:r>
          </w:p>
        </w:tc>
      </w:tr>
      <w:tr>
        <w:tc>
          <w:tcPr>
            <w:tcW w:type="dxa" w:w="2340"/>
          </w:tcPr>
          <w:p>
            <w:pPr>
              <w:spacing w:after="20" w:before="20"/>
            </w:pPr>
            <w:r/>
            <w:r>
              <w:rPr>
                <w:rFonts w:ascii="Calibri" w:hAnsi="Calibri"/>
                <w:sz w:val="18"/>
              </w:rPr>
              <w:t>Flood-tolerant rice</w:t>
            </w:r>
          </w:p>
        </w:tc>
        <w:tc>
          <w:tcPr>
            <w:tcW w:type="dxa" w:w="2340"/>
          </w:tcPr>
          <w:p>
            <w:pPr>
              <w:spacing w:after="20" w:before="20"/>
            </w:pPr>
            <w:r/>
            <w:r>
              <w:rPr>
                <w:rFonts w:ascii="Calibri" w:hAnsi="Calibri"/>
                <w:sz w:val="18"/>
              </w:rPr>
              <w:t>$499M</w:t>
            </w:r>
          </w:p>
        </w:tc>
        <w:tc>
          <w:tcPr>
            <w:tcW w:type="dxa" w:w="2340"/>
          </w:tcPr>
          <w:p>
            <w:pPr>
              <w:spacing w:after="20" w:before="20"/>
            </w:pPr>
            <w:r/>
            <w:r>
              <w:rPr>
                <w:rFonts w:ascii="Calibri" w:hAnsi="Calibri"/>
                <w:sz w:val="18"/>
              </w:rPr>
              <w:t>565,935</w:t>
            </w:r>
          </w:p>
        </w:tc>
        <w:tc>
          <w:tcPr>
            <w:tcW w:type="dxa" w:w="2340"/>
          </w:tcPr>
          <w:p>
            <w:pPr>
              <w:spacing w:after="20" w:before="20"/>
            </w:pPr>
            <w:r/>
            <w:r>
              <w:rPr>
                <w:rFonts w:ascii="Calibri" w:hAnsi="Calibri"/>
                <w:sz w:val="18"/>
              </w:rPr>
              <w:t>BDP</w:t>
            </w:r>
          </w:p>
        </w:tc>
      </w:tr>
      <w:tr>
        <w:tc>
          <w:tcPr>
            <w:tcW w:type="dxa" w:w="2340"/>
          </w:tcPr>
          <w:p>
            <w:pPr>
              <w:spacing w:after="20" w:before="20"/>
            </w:pPr>
            <w:r/>
            <w:r>
              <w:rPr>
                <w:rFonts w:ascii="Calibri" w:hAnsi="Calibri"/>
                <w:sz w:val="18"/>
              </w:rPr>
              <w:t>Crop diversification</w:t>
            </w:r>
          </w:p>
        </w:tc>
        <w:tc>
          <w:tcPr>
            <w:tcW w:type="dxa" w:w="2340"/>
          </w:tcPr>
          <w:p>
            <w:pPr>
              <w:spacing w:after="20" w:before="20"/>
            </w:pPr>
            <w:r/>
            <w:r>
              <w:rPr>
                <w:rFonts w:ascii="Calibri" w:hAnsi="Calibri"/>
                <w:sz w:val="18"/>
              </w:rPr>
              <w:t>$200M</w:t>
            </w:r>
          </w:p>
        </w:tc>
        <w:tc>
          <w:tcPr>
            <w:tcW w:type="dxa" w:w="2340"/>
          </w:tcPr>
          <w:p>
            <w:pPr>
              <w:spacing w:after="20" w:before="20"/>
            </w:pPr>
            <w:r/>
            <w:r>
              <w:rPr>
                <w:rFonts w:ascii="Calibri" w:hAnsi="Calibri"/>
                <w:sz w:val="18"/>
              </w:rPr>
              <w:t>152,220</w:t>
            </w:r>
          </w:p>
        </w:tc>
        <w:tc>
          <w:tcPr>
            <w:tcW w:type="dxa" w:w="2340"/>
          </w:tcPr>
          <w:p>
            <w:pPr>
              <w:spacing w:after="20" w:before="20"/>
            </w:pPr>
            <w:r/>
            <w:r>
              <w:rPr>
                <w:rFonts w:ascii="Calibri" w:hAnsi="Calibri"/>
                <w:sz w:val="18"/>
              </w:rPr>
              <w:t>—</w:t>
            </w:r>
          </w:p>
        </w:tc>
      </w:tr>
      <w:tr>
        <w:tc>
          <w:tcPr>
            <w:tcW w:type="dxa" w:w="2340"/>
          </w:tcPr>
          <w:p>
            <w:pPr>
              <w:spacing w:after="20" w:before="20"/>
            </w:pPr>
            <w:r/>
            <w:r>
              <w:rPr>
                <w:rFonts w:ascii="Calibri" w:hAnsi="Calibri"/>
                <w:sz w:val="18"/>
              </w:rPr>
              <w:t>Farmer insurance</w:t>
            </w:r>
          </w:p>
        </w:tc>
        <w:tc>
          <w:tcPr>
            <w:tcW w:type="dxa" w:w="2340"/>
          </w:tcPr>
          <w:p>
            <w:pPr>
              <w:spacing w:after="20" w:before="20"/>
            </w:pPr>
            <w:r/>
            <w:r>
              <w:rPr>
                <w:rFonts w:ascii="Calibri" w:hAnsi="Calibri"/>
                <w:sz w:val="18"/>
              </w:rPr>
              <w:t>$200M</w:t>
            </w:r>
          </w:p>
        </w:tc>
        <w:tc>
          <w:tcPr>
            <w:tcW w:type="dxa" w:w="2340"/>
          </w:tcPr>
          <w:p>
            <w:pPr>
              <w:spacing w:after="20" w:before="20"/>
            </w:pPr>
            <w:r/>
            <w:r>
              <w:rPr>
                <w:rFonts w:ascii="Calibri" w:hAnsi="Calibri"/>
                <w:sz w:val="18"/>
              </w:rPr>
              <w:t>98,995</w:t>
            </w:r>
          </w:p>
        </w:tc>
        <w:tc>
          <w:tcPr>
            <w:tcW w:type="dxa" w:w="2340"/>
          </w:tcPr>
          <w:p>
            <w:pPr>
              <w:spacing w:after="20" w:before="20"/>
            </w:pPr>
            <w:r/>
            <w:r>
              <w:rPr>
                <w:rFonts w:ascii="Calibri" w:hAnsi="Calibri"/>
                <w:sz w:val="18"/>
              </w:rPr>
              <w:t>BNP</w:t>
            </w:r>
          </w:p>
        </w:tc>
      </w:tr>
      <w:tr>
        <w:tc>
          <w:tcPr>
            <w:tcW w:type="dxa" w:w="2340"/>
          </w:tcPr>
          <w:p>
            <w:pPr>
              <w:spacing w:after="20" w:before="20"/>
            </w:pPr>
            <w:r/>
            <w:r>
              <w:rPr>
                <w:rFonts w:ascii="Calibri" w:hAnsi="Calibri"/>
                <w:sz w:val="18"/>
              </w:rPr>
              <w:t>River/canal excavation</w:t>
            </w:r>
          </w:p>
        </w:tc>
        <w:tc>
          <w:tcPr>
            <w:tcW w:type="dxa" w:w="2340"/>
          </w:tcPr>
          <w:p>
            <w:pPr>
              <w:spacing w:after="20" w:before="20"/>
            </w:pPr>
            <w:r/>
            <w:r>
              <w:rPr>
                <w:rFonts w:ascii="Calibri" w:hAnsi="Calibri"/>
                <w:sz w:val="18"/>
              </w:rPr>
              <w:t>$200M</w:t>
            </w:r>
          </w:p>
        </w:tc>
        <w:tc>
          <w:tcPr>
            <w:tcW w:type="dxa" w:w="2340"/>
          </w:tcPr>
          <w:p>
            <w:pPr>
              <w:spacing w:after="20" w:before="20"/>
            </w:pPr>
            <w:r/>
            <w:r>
              <w:rPr>
                <w:rFonts w:ascii="Calibri" w:hAnsi="Calibri"/>
                <w:sz w:val="18"/>
              </w:rPr>
              <w:t>21,860</w:t>
            </w:r>
          </w:p>
        </w:tc>
        <w:tc>
          <w:tcPr>
            <w:tcW w:type="dxa" w:w="2340"/>
          </w:tcPr>
          <w:p>
            <w:pPr>
              <w:spacing w:after="20" w:before="20"/>
            </w:pPr>
            <w:r/>
            <w:r>
              <w:rPr>
                <w:rFonts w:ascii="Calibri" w:hAnsi="Calibri"/>
                <w:sz w:val="18"/>
              </w:rPr>
              <w:t>BNP</w:t>
            </w:r>
          </w:p>
        </w:tc>
      </w:tr>
      <w:tr>
        <w:tc>
          <w:tcPr>
            <w:tcW w:type="dxa" w:w="2340"/>
          </w:tcPr>
          <w:p>
            <w:pPr>
              <w:spacing w:after="20" w:before="20"/>
            </w:pPr>
            <w:r/>
            <w:r>
              <w:rPr>
                <w:rFonts w:ascii="Calibri" w:hAnsi="Calibri"/>
                <w:sz w:val="18"/>
              </w:rPr>
              <w:t>Tree planting</w:t>
            </w:r>
          </w:p>
        </w:tc>
        <w:tc>
          <w:tcPr>
            <w:tcW w:type="dxa" w:w="2340"/>
          </w:tcPr>
          <w:p>
            <w:pPr>
              <w:spacing w:after="20" w:before="20"/>
            </w:pPr>
            <w:r/>
            <w:r>
              <w:rPr>
                <w:rFonts w:ascii="Calibri" w:hAnsi="Calibri"/>
                <w:sz w:val="18"/>
              </w:rPr>
              <w:t>$200M</w:t>
            </w:r>
          </w:p>
        </w:tc>
        <w:tc>
          <w:tcPr>
            <w:tcW w:type="dxa" w:w="2340"/>
          </w:tcPr>
          <w:p>
            <w:pPr>
              <w:spacing w:after="20" w:before="20"/>
            </w:pPr>
            <w:r/>
            <w:r>
              <w:rPr>
                <w:rFonts w:ascii="Calibri" w:hAnsi="Calibri"/>
                <w:sz w:val="18"/>
              </w:rPr>
              <w:t>17,480</w:t>
            </w:r>
          </w:p>
        </w:tc>
        <w:tc>
          <w:tcPr>
            <w:tcW w:type="dxa" w:w="2340"/>
          </w:tcPr>
          <w:p>
            <w:pPr>
              <w:spacing w:after="20" w:before="20"/>
            </w:pPr>
            <w:r/>
            <w:r>
              <w:rPr>
                <w:rFonts w:ascii="Calibri" w:hAnsi="Calibri"/>
                <w:sz w:val="18"/>
              </w:rPr>
              <w:t>BNP</w:t>
            </w:r>
          </w:p>
        </w:tc>
      </w:tr>
      <w:tr>
        <w:tc>
          <w:tcPr>
            <w:tcW w:type="dxa" w:w="2340"/>
          </w:tcPr>
          <w:p>
            <w:pPr>
              <w:spacing w:after="20" w:before="20"/>
            </w:pPr>
            <w:r/>
            <w:r>
              <w:rPr>
                <w:rFonts w:ascii="Calibri" w:hAnsi="Calibri"/>
                <w:sz w:val="18"/>
              </w:rPr>
              <w:t>Base subtotal</w:t>
            </w:r>
          </w:p>
        </w:tc>
        <w:tc>
          <w:tcPr>
            <w:tcW w:type="dxa" w:w="2340"/>
          </w:tcPr>
          <w:p>
            <w:pPr>
              <w:spacing w:after="20" w:before="20"/>
            </w:pPr>
            <w:r/>
            <w:r>
              <w:rPr>
                <w:rFonts w:ascii="Calibri" w:hAnsi="Calibri"/>
                <w:sz w:val="18"/>
              </w:rPr>
              <w:t>$7,999M</w:t>
            </w:r>
          </w:p>
        </w:tc>
        <w:tc>
          <w:tcPr>
            <w:tcW w:type="dxa" w:w="2340"/>
          </w:tcPr>
          <w:p>
            <w:pPr>
              <w:spacing w:after="20" w:before="20"/>
            </w:pPr>
            <w:r/>
            <w:r>
              <w:rPr>
                <w:rFonts w:ascii="Calibri" w:hAnsi="Calibri"/>
                <w:sz w:val="18"/>
              </w:rPr>
              <w:t>20,643,620</w:t>
            </w:r>
          </w:p>
        </w:tc>
        <w:tc>
          <w:tcPr>
            <w:tcW w:type="dxa" w:w="2340"/>
          </w:tcPr>
          <w:p>
            <w:pPr>
              <w:spacing w:after="20" w:before="20"/>
            </w:pPr>
            <w:r/>
            <w:r>
              <w:rPr>
                <w:rFonts w:ascii="Calibri" w:hAnsi="Calibri"/>
                <w:sz w:val="18"/>
              </w:rPr>
            </w:r>
          </w:p>
        </w:tc>
      </w:tr>
      <w:tr>
        <w:tc>
          <w:tcPr>
            <w:tcW w:type="dxa" w:w="2340"/>
          </w:tcPr>
          <w:p>
            <w:pPr>
              <w:spacing w:after="20" w:before="20"/>
            </w:pPr>
            <w:r/>
            <w:r>
              <w:rPr>
                <w:rFonts w:ascii="Calibri" w:hAnsi="Calibri"/>
                <w:sz w:val="18"/>
              </w:rPr>
              <w:t>Synergy bonus</w:t>
            </w:r>
          </w:p>
        </w:tc>
        <w:tc>
          <w:tcPr>
            <w:tcW w:type="dxa" w:w="2340"/>
          </w:tcPr>
          <w:p>
            <w:pPr>
              <w:spacing w:after="20" w:before="20"/>
            </w:pPr>
            <w:r/>
            <w:r>
              <w:rPr>
                <w:rFonts w:ascii="Calibri" w:hAnsi="Calibri"/>
                <w:sz w:val="18"/>
              </w:rPr>
            </w:r>
          </w:p>
        </w:tc>
        <w:tc>
          <w:tcPr>
            <w:tcW w:type="dxa" w:w="2340"/>
          </w:tcPr>
          <w:p>
            <w:pPr>
              <w:spacing w:after="20" w:before="20"/>
            </w:pPr>
            <w:r/>
            <w:r>
              <w:rPr>
                <w:rFonts w:ascii="Calibri" w:hAnsi="Calibri"/>
                <w:sz w:val="18"/>
              </w:rPr>
              <w:t>+1,519,946</w:t>
            </w:r>
          </w:p>
        </w:tc>
        <w:tc>
          <w:tcPr>
            <w:tcW w:type="dxa" w:w="2340"/>
          </w:tcPr>
          <w:p>
            <w:pPr>
              <w:spacing w:after="20" w:before="20"/>
            </w:pPr>
            <w:r/>
            <w:r>
              <w:rPr>
                <w:rFonts w:ascii="Calibri" w:hAnsi="Calibri"/>
                <w:sz w:val="18"/>
              </w:rPr>
            </w:r>
          </w:p>
        </w:tc>
      </w:tr>
      <w:tr>
        <w:tc>
          <w:tcPr>
            <w:tcW w:type="dxa" w:w="2340"/>
          </w:tcPr>
          <w:p>
            <w:pPr>
              <w:spacing w:after="20" w:before="20"/>
            </w:pPr>
            <w:r/>
            <w:r>
              <w:rPr>
                <w:rFonts w:ascii="Calibri" w:hAnsi="Calibri"/>
                <w:sz w:val="18"/>
              </w:rPr>
              <w:t>GRAND TOTAL</w:t>
            </w:r>
          </w:p>
        </w:tc>
        <w:tc>
          <w:tcPr>
            <w:tcW w:type="dxa" w:w="2340"/>
          </w:tcPr>
          <w:p>
            <w:pPr>
              <w:spacing w:after="20" w:before="20"/>
            </w:pPr>
            <w:r/>
            <w:r>
              <w:rPr>
                <w:rFonts w:ascii="Calibri" w:hAnsi="Calibri"/>
                <w:sz w:val="18"/>
              </w:rPr>
              <w:t>$7,999M</w:t>
            </w:r>
          </w:p>
        </w:tc>
        <w:tc>
          <w:tcPr>
            <w:tcW w:type="dxa" w:w="2340"/>
          </w:tcPr>
          <w:p>
            <w:pPr>
              <w:spacing w:after="20" w:before="20"/>
            </w:pPr>
            <w:r/>
            <w:r>
              <w:rPr>
                <w:rFonts w:ascii="Calibri" w:hAnsi="Calibri"/>
                <w:sz w:val="18"/>
              </w:rPr>
              <w:t>22,163,566</w:t>
            </w:r>
          </w:p>
        </w:tc>
        <w:tc>
          <w:tcPr>
            <w:tcW w:type="dxa" w:w="2340"/>
          </w:tcPr>
          <w:p>
            <w:pPr>
              <w:spacing w:after="20" w:before="20"/>
            </w:pPr>
            <w:r/>
            <w:r>
              <w:rPr>
                <w:rFonts w:ascii="Calibri" w:hAnsi="Calibri"/>
                <w:sz w:val="18"/>
              </w:rPr>
            </w:r>
          </w:p>
        </w:tc>
      </w:tr>
    </w:tbl>
    <w:p>
      <w:pPr>
        <w:spacing w:after="120"/>
      </w:pPr>
    </w:p>
    <w:p>
      <w:pPr>
        <w:spacing w:after="220" w:before="0" w:line="240" w:lineRule="auto"/>
        <w:jc w:val="left"/>
      </w:pPr>
      <w:r>
        <w:rPr>
          <w:rFonts w:ascii="Calibri" w:hAnsi="Calibri"/>
          <w:sz w:val="22"/>
        </w:rPr>
        <w:t>The multi-year simulation reveals the most important strategic insight (Figure 2). All 11 capital policies can be fully funded within two years at a total cost of $11.2 billion. After year two, only feeding and insurance require continued spending of $2.8 billion per year. The total investment for the 5 years is $24.4 billion, within Bangladesh’s $8 billion annual budget. During this period, the entire deficit is closed: 24.6 million people-equivalents of food security are generated annually against a target of 18 million, providing a 23% resilience buffer (Table 3). Over 20 years, the model projects 218 million person-years of food security at $112 per person-year — well below the $285 food cost benchmark (WFP, “Bangladesh Market Monitor”).</w:t>
      </w:r>
    </w:p>
    <w:p>
      <w:pPr>
        <w:spacing w:before="120" w:after="80"/>
        <w:jc w:val="center"/>
      </w:pPr>
      <w:r>
        <w:drawing>
          <wp:inline xmlns:a="http://schemas.openxmlformats.org/drawingml/2006/main" xmlns:pic="http://schemas.openxmlformats.org/drawingml/2006/picture">
            <wp:extent cx="5760720" cy="3629632"/>
            <wp:docPr id="2" name="Picture 2"/>
            <wp:cNvGraphicFramePr>
              <a:graphicFrameLocks noChangeAspect="1"/>
            </wp:cNvGraphicFramePr>
            <a:graphic>
              <a:graphicData uri="http://schemas.openxmlformats.org/drawingml/2006/picture">
                <pic:pic>
                  <pic:nvPicPr>
                    <pic:cNvPr id="0" name="allocation_graph.png"/>
                    <pic:cNvPicPr/>
                  </pic:nvPicPr>
                  <pic:blipFill>
                    <a:blip r:embed="rId10"/>
                    <a:stretch>
                      <a:fillRect/>
                    </a:stretch>
                  </pic:blipFill>
                  <pic:spPr>
                    <a:xfrm>
                      <a:off x="0" y="0"/>
                      <a:ext cx="5760720" cy="3629632"/>
                    </a:xfrm>
                    <a:prstGeom prst="rect"/>
                  </pic:spPr>
                </pic:pic>
              </a:graphicData>
            </a:graphic>
          </wp:inline>
        </w:drawing>
      </w:r>
    </w:p>
    <w:p>
      <w:pPr>
        <w:spacing w:before="120" w:after="120" w:line="240" w:lineRule="auto"/>
        <w:jc w:val="center"/>
      </w:pPr>
      <w:r>
        <w:rPr>
          <w:rFonts w:ascii="Calibri" w:hAnsi="Calibri"/>
          <w:i/>
          <w:sz w:val="20"/>
        </w:rPr>
        <w:t>Figure 2. 5-year cumulative investment for all 13 policies.</w:t>
      </w:r>
    </w:p>
    <w:p>
      <w:pPr>
        <w:spacing w:after="220" w:before="0" w:line="240" w:lineRule="auto"/>
        <w:jc w:val="left"/>
      </w:pPr>
      <w:r>
        <w:rPr>
          <w:rFonts w:ascii="Calibri" w:hAnsi="Calibri"/>
          <w:sz w:val="22"/>
        </w:rPr>
        <w:t>The critical finding is what happens in year six, when the BNP’s term ends, and operational budgets become uncertain. Impact drops 51% overnight as feeding and insurance programs lose funding. But capital investments keep producing. At year 20, capital alone still covers 32.3% of the deficit, feeding 5.8 million people from investments made 15 years earlier. This is the central argument for front-loading: a single five-year term of disciplined capital investment creates food security that persists for a generation.</w:t>
      </w:r>
    </w:p>
    <w:p>
      <w:pPr>
        <w:spacing w:before="120" w:after="120" w:line="240" w:lineRule="auto"/>
        <w:jc w:val="center"/>
      </w:pPr>
      <w:r>
        <w:rPr>
          <w:rFonts w:ascii="Calibri" w:hAnsi="Calibri"/>
          <w:i/>
          <w:sz w:val="20"/>
        </w:rPr>
        <w:t>Table 3. 20-Year Impact Trajectory — Capital vs. Operational Policies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D9E2F3" w:val="clear"/>
          </w:tcPr>
          <w:p>
            <w:pPr>
              <w:spacing w:after="40" w:before="40"/>
            </w:pPr>
            <w:r/>
            <w:r>
              <w:rPr>
                <w:rFonts w:ascii="Calibri" w:hAnsi="Calibri"/>
                <w:b/>
                <w:sz w:val="18"/>
              </w:rPr>
              <w:t>Year</w:t>
            </w:r>
          </w:p>
        </w:tc>
        <w:tc>
          <w:tcPr>
            <w:tcW w:type="dxa" w:w="1560"/>
            <w:shd w:fill="D9E2F3" w:val="clear"/>
          </w:tcPr>
          <w:p>
            <w:pPr>
              <w:spacing w:after="40" w:before="40"/>
            </w:pPr>
            <w:r/>
            <w:r>
              <w:rPr>
                <w:rFonts w:ascii="Calibri" w:hAnsi="Calibri"/>
                <w:b/>
                <w:sz w:val="18"/>
              </w:rPr>
              <w:t>Capital</w:t>
            </w:r>
          </w:p>
        </w:tc>
        <w:tc>
          <w:tcPr>
            <w:tcW w:type="dxa" w:w="1560"/>
            <w:shd w:fill="D9E2F3" w:val="clear"/>
          </w:tcPr>
          <w:p>
            <w:pPr>
              <w:spacing w:after="40" w:before="40"/>
            </w:pPr>
            <w:r/>
            <w:r>
              <w:rPr>
                <w:rFonts w:ascii="Calibri" w:hAnsi="Calibri"/>
                <w:b/>
                <w:sz w:val="18"/>
              </w:rPr>
              <w:t>Operational</w:t>
            </w:r>
          </w:p>
        </w:tc>
        <w:tc>
          <w:tcPr>
            <w:tcW w:type="dxa" w:w="1560"/>
            <w:shd w:fill="D9E2F3" w:val="clear"/>
          </w:tcPr>
          <w:p>
            <w:pPr>
              <w:spacing w:after="40" w:before="40"/>
            </w:pPr>
            <w:r/>
            <w:r>
              <w:rPr>
                <w:rFonts w:ascii="Calibri" w:hAnsi="Calibri"/>
                <w:b/>
                <w:sz w:val="18"/>
              </w:rPr>
              <w:t>Synergy</w:t>
            </w:r>
          </w:p>
        </w:tc>
        <w:tc>
          <w:tcPr>
            <w:tcW w:type="dxa" w:w="1560"/>
            <w:shd w:fill="D9E2F3" w:val="clear"/>
          </w:tcPr>
          <w:p>
            <w:pPr>
              <w:spacing w:after="40" w:before="40"/>
            </w:pPr>
            <w:r/>
            <w:r>
              <w:rPr>
                <w:rFonts w:ascii="Calibri" w:hAnsi="Calibri"/>
                <w:b/>
                <w:sz w:val="18"/>
              </w:rPr>
              <w:t>Total</w:t>
            </w:r>
          </w:p>
        </w:tc>
        <w:tc>
          <w:tcPr>
            <w:tcW w:type="dxa" w:w="1560"/>
            <w:shd w:fill="D9E2F3" w:val="clear"/>
          </w:tcPr>
          <w:p>
            <w:pPr>
              <w:spacing w:after="40" w:before="40"/>
            </w:pPr>
            <w:r/>
            <w:r>
              <w:rPr>
                <w:rFonts w:ascii="Calibri" w:hAnsi="Calibri"/>
                <w:b/>
                <w:sz w:val="18"/>
              </w:rPr>
              <w:t>% of Deficit</w:t>
            </w:r>
          </w:p>
        </w:tc>
      </w:tr>
      <w:tr>
        <w:tc>
          <w:tcPr>
            <w:tcW w:type="dxa" w:w="1560"/>
          </w:tcPr>
          <w:p>
            <w:pPr>
              <w:spacing w:after="20" w:before="20"/>
            </w:pPr>
            <w:r/>
            <w:r>
              <w:rPr>
                <w:rFonts w:ascii="Calibri" w:hAnsi="Calibri"/>
                <w:sz w:val="18"/>
              </w:rPr>
              <w:t>1</w:t>
            </w:r>
          </w:p>
        </w:tc>
        <w:tc>
          <w:tcPr>
            <w:tcW w:type="dxa" w:w="1560"/>
          </w:tcPr>
          <w:p>
            <w:pPr>
              <w:spacing w:after="20" w:before="20"/>
            </w:pPr>
            <w:r/>
            <w:r>
              <w:rPr>
                <w:rFonts w:ascii="Calibri" w:hAnsi="Calibri"/>
                <w:sz w:val="18"/>
              </w:rPr>
              <w:t>9,072,260</w:t>
            </w:r>
          </w:p>
        </w:tc>
        <w:tc>
          <w:tcPr>
            <w:tcW w:type="dxa" w:w="1560"/>
          </w:tcPr>
          <w:p>
            <w:pPr>
              <w:spacing w:after="20" w:before="20"/>
            </w:pPr>
            <w:r/>
            <w:r>
              <w:rPr>
                <w:rFonts w:ascii="Calibri" w:hAnsi="Calibri"/>
                <w:sz w:val="18"/>
              </w:rPr>
              <w:t>11,571,360</w:t>
            </w:r>
          </w:p>
        </w:tc>
        <w:tc>
          <w:tcPr>
            <w:tcW w:type="dxa" w:w="1560"/>
          </w:tcPr>
          <w:p>
            <w:pPr>
              <w:spacing w:after="20" w:before="20"/>
            </w:pPr>
            <w:r/>
            <w:r>
              <w:rPr>
                <w:rFonts w:ascii="Calibri" w:hAnsi="Calibri"/>
                <w:sz w:val="18"/>
              </w:rPr>
              <w:t>1,682,768</w:t>
            </w:r>
          </w:p>
        </w:tc>
        <w:tc>
          <w:tcPr>
            <w:tcW w:type="dxa" w:w="1560"/>
          </w:tcPr>
          <w:p>
            <w:pPr>
              <w:spacing w:after="20" w:before="20"/>
            </w:pPr>
            <w:r/>
            <w:r>
              <w:rPr>
                <w:rFonts w:ascii="Calibri" w:hAnsi="Calibri"/>
                <w:sz w:val="18"/>
              </w:rPr>
              <w:t>22,326,387</w:t>
            </w:r>
          </w:p>
        </w:tc>
        <w:tc>
          <w:tcPr>
            <w:tcW w:type="dxa" w:w="1560"/>
          </w:tcPr>
          <w:p>
            <w:pPr>
              <w:spacing w:after="20" w:before="20"/>
            </w:pPr>
            <w:r/>
            <w:r>
              <w:rPr>
                <w:rFonts w:ascii="Calibri" w:hAnsi="Calibri"/>
                <w:sz w:val="18"/>
              </w:rPr>
              <w:t>100%</w:t>
            </w:r>
          </w:p>
        </w:tc>
      </w:tr>
      <w:tr>
        <w:tc>
          <w:tcPr>
            <w:tcW w:type="dxa" w:w="1560"/>
          </w:tcPr>
          <w:p>
            <w:pPr>
              <w:spacing w:after="20" w:before="20"/>
            </w:pPr>
            <w:r/>
            <w:r>
              <w:rPr>
                <w:rFonts w:ascii="Calibri" w:hAnsi="Calibri"/>
                <w:sz w:val="18"/>
              </w:rPr>
              <w:t>2</w:t>
            </w:r>
          </w:p>
        </w:tc>
        <w:tc>
          <w:tcPr>
            <w:tcW w:type="dxa" w:w="1560"/>
          </w:tcPr>
          <w:p>
            <w:pPr>
              <w:spacing w:after="20" w:before="20"/>
            </w:pPr>
            <w:r/>
            <w:r>
              <w:rPr>
                <w:rFonts w:ascii="Calibri" w:hAnsi="Calibri"/>
                <w:sz w:val="18"/>
              </w:rPr>
              <w:t>10,289,472</w:t>
            </w:r>
          </w:p>
        </w:tc>
        <w:tc>
          <w:tcPr>
            <w:tcW w:type="dxa" w:w="1560"/>
          </w:tcPr>
          <w:p>
            <w:pPr>
              <w:spacing w:after="20" w:before="20"/>
            </w:pPr>
            <w:r/>
            <w:r>
              <w:rPr>
                <w:rFonts w:ascii="Calibri" w:hAnsi="Calibri"/>
                <w:sz w:val="18"/>
              </w:rPr>
              <w:t>11,693,724</w:t>
            </w:r>
          </w:p>
        </w:tc>
        <w:tc>
          <w:tcPr>
            <w:tcW w:type="dxa" w:w="1560"/>
          </w:tcPr>
          <w:p>
            <w:pPr>
              <w:spacing w:after="20" w:before="20"/>
            </w:pPr>
            <w:r/>
            <w:r>
              <w:rPr>
                <w:rFonts w:ascii="Calibri" w:hAnsi="Calibri"/>
                <w:sz w:val="18"/>
              </w:rPr>
              <w:t>2,628,528</w:t>
            </w:r>
          </w:p>
        </w:tc>
        <w:tc>
          <w:tcPr>
            <w:tcW w:type="dxa" w:w="1560"/>
          </w:tcPr>
          <w:p>
            <w:pPr>
              <w:spacing w:after="20" w:before="20"/>
            </w:pPr>
            <w:r/>
            <w:r>
              <w:rPr>
                <w:rFonts w:ascii="Calibri" w:hAnsi="Calibri"/>
                <w:sz w:val="18"/>
              </w:rPr>
              <w:t>24,611,724</w:t>
            </w:r>
          </w:p>
        </w:tc>
        <w:tc>
          <w:tcPr>
            <w:tcW w:type="dxa" w:w="1560"/>
          </w:tcPr>
          <w:p>
            <w:pPr>
              <w:spacing w:after="20" w:before="20"/>
            </w:pPr>
            <w:r/>
            <w:r>
              <w:rPr>
                <w:rFonts w:ascii="Calibri" w:hAnsi="Calibri"/>
                <w:sz w:val="18"/>
              </w:rPr>
              <w:t>100%</w:t>
            </w:r>
          </w:p>
        </w:tc>
      </w:tr>
      <w:tr>
        <w:tc>
          <w:tcPr>
            <w:tcW w:type="dxa" w:w="1560"/>
          </w:tcPr>
          <w:p>
            <w:pPr>
              <w:spacing w:after="20" w:before="20"/>
            </w:pPr>
            <w:r/>
            <w:r>
              <w:rPr>
                <w:rFonts w:ascii="Calibri" w:hAnsi="Calibri"/>
                <w:sz w:val="18"/>
              </w:rPr>
              <w:t>3–5</w:t>
            </w:r>
          </w:p>
        </w:tc>
        <w:tc>
          <w:tcPr>
            <w:tcW w:type="dxa" w:w="1560"/>
          </w:tcPr>
          <w:p>
            <w:pPr>
              <w:spacing w:after="20" w:before="20"/>
            </w:pPr>
            <w:r/>
            <w:r>
              <w:rPr>
                <w:rFonts w:ascii="Calibri" w:hAnsi="Calibri"/>
                <w:sz w:val="18"/>
              </w:rPr>
              <w:t>10,289,486</w:t>
            </w:r>
          </w:p>
        </w:tc>
        <w:tc>
          <w:tcPr>
            <w:tcW w:type="dxa" w:w="1560"/>
          </w:tcPr>
          <w:p>
            <w:pPr>
              <w:spacing w:after="20" w:before="20"/>
            </w:pPr>
            <w:r/>
            <w:r>
              <w:rPr>
                <w:rFonts w:ascii="Calibri" w:hAnsi="Calibri"/>
                <w:sz w:val="18"/>
              </w:rPr>
              <w:t>11,693,724</w:t>
            </w:r>
          </w:p>
        </w:tc>
        <w:tc>
          <w:tcPr>
            <w:tcW w:type="dxa" w:w="1560"/>
          </w:tcPr>
          <w:p>
            <w:pPr>
              <w:spacing w:after="20" w:before="20"/>
            </w:pPr>
            <w:r/>
            <w:r>
              <w:rPr>
                <w:rFonts w:ascii="Calibri" w:hAnsi="Calibri"/>
                <w:sz w:val="18"/>
              </w:rPr>
              <w:t>2,628,546</w:t>
            </w:r>
          </w:p>
        </w:tc>
        <w:tc>
          <w:tcPr>
            <w:tcW w:type="dxa" w:w="1560"/>
          </w:tcPr>
          <w:p>
            <w:pPr>
              <w:spacing w:after="20" w:before="20"/>
            </w:pPr>
            <w:r/>
            <w:r>
              <w:rPr>
                <w:rFonts w:ascii="Calibri" w:hAnsi="Calibri"/>
                <w:sz w:val="18"/>
              </w:rPr>
              <w:t>24,611,755</w:t>
            </w:r>
          </w:p>
        </w:tc>
        <w:tc>
          <w:tcPr>
            <w:tcW w:type="dxa" w:w="1560"/>
          </w:tcPr>
          <w:p>
            <w:pPr>
              <w:spacing w:after="20" w:before="20"/>
            </w:pPr>
            <w:r/>
            <w:r>
              <w:rPr>
                <w:rFonts w:ascii="Calibri" w:hAnsi="Calibri"/>
                <w:sz w:val="18"/>
              </w:rPr>
              <w:t>100%</w:t>
            </w:r>
          </w:p>
        </w:tc>
      </w:tr>
      <w:tr>
        <w:tc>
          <w:tcPr>
            <w:tcW w:type="dxa" w:w="1560"/>
          </w:tcPr>
          <w:p>
            <w:pPr>
              <w:spacing w:after="20" w:before="20"/>
            </w:pPr>
            <w:r/>
            <w:r>
              <w:rPr>
                <w:rFonts w:ascii="Calibri" w:hAnsi="Calibri"/>
                <w:sz w:val="18"/>
              </w:rPr>
              <w:t>6</w:t>
            </w:r>
          </w:p>
        </w:tc>
        <w:tc>
          <w:tcPr>
            <w:tcW w:type="dxa" w:w="1560"/>
          </w:tcPr>
          <w:p>
            <w:pPr>
              <w:spacing w:after="20" w:before="20"/>
            </w:pPr>
            <w:r/>
            <w:r>
              <w:rPr>
                <w:rFonts w:ascii="Calibri" w:hAnsi="Calibri"/>
                <w:sz w:val="18"/>
              </w:rPr>
              <w:t>9,833,229</w:t>
            </w:r>
          </w:p>
        </w:tc>
        <w:tc>
          <w:tcPr>
            <w:tcW w:type="dxa" w:w="1560"/>
          </w:tcPr>
          <w:p>
            <w:pPr>
              <w:spacing w:after="20" w:before="20"/>
            </w:pPr>
            <w:r/>
            <w:r>
              <w:rPr>
                <w:rFonts w:ascii="Calibri" w:hAnsi="Calibri"/>
                <w:sz w:val="18"/>
              </w:rPr>
              <w:t>0</w:t>
            </w:r>
          </w:p>
        </w:tc>
        <w:tc>
          <w:tcPr>
            <w:tcW w:type="dxa" w:w="1560"/>
          </w:tcPr>
          <w:p>
            <w:pPr>
              <w:spacing w:after="20" w:before="20"/>
            </w:pPr>
            <w:r/>
            <w:r>
              <w:rPr>
                <w:rFonts w:ascii="Calibri" w:hAnsi="Calibri"/>
                <w:sz w:val="18"/>
              </w:rPr>
              <w:t>2,156,163</w:t>
            </w:r>
          </w:p>
        </w:tc>
        <w:tc>
          <w:tcPr>
            <w:tcW w:type="dxa" w:w="1560"/>
          </w:tcPr>
          <w:p>
            <w:pPr>
              <w:spacing w:after="20" w:before="20"/>
            </w:pPr>
            <w:r/>
            <w:r>
              <w:rPr>
                <w:rFonts w:ascii="Calibri" w:hAnsi="Calibri"/>
                <w:sz w:val="18"/>
              </w:rPr>
              <w:t>11,989,392</w:t>
            </w:r>
          </w:p>
        </w:tc>
        <w:tc>
          <w:tcPr>
            <w:tcW w:type="dxa" w:w="1560"/>
          </w:tcPr>
          <w:p>
            <w:pPr>
              <w:spacing w:after="20" w:before="20"/>
            </w:pPr>
            <w:r/>
            <w:r>
              <w:rPr>
                <w:rFonts w:ascii="Calibri" w:hAnsi="Calibri"/>
                <w:sz w:val="18"/>
              </w:rPr>
              <w:t>66.4%</w:t>
            </w:r>
          </w:p>
        </w:tc>
      </w:tr>
      <w:tr>
        <w:tc>
          <w:tcPr>
            <w:tcW w:type="dxa" w:w="1560"/>
          </w:tcPr>
          <w:p>
            <w:pPr>
              <w:spacing w:after="20" w:before="20"/>
            </w:pPr>
            <w:r/>
            <w:r>
              <w:rPr>
                <w:rFonts w:ascii="Calibri" w:hAnsi="Calibri"/>
                <w:sz w:val="18"/>
              </w:rPr>
              <w:t>7</w:t>
            </w:r>
          </w:p>
        </w:tc>
        <w:tc>
          <w:tcPr>
            <w:tcW w:type="dxa" w:w="1560"/>
          </w:tcPr>
          <w:p>
            <w:pPr>
              <w:spacing w:after="20" w:before="20"/>
            </w:pPr>
            <w:r/>
            <w:r>
              <w:rPr>
                <w:rFonts w:ascii="Calibri" w:hAnsi="Calibri"/>
                <w:sz w:val="18"/>
              </w:rPr>
              <w:t>9,398,700</w:t>
            </w:r>
          </w:p>
        </w:tc>
        <w:tc>
          <w:tcPr>
            <w:tcW w:type="dxa" w:w="1560"/>
          </w:tcPr>
          <w:p>
            <w:pPr>
              <w:spacing w:after="20" w:before="20"/>
            </w:pPr>
            <w:r/>
            <w:r>
              <w:rPr>
                <w:rFonts w:ascii="Calibri" w:hAnsi="Calibri"/>
                <w:sz w:val="18"/>
              </w:rPr>
              <w:t>0</w:t>
            </w:r>
          </w:p>
        </w:tc>
        <w:tc>
          <w:tcPr>
            <w:tcW w:type="dxa" w:w="1560"/>
          </w:tcPr>
          <w:p>
            <w:pPr>
              <w:spacing w:after="20" w:before="20"/>
            </w:pPr>
            <w:r/>
            <w:r>
              <w:rPr>
                <w:rFonts w:ascii="Calibri" w:hAnsi="Calibri"/>
                <w:sz w:val="18"/>
              </w:rPr>
              <w:t>1,948,052</w:t>
            </w:r>
          </w:p>
        </w:tc>
        <w:tc>
          <w:tcPr>
            <w:tcW w:type="dxa" w:w="1560"/>
          </w:tcPr>
          <w:p>
            <w:pPr>
              <w:spacing w:after="20" w:before="20"/>
            </w:pPr>
            <w:r/>
            <w:r>
              <w:rPr>
                <w:rFonts w:ascii="Calibri" w:hAnsi="Calibri"/>
                <w:sz w:val="18"/>
              </w:rPr>
              <w:t>11,346,751</w:t>
            </w:r>
          </w:p>
        </w:tc>
        <w:tc>
          <w:tcPr>
            <w:tcW w:type="dxa" w:w="1560"/>
          </w:tcPr>
          <w:p>
            <w:pPr>
              <w:spacing w:after="20" w:before="20"/>
            </w:pPr>
            <w:r/>
            <w:r>
              <w:rPr>
                <w:rFonts w:ascii="Calibri" w:hAnsi="Calibri"/>
                <w:sz w:val="18"/>
              </w:rPr>
              <w:t>62.9%</w:t>
            </w:r>
          </w:p>
        </w:tc>
      </w:tr>
      <w:tr>
        <w:tc>
          <w:tcPr>
            <w:tcW w:type="dxa" w:w="1560"/>
          </w:tcPr>
          <w:p>
            <w:pPr>
              <w:spacing w:after="20" w:before="20"/>
            </w:pPr>
            <w:r/>
            <w:r>
              <w:rPr>
                <w:rFonts w:ascii="Calibri" w:hAnsi="Calibri"/>
                <w:sz w:val="18"/>
              </w:rPr>
              <w:t>10</w:t>
            </w:r>
          </w:p>
        </w:tc>
        <w:tc>
          <w:tcPr>
            <w:tcW w:type="dxa" w:w="1560"/>
          </w:tcPr>
          <w:p>
            <w:pPr>
              <w:spacing w:after="20" w:before="20"/>
            </w:pPr>
            <w:r/>
            <w:r>
              <w:rPr>
                <w:rFonts w:ascii="Calibri" w:hAnsi="Calibri"/>
                <w:sz w:val="18"/>
              </w:rPr>
              <w:t>8,214,713</w:t>
            </w:r>
          </w:p>
        </w:tc>
        <w:tc>
          <w:tcPr>
            <w:tcW w:type="dxa" w:w="1560"/>
          </w:tcPr>
          <w:p>
            <w:pPr>
              <w:spacing w:after="20" w:before="20"/>
            </w:pPr>
            <w:r/>
            <w:r>
              <w:rPr>
                <w:rFonts w:ascii="Calibri" w:hAnsi="Calibri"/>
                <w:sz w:val="18"/>
              </w:rPr>
              <w:t>0</w:t>
            </w:r>
          </w:p>
        </w:tc>
        <w:tc>
          <w:tcPr>
            <w:tcW w:type="dxa" w:w="1560"/>
          </w:tcPr>
          <w:p>
            <w:pPr>
              <w:spacing w:after="20" w:before="20"/>
            </w:pPr>
            <w:r/>
            <w:r>
              <w:rPr>
                <w:rFonts w:ascii="Calibri" w:hAnsi="Calibri"/>
                <w:sz w:val="18"/>
              </w:rPr>
              <w:t>1,438,207</w:t>
            </w:r>
          </w:p>
        </w:tc>
        <w:tc>
          <w:tcPr>
            <w:tcW w:type="dxa" w:w="1560"/>
          </w:tcPr>
          <w:p>
            <w:pPr>
              <w:spacing w:after="20" w:before="20"/>
            </w:pPr>
            <w:r/>
            <w:r>
              <w:rPr>
                <w:rFonts w:ascii="Calibri" w:hAnsi="Calibri"/>
                <w:sz w:val="18"/>
              </w:rPr>
              <w:t>9,652,919</w:t>
            </w:r>
          </w:p>
        </w:tc>
        <w:tc>
          <w:tcPr>
            <w:tcW w:type="dxa" w:w="1560"/>
          </w:tcPr>
          <w:p>
            <w:pPr>
              <w:spacing w:after="20" w:before="20"/>
            </w:pPr>
            <w:r/>
            <w:r>
              <w:rPr>
                <w:rFonts w:ascii="Calibri" w:hAnsi="Calibri"/>
                <w:sz w:val="18"/>
              </w:rPr>
              <w:t>53.5%</w:t>
            </w:r>
          </w:p>
        </w:tc>
      </w:tr>
      <w:tr>
        <w:tc>
          <w:tcPr>
            <w:tcW w:type="dxa" w:w="1560"/>
          </w:tcPr>
          <w:p>
            <w:pPr>
              <w:spacing w:after="20" w:before="20"/>
            </w:pPr>
            <w:r/>
            <w:r>
              <w:rPr>
                <w:rFonts w:ascii="Calibri" w:hAnsi="Calibri"/>
                <w:sz w:val="18"/>
              </w:rPr>
              <w:t>15</w:t>
            </w:r>
          </w:p>
        </w:tc>
        <w:tc>
          <w:tcPr>
            <w:tcW w:type="dxa" w:w="1560"/>
          </w:tcPr>
          <w:p>
            <w:pPr>
              <w:spacing w:after="20" w:before="20"/>
            </w:pPr>
            <w:r/>
            <w:r>
              <w:rPr>
                <w:rFonts w:ascii="Calibri" w:hAnsi="Calibri"/>
                <w:sz w:val="18"/>
              </w:rPr>
              <w:t>6,583,707</w:t>
            </w:r>
          </w:p>
        </w:tc>
        <w:tc>
          <w:tcPr>
            <w:tcW w:type="dxa" w:w="1560"/>
          </w:tcPr>
          <w:p>
            <w:pPr>
              <w:spacing w:after="20" w:before="20"/>
            </w:pPr>
            <w:r/>
            <w:r>
              <w:rPr>
                <w:rFonts w:ascii="Calibri" w:hAnsi="Calibri"/>
                <w:sz w:val="18"/>
              </w:rPr>
              <w:t>0</w:t>
            </w:r>
          </w:p>
        </w:tc>
        <w:tc>
          <w:tcPr>
            <w:tcW w:type="dxa" w:w="1560"/>
          </w:tcPr>
          <w:p>
            <w:pPr>
              <w:spacing w:after="20" w:before="20"/>
            </w:pPr>
            <w:r/>
            <w:r>
              <w:rPr>
                <w:rFonts w:ascii="Calibri" w:hAnsi="Calibri"/>
                <w:sz w:val="18"/>
              </w:rPr>
              <w:t>870,223</w:t>
            </w:r>
          </w:p>
        </w:tc>
        <w:tc>
          <w:tcPr>
            <w:tcW w:type="dxa" w:w="1560"/>
          </w:tcPr>
          <w:p>
            <w:pPr>
              <w:spacing w:after="20" w:before="20"/>
            </w:pPr>
            <w:r/>
            <w:r>
              <w:rPr>
                <w:rFonts w:ascii="Calibri" w:hAnsi="Calibri"/>
                <w:sz w:val="18"/>
              </w:rPr>
              <w:t>7,453,930</w:t>
            </w:r>
          </w:p>
        </w:tc>
        <w:tc>
          <w:tcPr>
            <w:tcW w:type="dxa" w:w="1560"/>
          </w:tcPr>
          <w:p>
            <w:pPr>
              <w:spacing w:after="20" w:before="20"/>
            </w:pPr>
            <w:r/>
            <w:r>
              <w:rPr>
                <w:rFonts w:ascii="Calibri" w:hAnsi="Calibri"/>
                <w:sz w:val="18"/>
              </w:rPr>
              <w:t>41.3%</w:t>
            </w:r>
          </w:p>
        </w:tc>
      </w:tr>
      <w:tr>
        <w:tc>
          <w:tcPr>
            <w:tcW w:type="dxa" w:w="1560"/>
          </w:tcPr>
          <w:p>
            <w:pPr>
              <w:spacing w:after="20" w:before="20"/>
            </w:pPr>
            <w:r/>
            <w:r>
              <w:rPr>
                <w:rFonts w:ascii="Calibri" w:hAnsi="Calibri"/>
                <w:sz w:val="18"/>
              </w:rPr>
              <w:t>20</w:t>
            </w:r>
          </w:p>
        </w:tc>
        <w:tc>
          <w:tcPr>
            <w:tcW w:type="dxa" w:w="1560"/>
          </w:tcPr>
          <w:p>
            <w:pPr>
              <w:spacing w:after="20" w:before="20"/>
            </w:pPr>
            <w:r/>
            <w:r>
              <w:rPr>
                <w:rFonts w:ascii="Calibri" w:hAnsi="Calibri"/>
                <w:sz w:val="18"/>
              </w:rPr>
              <w:t>5,296,290</w:t>
            </w:r>
          </w:p>
        </w:tc>
        <w:tc>
          <w:tcPr>
            <w:tcW w:type="dxa" w:w="1560"/>
          </w:tcPr>
          <w:p>
            <w:pPr>
              <w:spacing w:after="20" w:before="20"/>
            </w:pPr>
            <w:r/>
            <w:r>
              <w:rPr>
                <w:rFonts w:ascii="Calibri" w:hAnsi="Calibri"/>
                <w:sz w:val="18"/>
              </w:rPr>
              <w:t>0</w:t>
            </w:r>
          </w:p>
        </w:tc>
        <w:tc>
          <w:tcPr>
            <w:tcW w:type="dxa" w:w="1560"/>
          </w:tcPr>
          <w:p>
            <w:pPr>
              <w:spacing w:after="20" w:before="20"/>
            </w:pPr>
            <w:r/>
            <w:r>
              <w:rPr>
                <w:rFonts w:ascii="Calibri" w:hAnsi="Calibri"/>
                <w:sz w:val="18"/>
              </w:rPr>
              <w:t>528,536</w:t>
            </w:r>
          </w:p>
        </w:tc>
        <w:tc>
          <w:tcPr>
            <w:tcW w:type="dxa" w:w="1560"/>
          </w:tcPr>
          <w:p>
            <w:pPr>
              <w:spacing w:after="20" w:before="20"/>
            </w:pPr>
            <w:r/>
            <w:r>
              <w:rPr>
                <w:rFonts w:ascii="Calibri" w:hAnsi="Calibri"/>
                <w:sz w:val="18"/>
              </w:rPr>
              <w:t>5,824,826</w:t>
            </w:r>
          </w:p>
        </w:tc>
        <w:tc>
          <w:tcPr>
            <w:tcW w:type="dxa" w:w="1560"/>
          </w:tcPr>
          <w:p>
            <w:pPr>
              <w:spacing w:after="20" w:before="20"/>
            </w:pPr>
            <w:r/>
            <w:r>
              <w:rPr>
                <w:rFonts w:ascii="Calibri" w:hAnsi="Calibri"/>
                <w:sz w:val="18"/>
              </w:rPr>
              <w:t>32.3%</w:t>
            </w:r>
          </w:p>
        </w:tc>
      </w:tr>
    </w:tbl>
    <w:p>
      <w:pPr>
        <w:spacing w:after="120"/>
      </w:pPr>
    </w:p>
    <w:p>
      <w:pPr>
        <w:spacing w:before="440" w:after="220" w:line="240" w:lineRule="auto"/>
        <w:jc w:val="left"/>
      </w:pPr>
      <w:r>
        <w:rPr>
          <w:rFonts w:ascii="Calibri" w:hAnsi="Calibri"/>
          <w:b/>
          <w:sz w:val="22"/>
        </w:rPr>
        <w:t>CONCLUSION</w:t>
      </w:r>
    </w:p>
    <w:p>
      <w:pPr>
        <w:spacing w:after="220" w:before="0" w:line="240" w:lineRule="auto"/>
        <w:jc w:val="left"/>
      </w:pPr>
      <w:r>
        <w:rPr>
          <w:rFonts w:ascii="Calibri" w:hAnsi="Calibri"/>
          <w:sz w:val="22"/>
        </w:rPr>
        <w:t>Bangladesh was dealt a difficult hand. A very low elevation for most of the country, coupled with the world’s largest river delta and decades of political turmoil, ensures a road of challenges on the way to climate resiliency. However, the model results show that these challenges are solvable. My model demonstrates that $11.2 billion in capital investments over two years can permanently lift 18 million people out of undernourishment, and the benefits persist for a generation — 5.8 million people remain food-secure at year 20 from investments made during a single government term. As we have seen in historical trends, a period of stagnation is not stability — it is accumulated fragility.</w:t>
      </w:r>
    </w:p>
    <w:p>
      <w:pPr>
        <w:spacing w:before="440" w:after="220" w:line="240" w:lineRule="auto"/>
        <w:jc w:val="left"/>
      </w:pPr>
      <w:r>
        <w:rPr>
          <w:rFonts w:ascii="Calibri" w:hAnsi="Calibri"/>
          <w:b/>
          <w:sz w:val="22"/>
        </w:rPr>
        <w:t>ACKNOWLEDGEMENTS</w:t>
      </w:r>
    </w:p>
    <w:p>
      <w:pPr>
        <w:spacing w:after="220" w:before="0" w:line="240" w:lineRule="auto"/>
        <w:jc w:val="left"/>
      </w:pPr>
      <w:r>
        <w:rPr>
          <w:rFonts w:ascii="Calibri" w:hAnsi="Calibri"/>
          <w:sz w:val="22"/>
        </w:rPr>
        <w:t>I am grateful to Professor Hannah Jacobs of Duke University for her guidance and support for this project. I am also grateful to Dr. Eric Monson and Drew Keener for their help in the planning stages. Finally, I am grateful to my parents for supporting me throughout my research exploration process.</w:t>
      </w:r>
    </w:p>
    <w:p>
      <w:r>
        <w:br w:type="page"/>
      </w:r>
    </w:p>
    <w:p>
      <w:pPr>
        <w:spacing w:before="0" w:after="220" w:line="240" w:lineRule="auto"/>
        <w:jc w:val="left"/>
      </w:pPr>
      <w:r>
        <w:rPr>
          <w:rFonts w:ascii="Calibri" w:hAnsi="Calibri"/>
          <w:b/>
          <w:sz w:val="22"/>
        </w:rPr>
        <w:t>WORKS CITED</w:t>
      </w:r>
    </w:p>
    <w:p>
      <w:pPr>
        <w:spacing w:after="120" w:before="0" w:line="240" w:lineRule="auto"/>
        <w:ind w:left="720" w:hanging="720"/>
      </w:pPr>
      <w:r>
        <w:rPr>
          <w:rFonts w:ascii="Calibri" w:hAnsi="Calibri"/>
          <w:sz w:val="20"/>
        </w:rPr>
        <w:t>Ahmed, Sharif, and Humnath Bhandari. “Diversifying Cropping for Sustainable Farming: Challenges and Opportunities in Bangladesh.” Rice Today, International Rice Research Institute, ricetoday.irri.org/diversifying-cropping-for-sustainable-farming-challenges-and-opportunities-in-bangladesh/. Accessed 6 Mar. 2026.</w:t>
      </w:r>
    </w:p>
    <w:p>
      <w:pPr>
        <w:spacing w:after="120" w:before="0" w:line="240" w:lineRule="auto"/>
        <w:ind w:left="720" w:hanging="720"/>
      </w:pPr>
      <w:r>
        <w:rPr>
          <w:rFonts w:ascii="Calibri" w:hAnsi="Calibri"/>
          <w:sz w:val="20"/>
        </w:rPr>
        <w:t>“Average Household Size — Bangladesh.” ArcGIS, Esri, www.arcgis.com/home/item.html?id=692cee7e5a5e47dd86531ab0c6a00cff. Accessed 6 Mar. 2026.</w:t>
      </w:r>
    </w:p>
    <w:p>
      <w:pPr>
        <w:spacing w:after="120" w:before="0" w:line="240" w:lineRule="auto"/>
        <w:ind w:left="720" w:hanging="720"/>
      </w:pPr>
      <w:r>
        <w:rPr>
          <w:rFonts w:ascii="Calibri" w:hAnsi="Calibri"/>
          <w:sz w:val="20"/>
        </w:rPr>
        <w:t>“Average Salary in Bangladesh.” Wage Indicator Foundation, wage.is/bangladesh/. Accessed 6 Mar. 2026.</w:t>
      </w:r>
    </w:p>
    <w:p>
      <w:pPr>
        <w:spacing w:after="120" w:before="0" w:line="240" w:lineRule="auto"/>
        <w:ind w:left="720" w:hanging="720"/>
      </w:pPr>
      <w:r>
        <w:rPr>
          <w:rFonts w:ascii="Calibri" w:hAnsi="Calibri"/>
          <w:sz w:val="20"/>
        </w:rPr>
        <w:t>Bangladesh Meteorological Department. “Monsoon Rainfall.” BMD, www.bmd.gov.bd/p/Monsoon-Rainfall. Accessed 6 Mar. 2026.</w:t>
      </w:r>
    </w:p>
    <w:p>
      <w:pPr>
        <w:spacing w:after="120" w:before="0" w:line="240" w:lineRule="auto"/>
        <w:ind w:left="720" w:hanging="720"/>
      </w:pPr>
      <w:r>
        <w:rPr>
          <w:rFonts w:ascii="Calibri" w:hAnsi="Calibri"/>
          <w:sz w:val="20"/>
        </w:rPr>
        <w:t>“Bangladesh Agricultural Insurance Solutions Appraisal Technical Report.” World Bank, documents.worldbank.org/en/publication/documents-reports/documentdetail/418491545057956149/bangladesh-agricultural-insurance-solutions-appraisal-technical-report. Accessed 6 Mar. 2026.</w:t>
      </w:r>
    </w:p>
    <w:p>
      <w:pPr>
        <w:spacing w:after="120" w:before="0" w:line="240" w:lineRule="auto"/>
        <w:ind w:left="720" w:hanging="720"/>
      </w:pPr>
      <w:r>
        <w:rPr>
          <w:rFonts w:ascii="Calibri" w:hAnsi="Calibri"/>
          <w:sz w:val="20"/>
        </w:rPr>
        <w:t>“Bangladesh GDP (2025).” Worldometer, www.worldometers.info/gdp/bangladesh-gdp/. Accessed 6 Mar. 2026.</w:t>
      </w:r>
    </w:p>
    <w:p>
      <w:pPr>
        <w:spacing w:after="120" w:before="0" w:line="240" w:lineRule="auto"/>
        <w:ind w:left="720" w:hanging="720"/>
      </w:pPr>
      <w:r>
        <w:rPr>
          <w:rFonts w:ascii="Calibri" w:hAnsi="Calibri"/>
          <w:sz w:val="20"/>
        </w:rPr>
        <w:t>“Bangladesh Market Monitor — April 2024.” World Food Programme, Apr. 2024, www.wfp.org/publications/wfp-bangladesh-market-monitor.</w:t>
      </w:r>
    </w:p>
    <w:p>
      <w:pPr>
        <w:spacing w:after="120" w:before="0" w:line="240" w:lineRule="auto"/>
        <w:ind w:left="720" w:hanging="720"/>
      </w:pPr>
      <w:r>
        <w:rPr>
          <w:rFonts w:ascii="Calibri" w:hAnsi="Calibri"/>
          <w:sz w:val="20"/>
        </w:rPr>
        <w:t>“Bangladesh School Feeding USDA McGovern-Dole Grant (2020–2023) Evaluation.” World Food Programme, www.wfp.org/publications/bangladesh-school-feeding-usda-mcgovern-dole-grant-2020-2023-evaluation. Accessed 6 Mar. 2026.</w:t>
      </w:r>
    </w:p>
    <w:p>
      <w:pPr>
        <w:spacing w:after="120" w:before="0" w:line="240" w:lineRule="auto"/>
        <w:ind w:left="720" w:hanging="720"/>
      </w:pPr>
      <w:r>
        <w:rPr>
          <w:rFonts w:ascii="Calibri" w:hAnsi="Calibri"/>
          <w:sz w:val="20"/>
        </w:rPr>
        <w:t>“Bangladesh vs. North Carolina Size Comparison.” MapFight, mapfight.xyz/compare/bd-vs-us.nc/. Accessed 6 Mar. 2026.</w:t>
      </w:r>
    </w:p>
    <w:p>
      <w:pPr>
        <w:spacing w:after="120" w:before="0" w:line="240" w:lineRule="auto"/>
        <w:ind w:left="720" w:hanging="720"/>
      </w:pPr>
      <w:r>
        <w:rPr>
          <w:rFonts w:ascii="Calibri" w:hAnsi="Calibri"/>
          <w:sz w:val="20"/>
        </w:rPr>
        <w:t>“Bangladesh’s Climate Resilience Hinges on Tripling Delta Plan Budget.” The Daily Ittefaq, en.ittefaq.com.bd/13253/bangladesh%E2%80%99s-climate-resilience-hinges-on-tripling. Accessed 6 Mar. 2026.</w:t>
      </w:r>
    </w:p>
    <w:p>
      <w:pPr>
        <w:spacing w:after="120" w:before="0" w:line="240" w:lineRule="auto"/>
        <w:ind w:left="720" w:hanging="720"/>
      </w:pPr>
      <w:r>
        <w:rPr>
          <w:rFonts w:ascii="Calibri" w:hAnsi="Calibri"/>
          <w:sz w:val="20"/>
        </w:rPr>
        <w:t>“BD’s 17% Areas Might Be Submerged, 30% of Farmland Lost by 2050.” The Financial Express, 1 Oct. 2024, today.thefinancialexpress.com.bd/metro-news/bds-17pc-areas-might-be-submerged-30pc-of-farm-land-lost-by-2050-1727721385.</w:t>
      </w:r>
    </w:p>
    <w:p>
      <w:pPr>
        <w:spacing w:after="120" w:before="0" w:line="240" w:lineRule="auto"/>
        <w:ind w:left="720" w:hanging="720"/>
      </w:pPr>
      <w:r>
        <w:rPr>
          <w:rFonts w:ascii="Calibri" w:hAnsi="Calibri"/>
          <w:sz w:val="20"/>
        </w:rPr>
        <w:t>“Corruption Perceptions Index 2024.” Transparency International, 11 Feb. 2025, www.transparency.org/en/cpi/2024/index/bgd.</w:t>
      </w:r>
    </w:p>
    <w:p>
      <w:pPr>
        <w:spacing w:after="120" w:before="0" w:line="240" w:lineRule="auto"/>
        <w:ind w:left="720" w:hanging="720"/>
      </w:pPr>
      <w:r>
        <w:rPr>
          <w:rFonts w:ascii="Calibri" w:hAnsi="Calibri"/>
          <w:sz w:val="20"/>
        </w:rPr>
        <w:t>“Country Nutrition Profiles: Bangladesh.” Global Nutrition Report, PATH, globalnutritionreport.org/resources/nutrition-profiles/asia/southern-asia/bangladesh/. Accessed 6 Mar. 2026.</w:t>
      </w:r>
    </w:p>
    <w:p>
      <w:pPr>
        <w:spacing w:after="120" w:before="0" w:line="240" w:lineRule="auto"/>
        <w:ind w:left="720" w:hanging="720"/>
      </w:pPr>
      <w:r>
        <w:rPr>
          <w:rFonts w:ascii="Calibri" w:hAnsi="Calibri"/>
          <w:sz w:val="20"/>
        </w:rPr>
        <w:t>“Drinking Water and Sanitation Facilities in Rural Bangladesh.” The Financial Express, thefinancialexpress.com.bd/views/views/drinking-water-and-sanitation-facilities-in-rural-bangladesh-1633533122. Accessed 6 Mar. 2026.</w:t>
      </w:r>
    </w:p>
    <w:p>
      <w:pPr>
        <w:spacing w:after="120" w:before="0" w:line="240" w:lineRule="auto"/>
        <w:ind w:left="720" w:hanging="720"/>
      </w:pPr>
      <w:r>
        <w:rPr>
          <w:rFonts w:ascii="Calibri" w:hAnsi="Calibri"/>
          <w:sz w:val="20"/>
        </w:rPr>
        <w:t>“Effectiveness of Hermetic Bag Storage for On-Farm Storage of Maize and Rice.” ASABE, elibrary.asabe.org/abstract.asp?JID=5&amp;AID=47946&amp;T=1. Accessed 6 Mar. 2026.</w:t>
      </w:r>
    </w:p>
    <w:p>
      <w:pPr>
        <w:spacing w:after="120" w:before="0" w:line="240" w:lineRule="auto"/>
        <w:ind w:left="720" w:hanging="720"/>
      </w:pPr>
      <w:r>
        <w:rPr>
          <w:rFonts w:ascii="Calibri" w:hAnsi="Calibri"/>
          <w:sz w:val="20"/>
        </w:rPr>
        <w:t>“Energizing Finance: Clean Cooking in Bangladesh.” Sustainable Energy for All, 19 Nov. 2020, www.seforall.org/publications/energizing-finance-understanding-the-landscape-2020/energizing-finance-clean-cooking-in-bangladesh.</w:t>
      </w:r>
    </w:p>
    <w:p>
      <w:pPr>
        <w:spacing w:after="120" w:before="0" w:line="240" w:lineRule="auto"/>
        <w:ind w:left="720" w:hanging="720"/>
      </w:pPr>
      <w:r>
        <w:rPr>
          <w:rFonts w:ascii="Calibri" w:hAnsi="Calibri"/>
          <w:sz w:val="20"/>
        </w:rPr>
        <w:t>“The Extreme Poverty in Bangladesh: An Overview.” BRAC University, dspace.bracu.ac.bd/xmlui/bitstream/handle/10361/12503/Title-1%20The%20Extreme%20Poverty%20in%20Bangladesh%20An%20Overview.pdf.</w:t>
      </w:r>
    </w:p>
    <w:p>
      <w:pPr>
        <w:spacing w:after="120" w:before="0" w:line="240" w:lineRule="auto"/>
        <w:ind w:left="720" w:hanging="720"/>
      </w:pPr>
      <w:r>
        <w:rPr>
          <w:rFonts w:ascii="Calibri" w:hAnsi="Calibri"/>
          <w:sz w:val="20"/>
        </w:rPr>
        <w:t>“The Farmers Who Till the Harsh Coastal Lands of Bangladesh and the Salt-Tolerant Rice Varieties That Changed Their Story.” CGIAR, www.cgiar.org/news-events/news/the-farmers-who-till-the-harsh-coastal-lands-of-bangladesh-and-the-salt-tolerant-rice-varieties-that-changed-their-story/. Accessed 6 Mar. 2026.</w:t>
      </w:r>
    </w:p>
    <w:p>
      <w:pPr>
        <w:spacing w:after="120" w:before="0" w:line="240" w:lineRule="auto"/>
        <w:ind w:left="720" w:hanging="720"/>
      </w:pPr>
      <w:r>
        <w:rPr>
          <w:rFonts w:ascii="Calibri" w:hAnsi="Calibri"/>
          <w:sz w:val="20"/>
        </w:rPr>
        <w:t>“Flood Management — Bangladesh Case Study.” World Bank, www.floodmanagement.info/publications/casestudies/cs_bangladesh_full.pdf. Accessed 6 Mar. 2026.</w:t>
      </w:r>
    </w:p>
    <w:p>
      <w:pPr>
        <w:spacing w:after="120" w:before="0" w:line="240" w:lineRule="auto"/>
        <w:ind w:left="720" w:hanging="720"/>
      </w:pPr>
      <w:r>
        <w:rPr>
          <w:rFonts w:ascii="Calibri" w:hAnsi="Calibri"/>
          <w:sz w:val="20"/>
        </w:rPr>
        <w:t>“Flood-Tolerant Rice Improves Climate Resilience, Profitability, and Household Consumption in Bangladesh.” CGIAR, cgspace.cgiar.org/items/b67df9fe-d69a-4fc6-85bc-8789d0d1c4a0. Accessed 6 Mar. 2026.</w:t>
      </w:r>
    </w:p>
    <w:p>
      <w:pPr>
        <w:spacing w:after="120" w:before="0" w:line="240" w:lineRule="auto"/>
        <w:ind w:left="720" w:hanging="720"/>
      </w:pPr>
      <w:r>
        <w:rPr>
          <w:rFonts w:ascii="Calibri" w:hAnsi="Calibri"/>
          <w:sz w:val="20"/>
        </w:rPr>
        <w:t>Food and Agriculture Organization of the United Nations. “Prevalence of Undernourishment (% of Population).” FAOSTAT, www.fao.org/faostat/en/#data/FS. Accessed 6 Mar. 2026.</w:t>
      </w:r>
    </w:p>
    <w:p>
      <w:pPr>
        <w:spacing w:after="120" w:before="0" w:line="240" w:lineRule="auto"/>
        <w:ind w:left="720" w:hanging="720"/>
      </w:pPr>
      <w:r>
        <w:rPr>
          <w:rFonts w:ascii="Calibri" w:hAnsi="Calibri"/>
          <w:sz w:val="20"/>
        </w:rPr>
        <w:t>“Government of Bangladesh.” Facts and Details, factsanddetails.com/south-asia/Bangladesh/Government_Justice_Military_Bangladesh/entry-8191.html. Accessed 6 Mar. 2026.</w:t>
      </w:r>
    </w:p>
    <w:p>
      <w:pPr>
        <w:spacing w:after="120" w:before="0" w:line="240" w:lineRule="auto"/>
        <w:ind w:left="720" w:hanging="720"/>
      </w:pPr>
      <w:r>
        <w:rPr>
          <w:rFonts w:ascii="Calibri" w:hAnsi="Calibri"/>
          <w:sz w:val="20"/>
        </w:rPr>
        <w:t>Grantham Research Institute on Climate Change and the Environment. Tackling Flooding in Bangladesh in a Changing Climate. London School of Economics, 2023.</w:t>
      </w:r>
    </w:p>
    <w:p>
      <w:pPr>
        <w:spacing w:after="120" w:before="0" w:line="240" w:lineRule="auto"/>
        <w:ind w:left="720" w:hanging="720"/>
      </w:pPr>
      <w:r>
        <w:rPr>
          <w:rFonts w:ascii="Calibri" w:hAnsi="Calibri"/>
          <w:sz w:val="20"/>
        </w:rPr>
        <w:t>“Hindu Kush Himalaya Glaciers Losing Ice at Double the Rate since 2000, New ICIMOD Report Confirms.” ICIMOD, 21 Mar. 2026, www.icimod.org/press-releases/hindu-kush-himalaya-glaciers-losing-ice-at-double-the-rate-since-2000-new-icimod-report-confirm/.</w:t>
      </w:r>
    </w:p>
    <w:p>
      <w:pPr>
        <w:spacing w:after="120" w:before="0" w:line="240" w:lineRule="auto"/>
        <w:ind w:left="720" w:hanging="720"/>
      </w:pPr>
      <w:r>
        <w:rPr>
          <w:rFonts w:ascii="Calibri" w:hAnsi="Calibri"/>
          <w:sz w:val="20"/>
        </w:rPr>
        <w:t>Hossain, Sajjad, and Md. Abbas. “BNP Promises a Govt Answerable Directly to Citizens.” The Daily Star, 7 Feb. 2026, www.thedailystar.net/news/national-election-2026/news/bnp-promises-govt-answerable-directly-citizens-4099891.</w:t>
      </w:r>
    </w:p>
    <w:p>
      <w:pPr>
        <w:spacing w:after="120" w:before="0" w:line="240" w:lineRule="auto"/>
        <w:ind w:left="720" w:hanging="720"/>
      </w:pPr>
      <w:r>
        <w:rPr>
          <w:rFonts w:ascii="Calibri" w:hAnsi="Calibri"/>
          <w:sz w:val="20"/>
        </w:rPr>
        <w:t>“How the Climate Crisis Is Impacting Bangladesh.” The Climate Reality Project, www.climaterealityproject.org/blog/how-climate-crisis-impacting-bangladesh. Accessed 6 Mar. 2026.</w:t>
      </w:r>
    </w:p>
    <w:p>
      <w:pPr>
        <w:spacing w:after="120" w:before="0" w:line="240" w:lineRule="auto"/>
        <w:ind w:left="720" w:hanging="720"/>
      </w:pPr>
      <w:r>
        <w:rPr>
          <w:rFonts w:ascii="Calibri" w:hAnsi="Calibri"/>
          <w:sz w:val="20"/>
        </w:rPr>
        <w:t>“Humanitarian Response Plan for Cyclone and Monsoon Floods in Bangladesh, June 2024 to March 2025.” United Nations Bangladesh, 26 Sept. 2024, bangladesh.un.org/en/279755-humanitarian-response-plan-cyclone-and-monsoon-floods-bangladesh-june-2024-march-2025.</w:t>
      </w:r>
    </w:p>
    <w:p>
      <w:pPr>
        <w:spacing w:after="120" w:before="0" w:line="240" w:lineRule="auto"/>
        <w:ind w:left="720" w:hanging="720"/>
      </w:pPr>
      <w:r>
        <w:rPr>
          <w:rFonts w:ascii="Calibri" w:hAnsi="Calibri"/>
          <w:sz w:val="20"/>
        </w:rPr>
        <w:t>“Hundred-Year Storm Tides Will Occur Every Few Decades in Bangladesh, Scientists Report.” ScienceDaily, 11 Apr. 2025, www.sciencedaily.com/releases/2025/04/250411175457.htm.</w:t>
      </w:r>
    </w:p>
    <w:p>
      <w:pPr>
        <w:spacing w:after="120" w:before="0" w:line="240" w:lineRule="auto"/>
        <w:ind w:left="720" w:hanging="720"/>
      </w:pPr>
      <w:r>
        <w:rPr>
          <w:rFonts w:ascii="Calibri" w:hAnsi="Calibri"/>
          <w:sz w:val="20"/>
        </w:rPr>
        <w:t>Immigration and Refugee Board of Canada. Bangladesh: Bangladesh Nationalist Party (BNP), Including Its Structure, Leaders, Membership. U.S. Department of Justice, 2015, www.justice.gov/sites/default/files/pages/attachments/2015/10/20/bgd105262.e.pdf.</w:t>
      </w:r>
    </w:p>
    <w:p>
      <w:pPr>
        <w:spacing w:after="120" w:before="0" w:line="240" w:lineRule="auto"/>
        <w:ind w:left="720" w:hanging="720"/>
      </w:pPr>
      <w:r>
        <w:rPr>
          <w:rFonts w:ascii="Calibri" w:hAnsi="Calibri"/>
          <w:sz w:val="20"/>
        </w:rPr>
        <w:t>Jihan, Md. Akik Tanjil, et al. “Climate Change Scenario in Bangladesh: Historical Data Analysis and Future Projection Based on CMIP6 Model.” Scientific Reports, vol. 15, 2025, article 7856, doi:10.1038/s41598-024-81250-z.</w:t>
      </w:r>
    </w:p>
    <w:p>
      <w:pPr>
        <w:spacing w:after="120" w:before="0" w:line="240" w:lineRule="auto"/>
        <w:ind w:left="720" w:hanging="720"/>
      </w:pPr>
      <w:r>
        <w:rPr>
          <w:rFonts w:ascii="Calibri" w:hAnsi="Calibri"/>
          <w:sz w:val="20"/>
        </w:rPr>
        <w:t>Mahmud, Lubaba. “Bangladesh at a Turning Point: Climate Commitments Amid Political Change.” Spheres of Influence, 1 June 2025, spheresofinfluence.ca/bangladesh-at-a-turning-point-climate-commitments-amid-political-change/.</w:t>
      </w:r>
    </w:p>
    <w:p>
      <w:pPr>
        <w:spacing w:after="120" w:before="0" w:line="240" w:lineRule="auto"/>
        <w:ind w:left="720" w:hanging="720"/>
      </w:pPr>
      <w:r>
        <w:rPr>
          <w:rFonts w:ascii="Calibri" w:hAnsi="Calibri"/>
          <w:sz w:val="20"/>
        </w:rPr>
        <w:t>Nahr, M. Samin Sajid. “Bangladesh Up 7 Notches on Economic Freedom Index, Score Unchanged.” The Business Standard, 28 Feb. 2024.</w:t>
      </w:r>
    </w:p>
    <w:p>
      <w:pPr>
        <w:spacing w:after="120" w:before="0" w:line="240" w:lineRule="auto"/>
        <w:ind w:left="720" w:hanging="720"/>
      </w:pPr>
      <w:r>
        <w:rPr>
          <w:rFonts w:ascii="Calibri" w:hAnsi="Calibri"/>
          <w:sz w:val="20"/>
        </w:rPr>
        <w:t>Notre Dame Global Adaptation Initiative. “ND-GAIN Country Index Data.” University of Notre Dame, gain.nd.edu/our-work/country-index/download-data/. Accessed 6 Mar. 2026.</w:t>
      </w:r>
    </w:p>
    <w:p>
      <w:pPr>
        <w:spacing w:after="120" w:before="0" w:line="240" w:lineRule="auto"/>
        <w:ind w:left="720" w:hanging="720"/>
      </w:pPr>
      <w:r>
        <w:rPr>
          <w:rFonts w:ascii="Calibri" w:hAnsi="Calibri"/>
          <w:sz w:val="20"/>
        </w:rPr>
        <w:t>“Per Capita Caloric Intake in Bangladesh.” The Business Standard. Accessed 6 Mar. 2026.</w:t>
      </w:r>
    </w:p>
    <w:p>
      <w:pPr>
        <w:spacing w:after="120" w:before="0" w:line="240" w:lineRule="auto"/>
        <w:ind w:left="720" w:hanging="720"/>
      </w:pPr>
      <w:r>
        <w:rPr>
          <w:rFonts w:ascii="Calibri" w:hAnsi="Calibri"/>
          <w:sz w:val="20"/>
        </w:rPr>
        <w:t>“Rapid Himalayan Ice Melt Puts Bangladesh at Risk: UN.” The Business Standard. Accessed 2026.</w:t>
      </w:r>
    </w:p>
    <w:p>
      <w:pPr>
        <w:spacing w:after="120" w:before="0" w:line="240" w:lineRule="auto"/>
        <w:ind w:left="720" w:hanging="720"/>
      </w:pPr>
      <w:r>
        <w:rPr>
          <w:rFonts w:ascii="Calibri" w:hAnsi="Calibri"/>
          <w:sz w:val="20"/>
        </w:rPr>
        <w:t>“Rising Sea Level: Challenges Ahead for Bangladesh.” International Centre for Climate Change and Development, icccad.net/blog/rising-sea-level-challenges-ahead-for-bangladesh/. Accessed 6 Mar. 2026.</w:t>
      </w:r>
    </w:p>
    <w:p>
      <w:pPr>
        <w:spacing w:after="120" w:before="0" w:line="240" w:lineRule="auto"/>
        <w:ind w:left="720" w:hanging="720"/>
      </w:pPr>
      <w:r>
        <w:rPr>
          <w:rFonts w:ascii="Calibri" w:hAnsi="Calibri"/>
          <w:sz w:val="20"/>
        </w:rPr>
        <w:t>Ritchie, Hannah. “Access to Clean Cooking Fuels in Bangladesh Is Far Lower Than in Its Asian Neighbors.” Our World in Data, 3 Oct. 2025.</w:t>
      </w:r>
    </w:p>
    <w:p>
      <w:pPr>
        <w:spacing w:after="120" w:before="0" w:line="240" w:lineRule="auto"/>
        <w:ind w:left="720" w:hanging="720"/>
      </w:pPr>
      <w:r>
        <w:rPr>
          <w:rFonts w:ascii="Calibri" w:hAnsi="Calibri"/>
          <w:sz w:val="20"/>
        </w:rPr>
        <w:t>Roome, John. “Implementing Bangladesh Delta Plan 2100: Key to Boost Economic Growth.” World Bank Blogs, 9 June 2021.</w:t>
      </w:r>
    </w:p>
    <w:p>
      <w:pPr>
        <w:spacing w:after="120" w:before="0" w:line="240" w:lineRule="auto"/>
        <w:ind w:left="720" w:hanging="720"/>
      </w:pPr>
      <w:r>
        <w:rPr>
          <w:rFonts w:ascii="Calibri" w:hAnsi="Calibri"/>
          <w:sz w:val="20"/>
        </w:rPr>
        <w:t>“Saving Water: Alternate Wetting and Drying (AWD).” IRRI Rice Knowledge Bank. Accessed 6 Mar. 2026.</w:t>
      </w:r>
    </w:p>
    <w:p>
      <w:pPr>
        <w:spacing w:after="120" w:before="0" w:line="240" w:lineRule="auto"/>
        <w:ind w:left="720" w:hanging="720"/>
      </w:pPr>
      <w:r>
        <w:rPr>
          <w:rFonts w:ascii="Calibri" w:hAnsi="Calibri"/>
          <w:sz w:val="20"/>
        </w:rPr>
        <w:t>“Silent Killer: Saltwater Threatens Women’s Health in Coastal Bangladesh.” Global Health Now, May 2024.</w:t>
      </w:r>
    </w:p>
    <w:p>
      <w:pPr>
        <w:spacing w:after="120" w:before="0" w:line="240" w:lineRule="auto"/>
        <w:ind w:left="720" w:hanging="720"/>
      </w:pPr>
      <w:r>
        <w:rPr>
          <w:rFonts w:ascii="Calibri" w:hAnsi="Calibri"/>
          <w:sz w:val="20"/>
        </w:rPr>
        <w:t>United Nations Food Systems Summit. National Pathway: Bangladesh. United Nations Food Systems Hub, 2025.</w:t>
      </w:r>
    </w:p>
    <w:p>
      <w:pPr>
        <w:spacing w:after="120" w:before="0" w:line="240" w:lineRule="auto"/>
        <w:ind w:left="720" w:hanging="720"/>
      </w:pPr>
      <w:r>
        <w:rPr>
          <w:rFonts w:ascii="Calibri" w:hAnsi="Calibri"/>
          <w:sz w:val="20"/>
        </w:rPr>
        <w:t>Victora, Cesar G., et al. “Maternal and Child Undernutrition: Consequences for Adult Health and Human Capital.” The Lancet, vol. 371, no. 9609, 2008, pp. 340–57.</w:t>
      </w:r>
    </w:p>
    <w:p>
      <w:pPr>
        <w:spacing w:after="120" w:before="0" w:line="240" w:lineRule="auto"/>
        <w:ind w:left="720" w:hanging="720"/>
      </w:pPr>
      <w:r>
        <w:rPr>
          <w:rFonts w:ascii="Calibri" w:hAnsi="Calibri"/>
          <w:sz w:val="20"/>
        </w:rPr>
        <w:t>“World Bank Supports Bangladesh in Flood Risk Reduction and Recovery.” World Bank, 14 May 2025.</w:t>
      </w:r>
    </w:p>
    <w:p>
      <w:pPr>
        <w:spacing w:after="120" w:before="0" w:line="240" w:lineRule="auto"/>
        <w:ind w:left="720" w:hanging="720"/>
      </w:pPr>
      <w:r>
        <w:rPr>
          <w:rFonts w:ascii="Calibri" w:hAnsi="Calibri"/>
          <w:sz w:val="20"/>
        </w:rPr>
        <w:t>World Bank. “Population, Total for Bangladesh.” FRED, Federal Reserve Bank of St. Louis. Accessed 6 Mar. 2026.</w:t>
      </w:r>
    </w:p>
    <w:p>
      <w:r>
        <w:br w:type="page"/>
      </w:r>
    </w:p>
    <w:p>
      <w:pPr>
        <w:spacing w:after="320" w:before="0" w:line="240" w:lineRule="auto"/>
        <w:jc w:val="center"/>
      </w:pPr>
      <w:r>
        <w:rPr>
          <w:rFonts w:ascii="Calibri" w:hAnsi="Calibri"/>
          <w:b/>
          <w:i w:val="0"/>
          <w:sz w:val="26"/>
        </w:rPr>
        <w:t>Appendix — Policy Optimization Model: Full Data and Methodology</w:t>
      </w:r>
    </w:p>
    <w:p>
      <w:pPr>
        <w:spacing w:before="320" w:after="160" w:line="240" w:lineRule="auto"/>
        <w:jc w:val="left"/>
      </w:pPr>
      <w:r>
        <w:rPr>
          <w:rFonts w:ascii="Calibri" w:hAnsi="Calibri"/>
          <w:b/>
          <w:sz w:val="22"/>
        </w:rPr>
        <w:t>A. Model 1: Global Regression</w:t>
      </w:r>
    </w:p>
    <w:p>
      <w:pPr>
        <w:spacing w:after="220" w:before="0" w:line="240" w:lineRule="auto"/>
        <w:jc w:val="left"/>
      </w:pPr>
      <w:r>
        <w:rPr>
          <w:rFonts w:ascii="Calibri" w:hAnsi="Calibri"/>
          <w:sz w:val="22"/>
        </w:rPr>
        <w:t>Equation: Undernourishment (%) = −22.03 + 75.65 × Climate Vulnerability</w:t>
      </w:r>
    </w:p>
    <w:p>
      <w:pPr>
        <w:spacing w:after="220" w:before="0" w:line="240" w:lineRule="auto"/>
        <w:jc w:val="left"/>
      </w:pPr>
      <w:r>
        <w:rPr>
          <w:rFonts w:ascii="Calibri" w:hAnsi="Calibri"/>
          <w:sz w:val="22"/>
        </w:rPr>
        <w:t>Data: 131 countries with complete data for all 8 variables (2022 or the latest available year).</w:t>
      </w:r>
    </w:p>
    <w:p>
      <w:pPr>
        <w:spacing w:after="220" w:before="0" w:line="240" w:lineRule="auto"/>
        <w:jc w:val="left"/>
      </w:pPr>
      <w:r>
        <w:rPr>
          <w:rFonts w:ascii="Calibri" w:hAnsi="Calibri"/>
          <w:sz w:val="22"/>
        </w:rPr>
        <w:t>Sources: ND-GAIN Country Index (University of Notre Dame); FAOSTAT Suite of Food Security Indicators (FAO); World Bank World Development Indicators; EM-DAT International Disaster Database; Our World in Data.</w:t>
      </w:r>
    </w:p>
    <w:p>
      <w:pPr>
        <w:spacing w:after="220" w:before="0" w:line="240" w:lineRule="auto"/>
        <w:jc w:val="left"/>
      </w:pPr>
      <w:r>
        <w:rPr>
          <w:rFonts w:ascii="Calibri" w:hAnsi="Calibri"/>
          <w:sz w:val="22"/>
        </w:rPr>
        <w:t>Key result: R² = 0.48. Climate vulnerability alone explains 48% of the variation in undernourishment rates across 131 countries. Bangladesh’s predicted undernourishment is 21%, but actual is 11.9% — an adaptation buffer of 9.1 percentage points.</w:t>
      </w:r>
    </w:p>
    <w:p>
      <w:pPr>
        <w:spacing w:before="320" w:after="160" w:line="240" w:lineRule="auto"/>
        <w:jc w:val="left"/>
      </w:pPr>
      <w:r>
        <w:rPr>
          <w:rFonts w:ascii="Calibri" w:hAnsi="Calibri"/>
          <w:b/>
          <w:sz w:val="22"/>
        </w:rPr>
        <w:t>B. Model 2: Policy Optimization — 13 Policies Tested</w:t>
      </w:r>
    </w:p>
    <w:p>
      <w:pPr>
        <w:spacing w:before="320" w:after="160" w:line="240" w:lineRule="auto"/>
        <w:jc w:val="left"/>
      </w:pPr>
      <w:r>
        <w:rPr>
          <w:rFonts w:ascii="Calibri" w:hAnsi="Calibri"/>
          <w:b/>
          <w:sz w:val="22"/>
        </w:rPr>
        <w:t>B.1 Policy List with Cost-Effectiveness Data</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D9E2F3" w:val="clear"/>
          </w:tcPr>
          <w:p>
            <w:pPr>
              <w:spacing w:after="40" w:before="40"/>
            </w:pPr>
            <w:r/>
            <w:r>
              <w:rPr>
                <w:rFonts w:ascii="Calibri" w:hAnsi="Calibri"/>
                <w:b/>
                <w:sz w:val="18"/>
              </w:rPr>
              <w:t>#</w:t>
            </w:r>
          </w:p>
        </w:tc>
        <w:tc>
          <w:tcPr>
            <w:tcW w:type="dxa" w:w="1170"/>
            <w:shd w:fill="D9E2F3" w:val="clear"/>
          </w:tcPr>
          <w:p>
            <w:pPr>
              <w:spacing w:after="40" w:before="40"/>
            </w:pPr>
            <w:r/>
            <w:r>
              <w:rPr>
                <w:rFonts w:ascii="Calibri" w:hAnsi="Calibri"/>
                <w:b/>
                <w:sz w:val="18"/>
              </w:rPr>
              <w:t>Policy</w:t>
            </w:r>
          </w:p>
        </w:tc>
        <w:tc>
          <w:tcPr>
            <w:tcW w:type="dxa" w:w="1170"/>
            <w:shd w:fill="D9E2F3" w:val="clear"/>
          </w:tcPr>
          <w:p>
            <w:pPr>
              <w:spacing w:after="40" w:before="40"/>
            </w:pPr>
            <w:r/>
            <w:r>
              <w:rPr>
                <w:rFonts w:ascii="Calibri" w:hAnsi="Calibri"/>
                <w:b/>
                <w:sz w:val="18"/>
              </w:rPr>
              <w:t>Category</w:t>
            </w:r>
          </w:p>
        </w:tc>
        <w:tc>
          <w:tcPr>
            <w:tcW w:type="dxa" w:w="1170"/>
            <w:shd w:fill="D9E2F3" w:val="clear"/>
          </w:tcPr>
          <w:p>
            <w:pPr>
              <w:spacing w:after="40" w:before="40"/>
            </w:pPr>
            <w:r/>
            <w:r>
              <w:rPr>
                <w:rFonts w:ascii="Calibri" w:hAnsi="Calibri"/>
                <w:b/>
                <w:sz w:val="18"/>
              </w:rPr>
              <w:t>Cost Basis</w:t>
            </w:r>
          </w:p>
        </w:tc>
        <w:tc>
          <w:tcPr>
            <w:tcW w:type="dxa" w:w="1170"/>
            <w:shd w:fill="D9E2F3" w:val="clear"/>
          </w:tcPr>
          <w:p>
            <w:pPr>
              <w:spacing w:after="40" w:before="40"/>
            </w:pPr>
            <w:r/>
            <w:r>
              <w:rPr>
                <w:rFonts w:ascii="Calibri" w:hAnsi="Calibri"/>
                <w:b/>
                <w:sz w:val="18"/>
              </w:rPr>
              <w:t>Impact Basis</w:t>
            </w:r>
          </w:p>
        </w:tc>
        <w:tc>
          <w:tcPr>
            <w:tcW w:type="dxa" w:w="1170"/>
            <w:shd w:fill="D9E2F3" w:val="clear"/>
          </w:tcPr>
          <w:p>
            <w:pPr>
              <w:spacing w:after="40" w:before="40"/>
            </w:pPr>
            <w:r/>
            <w:r>
              <w:rPr>
                <w:rFonts w:ascii="Calibri" w:hAnsi="Calibri"/>
                <w:b/>
                <w:sz w:val="18"/>
              </w:rPr>
              <w:t>Max ($M)</w:t>
            </w:r>
          </w:p>
        </w:tc>
        <w:tc>
          <w:tcPr>
            <w:tcW w:type="dxa" w:w="1170"/>
            <w:shd w:fill="D9E2F3" w:val="clear"/>
          </w:tcPr>
          <w:p>
            <w:pPr>
              <w:spacing w:after="40" w:before="40"/>
            </w:pPr>
            <w:r/>
            <w:r>
              <w:rPr>
                <w:rFonts w:ascii="Calibri" w:hAnsi="Calibri"/>
                <w:b/>
                <w:sz w:val="18"/>
              </w:rPr>
              <w:t>b</w:t>
            </w:r>
          </w:p>
        </w:tc>
        <w:tc>
          <w:tcPr>
            <w:tcW w:type="dxa" w:w="1170"/>
            <w:shd w:fill="D9E2F3" w:val="clear"/>
          </w:tcPr>
          <w:p>
            <w:pPr>
              <w:spacing w:after="40" w:before="40"/>
            </w:pPr>
            <w:r/>
            <w:r>
              <w:rPr>
                <w:rFonts w:ascii="Calibri" w:hAnsi="Calibri"/>
                <w:b/>
                <w:sz w:val="18"/>
              </w:rPr>
              <w:t>Sources</w:t>
            </w:r>
          </w:p>
        </w:tc>
      </w:tr>
      <w:tr>
        <w:tc>
          <w:tcPr>
            <w:tcW w:type="dxa" w:w="1170"/>
          </w:tcPr>
          <w:p>
            <w:pPr>
              <w:spacing w:after="20" w:before="20"/>
            </w:pPr>
            <w:r/>
            <w:r>
              <w:rPr>
                <w:rFonts w:ascii="Calibri" w:hAnsi="Calibri"/>
                <w:sz w:val="18"/>
              </w:rPr>
              <w:t>1</w:t>
            </w:r>
          </w:p>
        </w:tc>
        <w:tc>
          <w:tcPr>
            <w:tcW w:type="dxa" w:w="1170"/>
          </w:tcPr>
          <w:p>
            <w:pPr>
              <w:spacing w:after="20" w:before="20"/>
            </w:pPr>
            <w:r/>
            <w:r>
              <w:rPr>
                <w:rFonts w:ascii="Calibri" w:hAnsi="Calibri"/>
                <w:sz w:val="18"/>
              </w:rPr>
              <w:t>Fortified rice &amp; school feeding</w:t>
            </w:r>
          </w:p>
        </w:tc>
        <w:tc>
          <w:tcPr>
            <w:tcW w:type="dxa" w:w="1170"/>
          </w:tcPr>
          <w:p>
            <w:pPr>
              <w:spacing w:after="20" w:before="20"/>
            </w:pPr>
            <w:r/>
            <w:r>
              <w:rPr>
                <w:rFonts w:ascii="Calibri" w:hAnsi="Calibri"/>
                <w:sz w:val="18"/>
              </w:rPr>
              <w:t>Direct nutrition</w:t>
            </w:r>
          </w:p>
        </w:tc>
        <w:tc>
          <w:tcPr>
            <w:tcW w:type="dxa" w:w="1170"/>
          </w:tcPr>
          <w:p>
            <w:pPr>
              <w:spacing w:after="20" w:before="20"/>
            </w:pPr>
            <w:r/>
            <w:r>
              <w:rPr>
                <w:rFonts w:ascii="Calibri" w:hAnsi="Calibri"/>
                <w:sz w:val="18"/>
              </w:rPr>
              <w:t>$0.12/child/day</w:t>
            </w:r>
          </w:p>
        </w:tc>
        <w:tc>
          <w:tcPr>
            <w:tcW w:type="dxa" w:w="1170"/>
          </w:tcPr>
          <w:p>
            <w:pPr>
              <w:spacing w:after="20" w:before="20"/>
            </w:pPr>
            <w:r/>
            <w:r>
              <w:rPr>
                <w:rFonts w:ascii="Calibri" w:hAnsi="Calibri"/>
                <w:sz w:val="18"/>
              </w:rPr>
              <w:t>Enrollment +4.2%, dropout −7.5%</w:t>
            </w:r>
          </w:p>
        </w:tc>
        <w:tc>
          <w:tcPr>
            <w:tcW w:type="dxa" w:w="1170"/>
          </w:tcPr>
          <w:p>
            <w:pPr>
              <w:spacing w:after="20" w:before="20"/>
            </w:pPr>
            <w:r/>
            <w:r>
              <w:rPr>
                <w:rFonts w:ascii="Calibri" w:hAnsi="Calibri"/>
                <w:sz w:val="18"/>
              </w:rPr>
              <w:t>1,800</w:t>
            </w:r>
          </w:p>
        </w:tc>
        <w:tc>
          <w:tcPr>
            <w:tcW w:type="dxa" w:w="1170"/>
          </w:tcPr>
          <w:p>
            <w:pPr>
              <w:spacing w:after="20" w:before="20"/>
            </w:pPr>
            <w:r/>
            <w:r>
              <w:rPr>
                <w:rFonts w:ascii="Calibri" w:hAnsi="Calibri"/>
                <w:sz w:val="18"/>
              </w:rPr>
              <w:t>0.80</w:t>
            </w:r>
          </w:p>
        </w:tc>
        <w:tc>
          <w:tcPr>
            <w:tcW w:type="dxa" w:w="1170"/>
          </w:tcPr>
          <w:p>
            <w:pPr>
              <w:spacing w:after="20" w:before="20"/>
            </w:pPr>
            <w:r/>
            <w:r>
              <w:rPr>
                <w:rFonts w:ascii="Calibri" w:hAnsi="Calibri"/>
                <w:sz w:val="18"/>
              </w:rPr>
              <w:t>WFP eval; PLOS One</w:t>
            </w:r>
          </w:p>
        </w:tc>
      </w:tr>
      <w:tr>
        <w:tc>
          <w:tcPr>
            <w:tcW w:type="dxa" w:w="1170"/>
          </w:tcPr>
          <w:p>
            <w:pPr>
              <w:spacing w:after="20" w:before="20"/>
            </w:pPr>
            <w:r/>
            <w:r>
              <w:rPr>
                <w:rFonts w:ascii="Calibri" w:hAnsi="Calibri"/>
                <w:sz w:val="18"/>
              </w:rPr>
              <w:t>2</w:t>
            </w:r>
          </w:p>
        </w:tc>
        <w:tc>
          <w:tcPr>
            <w:tcW w:type="dxa" w:w="1170"/>
          </w:tcPr>
          <w:p>
            <w:pPr>
              <w:spacing w:after="20" w:before="20"/>
            </w:pPr>
            <w:r/>
            <w:r>
              <w:rPr>
                <w:rFonts w:ascii="Calibri" w:hAnsi="Calibri"/>
                <w:sz w:val="18"/>
              </w:rPr>
              <w:t>Saline-tolerant rice</w:t>
            </w:r>
          </w:p>
        </w:tc>
        <w:tc>
          <w:tcPr>
            <w:tcW w:type="dxa" w:w="1170"/>
          </w:tcPr>
          <w:p>
            <w:pPr>
              <w:spacing w:after="20" w:before="20"/>
            </w:pPr>
            <w:r/>
            <w:r>
              <w:rPr>
                <w:rFonts w:ascii="Calibri" w:hAnsi="Calibri"/>
                <w:sz w:val="18"/>
              </w:rPr>
              <w:t>Production</w:t>
            </w:r>
          </w:p>
        </w:tc>
        <w:tc>
          <w:tcPr>
            <w:tcW w:type="dxa" w:w="1170"/>
          </w:tcPr>
          <w:p>
            <w:pPr>
              <w:spacing w:after="20" w:before="20"/>
            </w:pPr>
            <w:r/>
            <w:r>
              <w:rPr>
                <w:rFonts w:ascii="Calibri" w:hAnsi="Calibri"/>
                <w:sz w:val="18"/>
              </w:rPr>
              <w:t>~$5,000/farm</w:t>
            </w:r>
          </w:p>
        </w:tc>
        <w:tc>
          <w:tcPr>
            <w:tcW w:type="dxa" w:w="1170"/>
          </w:tcPr>
          <w:p>
            <w:pPr>
              <w:spacing w:after="20" w:before="20"/>
            </w:pPr>
            <w:r/>
            <w:r>
              <w:rPr>
                <w:rFonts w:ascii="Calibri" w:hAnsi="Calibri"/>
                <w:sz w:val="18"/>
              </w:rPr>
              <w:t>+2 tons/ha in saline zones</w:t>
            </w:r>
          </w:p>
        </w:tc>
        <w:tc>
          <w:tcPr>
            <w:tcW w:type="dxa" w:w="1170"/>
          </w:tcPr>
          <w:p>
            <w:pPr>
              <w:spacing w:after="20" w:before="20"/>
            </w:pPr>
            <w:r/>
            <w:r>
              <w:rPr>
                <w:rFonts w:ascii="Calibri" w:hAnsi="Calibri"/>
                <w:sz w:val="18"/>
              </w:rPr>
              <w:t>1,500</w:t>
            </w:r>
          </w:p>
        </w:tc>
        <w:tc>
          <w:tcPr>
            <w:tcW w:type="dxa" w:w="1170"/>
          </w:tcPr>
          <w:p>
            <w:pPr>
              <w:spacing w:after="20" w:before="20"/>
            </w:pPr>
            <w:r/>
            <w:r>
              <w:rPr>
                <w:rFonts w:ascii="Calibri" w:hAnsi="Calibri"/>
                <w:sz w:val="18"/>
              </w:rPr>
              <w:t>0.80</w:t>
            </w:r>
          </w:p>
        </w:tc>
        <w:tc>
          <w:tcPr>
            <w:tcW w:type="dxa" w:w="1170"/>
          </w:tcPr>
          <w:p>
            <w:pPr>
              <w:spacing w:after="20" w:before="20"/>
            </w:pPr>
            <w:r/>
            <w:r>
              <w:rPr>
                <w:rFonts w:ascii="Calibri" w:hAnsi="Calibri"/>
                <w:sz w:val="18"/>
              </w:rPr>
              <w:t>CGIAR; PLOS One</w:t>
            </w:r>
          </w:p>
        </w:tc>
      </w:tr>
      <w:tr>
        <w:tc>
          <w:tcPr>
            <w:tcW w:type="dxa" w:w="1170"/>
          </w:tcPr>
          <w:p>
            <w:pPr>
              <w:spacing w:after="20" w:before="20"/>
            </w:pPr>
            <w:r/>
            <w:r>
              <w:rPr>
                <w:rFonts w:ascii="Calibri" w:hAnsi="Calibri"/>
                <w:sz w:val="18"/>
              </w:rPr>
              <w:t>3</w:t>
            </w:r>
          </w:p>
        </w:tc>
        <w:tc>
          <w:tcPr>
            <w:tcW w:type="dxa" w:w="1170"/>
          </w:tcPr>
          <w:p>
            <w:pPr>
              <w:spacing w:after="20" w:before="20"/>
            </w:pPr>
            <w:r/>
            <w:r>
              <w:rPr>
                <w:rFonts w:ascii="Calibri" w:hAnsi="Calibri"/>
                <w:sz w:val="18"/>
              </w:rPr>
              <w:t>Post-harvest storage</w:t>
            </w:r>
          </w:p>
        </w:tc>
        <w:tc>
          <w:tcPr>
            <w:tcW w:type="dxa" w:w="1170"/>
          </w:tcPr>
          <w:p>
            <w:pPr>
              <w:spacing w:after="20" w:before="20"/>
            </w:pPr>
            <w:r/>
            <w:r>
              <w:rPr>
                <w:rFonts w:ascii="Calibri" w:hAnsi="Calibri"/>
                <w:sz w:val="18"/>
              </w:rPr>
              <w:t>Production</w:t>
            </w:r>
          </w:p>
        </w:tc>
        <w:tc>
          <w:tcPr>
            <w:tcW w:type="dxa" w:w="1170"/>
          </w:tcPr>
          <w:p>
            <w:pPr>
              <w:spacing w:after="20" w:before="20"/>
            </w:pPr>
            <w:r/>
            <w:r>
              <w:rPr>
                <w:rFonts w:ascii="Calibri" w:hAnsi="Calibri"/>
                <w:sz w:val="18"/>
              </w:rPr>
              <w:t>Recovered in 1 harvest</w:t>
            </w:r>
          </w:p>
        </w:tc>
        <w:tc>
          <w:tcPr>
            <w:tcW w:type="dxa" w:w="1170"/>
          </w:tcPr>
          <w:p>
            <w:pPr>
              <w:spacing w:after="20" w:before="20"/>
            </w:pPr>
            <w:r/>
            <w:r>
              <w:rPr>
                <w:rFonts w:ascii="Calibri" w:hAnsi="Calibri"/>
                <w:sz w:val="18"/>
              </w:rPr>
              <w:t>Losses 11.38% → 0.92%</w:t>
            </w:r>
          </w:p>
        </w:tc>
        <w:tc>
          <w:tcPr>
            <w:tcW w:type="dxa" w:w="1170"/>
          </w:tcPr>
          <w:p>
            <w:pPr>
              <w:spacing w:after="20" w:before="20"/>
            </w:pPr>
            <w:r/>
            <w:r>
              <w:rPr>
                <w:rFonts w:ascii="Calibri" w:hAnsi="Calibri"/>
                <w:sz w:val="18"/>
              </w:rPr>
              <w:t>1,200</w:t>
            </w:r>
          </w:p>
        </w:tc>
        <w:tc>
          <w:tcPr>
            <w:tcW w:type="dxa" w:w="1170"/>
          </w:tcPr>
          <w:p>
            <w:pPr>
              <w:spacing w:after="20" w:before="20"/>
            </w:pPr>
            <w:r/>
            <w:r>
              <w:rPr>
                <w:rFonts w:ascii="Calibri" w:hAnsi="Calibri"/>
                <w:sz w:val="18"/>
              </w:rPr>
              <w:t>0.70</w:t>
            </w:r>
          </w:p>
        </w:tc>
        <w:tc>
          <w:tcPr>
            <w:tcW w:type="dxa" w:w="1170"/>
          </w:tcPr>
          <w:p>
            <w:pPr>
              <w:spacing w:after="20" w:before="20"/>
            </w:pPr>
            <w:r/>
            <w:r>
              <w:rPr>
                <w:rFonts w:ascii="Calibri" w:hAnsi="Calibri"/>
                <w:sz w:val="18"/>
              </w:rPr>
              <w:t>ASABE hermetic bag</w:t>
            </w:r>
          </w:p>
        </w:tc>
      </w:tr>
      <w:tr>
        <w:tc>
          <w:tcPr>
            <w:tcW w:type="dxa" w:w="1170"/>
          </w:tcPr>
          <w:p>
            <w:pPr>
              <w:spacing w:after="20" w:before="20"/>
            </w:pPr>
            <w:r/>
            <w:r>
              <w:rPr>
                <w:rFonts w:ascii="Calibri" w:hAnsi="Calibri"/>
                <w:sz w:val="18"/>
              </w:rPr>
              <w:t>4</w:t>
            </w:r>
          </w:p>
        </w:tc>
        <w:tc>
          <w:tcPr>
            <w:tcW w:type="dxa" w:w="1170"/>
          </w:tcPr>
          <w:p>
            <w:pPr>
              <w:spacing w:after="20" w:before="20"/>
            </w:pPr>
            <w:r/>
            <w:r>
              <w:rPr>
                <w:rFonts w:ascii="Calibri" w:hAnsi="Calibri"/>
                <w:sz w:val="18"/>
              </w:rPr>
              <w:t>AWD irrigation</w:t>
            </w:r>
          </w:p>
        </w:tc>
        <w:tc>
          <w:tcPr>
            <w:tcW w:type="dxa" w:w="1170"/>
          </w:tcPr>
          <w:p>
            <w:pPr>
              <w:spacing w:after="20" w:before="20"/>
            </w:pPr>
            <w:r/>
            <w:r>
              <w:rPr>
                <w:rFonts w:ascii="Calibri" w:hAnsi="Calibri"/>
                <w:sz w:val="18"/>
              </w:rPr>
              <w:t>Production</w:t>
            </w:r>
          </w:p>
        </w:tc>
        <w:tc>
          <w:tcPr>
            <w:tcW w:type="dxa" w:w="1170"/>
          </w:tcPr>
          <w:p>
            <w:pPr>
              <w:spacing w:after="20" w:before="20"/>
            </w:pPr>
            <w:r/>
            <w:r>
              <w:rPr>
                <w:rFonts w:ascii="Calibri" w:hAnsi="Calibri"/>
                <w:sz w:val="18"/>
              </w:rPr>
              <w:t>$67–97/ha</w:t>
            </w:r>
          </w:p>
        </w:tc>
        <w:tc>
          <w:tcPr>
            <w:tcW w:type="dxa" w:w="1170"/>
          </w:tcPr>
          <w:p>
            <w:pPr>
              <w:spacing w:after="20" w:before="20"/>
            </w:pPr>
            <w:r/>
            <w:r>
              <w:rPr>
                <w:rFonts w:ascii="Calibri" w:hAnsi="Calibri"/>
                <w:sz w:val="18"/>
              </w:rPr>
              <w:t>+500 kg/ha; 27% water savings</w:t>
            </w:r>
          </w:p>
        </w:tc>
        <w:tc>
          <w:tcPr>
            <w:tcW w:type="dxa" w:w="1170"/>
          </w:tcPr>
          <w:p>
            <w:pPr>
              <w:spacing w:after="20" w:before="20"/>
            </w:pPr>
            <w:r/>
            <w:r>
              <w:rPr>
                <w:rFonts w:ascii="Calibri" w:hAnsi="Calibri"/>
                <w:sz w:val="18"/>
              </w:rPr>
              <w:t>1,000</w:t>
            </w:r>
          </w:p>
        </w:tc>
        <w:tc>
          <w:tcPr>
            <w:tcW w:type="dxa" w:w="1170"/>
          </w:tcPr>
          <w:p>
            <w:pPr>
              <w:spacing w:after="20" w:before="20"/>
            </w:pPr>
            <w:r/>
            <w:r>
              <w:rPr>
                <w:rFonts w:ascii="Calibri" w:hAnsi="Calibri"/>
                <w:sz w:val="18"/>
              </w:rPr>
              <w:t>0.70</w:t>
            </w:r>
          </w:p>
        </w:tc>
        <w:tc>
          <w:tcPr>
            <w:tcW w:type="dxa" w:w="1170"/>
          </w:tcPr>
          <w:p>
            <w:pPr>
              <w:spacing w:after="20" w:before="20"/>
            </w:pPr>
            <w:r/>
            <w:r>
              <w:rPr>
                <w:rFonts w:ascii="Calibri" w:hAnsi="Calibri"/>
                <w:sz w:val="18"/>
              </w:rPr>
              <w:t>IRRI Rice KB</w:t>
            </w:r>
          </w:p>
        </w:tc>
      </w:tr>
      <w:tr>
        <w:tc>
          <w:tcPr>
            <w:tcW w:type="dxa" w:w="1170"/>
          </w:tcPr>
          <w:p>
            <w:pPr>
              <w:spacing w:after="20" w:before="20"/>
            </w:pPr>
            <w:r/>
            <w:r>
              <w:rPr>
                <w:rFonts w:ascii="Calibri" w:hAnsi="Calibri"/>
                <w:sz w:val="18"/>
              </w:rPr>
              <w:t>5</w:t>
            </w:r>
          </w:p>
        </w:tc>
        <w:tc>
          <w:tcPr>
            <w:tcW w:type="dxa" w:w="1170"/>
          </w:tcPr>
          <w:p>
            <w:pPr>
              <w:spacing w:after="20" w:before="20"/>
            </w:pPr>
            <w:r/>
            <w:r>
              <w:rPr>
                <w:rFonts w:ascii="Calibri" w:hAnsi="Calibri"/>
                <w:sz w:val="18"/>
              </w:rPr>
              <w:t>Flood-tolerant rice (Sub1)</w:t>
            </w:r>
          </w:p>
        </w:tc>
        <w:tc>
          <w:tcPr>
            <w:tcW w:type="dxa" w:w="1170"/>
          </w:tcPr>
          <w:p>
            <w:pPr>
              <w:spacing w:after="20" w:before="20"/>
            </w:pPr>
            <w:r/>
            <w:r>
              <w:rPr>
                <w:rFonts w:ascii="Calibri" w:hAnsi="Calibri"/>
                <w:sz w:val="18"/>
              </w:rPr>
              <w:t>Production</w:t>
            </w:r>
          </w:p>
        </w:tc>
        <w:tc>
          <w:tcPr>
            <w:tcW w:type="dxa" w:w="1170"/>
          </w:tcPr>
          <w:p>
            <w:pPr>
              <w:spacing w:after="20" w:before="20"/>
            </w:pPr>
            <w:r/>
            <w:r>
              <w:rPr>
                <w:rFonts w:ascii="Calibri" w:hAnsi="Calibri"/>
                <w:sz w:val="18"/>
              </w:rPr>
              <w:t>~$5,000/farm</w:t>
            </w:r>
          </w:p>
        </w:tc>
        <w:tc>
          <w:tcPr>
            <w:tcW w:type="dxa" w:w="1170"/>
          </w:tcPr>
          <w:p>
            <w:pPr>
              <w:spacing w:after="20" w:before="20"/>
            </w:pPr>
            <w:r/>
            <w:r>
              <w:rPr>
                <w:rFonts w:ascii="Calibri" w:hAnsi="Calibri"/>
                <w:sz w:val="18"/>
              </w:rPr>
              <w:t>+1–3 tons/ha; 55% profit</w:t>
            </w:r>
          </w:p>
        </w:tc>
        <w:tc>
          <w:tcPr>
            <w:tcW w:type="dxa" w:w="1170"/>
          </w:tcPr>
          <w:p>
            <w:pPr>
              <w:spacing w:after="20" w:before="20"/>
            </w:pPr>
            <w:r/>
            <w:r>
              <w:rPr>
                <w:rFonts w:ascii="Calibri" w:hAnsi="Calibri"/>
                <w:sz w:val="18"/>
              </w:rPr>
              <w:t>1,800</w:t>
            </w:r>
          </w:p>
        </w:tc>
        <w:tc>
          <w:tcPr>
            <w:tcW w:type="dxa" w:w="1170"/>
          </w:tcPr>
          <w:p>
            <w:pPr>
              <w:spacing w:after="20" w:before="20"/>
            </w:pPr>
            <w:r/>
            <w:r>
              <w:rPr>
                <w:rFonts w:ascii="Calibri" w:hAnsi="Calibri"/>
                <w:sz w:val="18"/>
              </w:rPr>
              <w:t>0.70</w:t>
            </w:r>
          </w:p>
        </w:tc>
        <w:tc>
          <w:tcPr>
            <w:tcW w:type="dxa" w:w="1170"/>
          </w:tcPr>
          <w:p>
            <w:pPr>
              <w:spacing w:after="20" w:before="20"/>
            </w:pPr>
            <w:r/>
            <w:r>
              <w:rPr>
                <w:rFonts w:ascii="Calibri" w:hAnsi="Calibri"/>
                <w:sz w:val="18"/>
              </w:rPr>
              <w:t>CGIAR/IRRI</w:t>
            </w:r>
          </w:p>
        </w:tc>
      </w:tr>
      <w:tr>
        <w:tc>
          <w:tcPr>
            <w:tcW w:type="dxa" w:w="1170"/>
          </w:tcPr>
          <w:p>
            <w:pPr>
              <w:spacing w:after="20" w:before="20"/>
            </w:pPr>
            <w:r/>
            <w:r>
              <w:rPr>
                <w:rFonts w:ascii="Calibri" w:hAnsi="Calibri"/>
                <w:sz w:val="18"/>
              </w:rPr>
              <w:t>6</w:t>
            </w:r>
          </w:p>
        </w:tc>
        <w:tc>
          <w:tcPr>
            <w:tcW w:type="dxa" w:w="1170"/>
          </w:tcPr>
          <w:p>
            <w:pPr>
              <w:spacing w:after="20" w:before="20"/>
            </w:pPr>
            <w:r/>
            <w:r>
              <w:rPr>
                <w:rFonts w:ascii="Calibri" w:hAnsi="Calibri"/>
                <w:sz w:val="18"/>
              </w:rPr>
              <w:t>Renewable energy irrigation</w:t>
            </w:r>
          </w:p>
        </w:tc>
        <w:tc>
          <w:tcPr>
            <w:tcW w:type="dxa" w:w="1170"/>
          </w:tcPr>
          <w:p>
            <w:pPr>
              <w:spacing w:after="20" w:before="20"/>
            </w:pPr>
            <w:r/>
            <w:r>
              <w:rPr>
                <w:rFonts w:ascii="Calibri" w:hAnsi="Calibri"/>
                <w:sz w:val="18"/>
              </w:rPr>
              <w:t>Infrastructure</w:t>
            </w:r>
          </w:p>
        </w:tc>
        <w:tc>
          <w:tcPr>
            <w:tcW w:type="dxa" w:w="1170"/>
          </w:tcPr>
          <w:p>
            <w:pPr>
              <w:spacing w:after="20" w:before="20"/>
            </w:pPr>
            <w:r/>
            <w:r>
              <w:rPr>
                <w:rFonts w:ascii="Calibri" w:hAnsi="Calibri"/>
                <w:sz w:val="18"/>
              </w:rPr>
              <w:t>ADB $400M+</w:t>
            </w:r>
          </w:p>
        </w:tc>
        <w:tc>
          <w:tcPr>
            <w:tcW w:type="dxa" w:w="1170"/>
          </w:tcPr>
          <w:p>
            <w:pPr>
              <w:spacing w:after="20" w:before="20"/>
            </w:pPr>
            <w:r/>
            <w:r>
              <w:rPr>
                <w:rFonts w:ascii="Calibri" w:hAnsi="Calibri"/>
                <w:sz w:val="18"/>
              </w:rPr>
              <w:t>Eliminates volatile fuel costs</w:t>
            </w:r>
          </w:p>
        </w:tc>
        <w:tc>
          <w:tcPr>
            <w:tcW w:type="dxa" w:w="1170"/>
          </w:tcPr>
          <w:p>
            <w:pPr>
              <w:spacing w:after="20" w:before="20"/>
            </w:pPr>
            <w:r/>
            <w:r>
              <w:rPr>
                <w:rFonts w:ascii="Calibri" w:hAnsi="Calibri"/>
                <w:sz w:val="18"/>
              </w:rPr>
              <w:t>1,200</w:t>
            </w:r>
          </w:p>
        </w:tc>
        <w:tc>
          <w:tcPr>
            <w:tcW w:type="dxa" w:w="1170"/>
          </w:tcPr>
          <w:p>
            <w:pPr>
              <w:spacing w:after="20" w:before="20"/>
            </w:pPr>
            <w:r/>
            <w:r>
              <w:rPr>
                <w:rFonts w:ascii="Calibri" w:hAnsi="Calibri"/>
                <w:sz w:val="18"/>
              </w:rPr>
              <w:t>0.75</w:t>
            </w:r>
          </w:p>
        </w:tc>
        <w:tc>
          <w:tcPr>
            <w:tcW w:type="dxa" w:w="1170"/>
          </w:tcPr>
          <w:p>
            <w:pPr>
              <w:spacing w:after="20" w:before="20"/>
            </w:pPr>
            <w:r/>
            <w:r>
              <w:rPr>
                <w:rFonts w:ascii="Calibri" w:hAnsi="Calibri"/>
                <w:sz w:val="18"/>
              </w:rPr>
              <w:t>ADB</w:t>
            </w:r>
          </w:p>
        </w:tc>
      </w:tr>
      <w:tr>
        <w:tc>
          <w:tcPr>
            <w:tcW w:type="dxa" w:w="1170"/>
          </w:tcPr>
          <w:p>
            <w:pPr>
              <w:spacing w:after="20" w:before="20"/>
            </w:pPr>
            <w:r/>
            <w:r>
              <w:rPr>
                <w:rFonts w:ascii="Calibri" w:hAnsi="Calibri"/>
                <w:sz w:val="18"/>
              </w:rPr>
              <w:t>7</w:t>
            </w:r>
          </w:p>
        </w:tc>
        <w:tc>
          <w:tcPr>
            <w:tcW w:type="dxa" w:w="1170"/>
          </w:tcPr>
          <w:p>
            <w:pPr>
              <w:spacing w:after="20" w:before="20"/>
            </w:pPr>
            <w:r/>
            <w:r>
              <w:rPr>
                <w:rFonts w:ascii="Calibri" w:hAnsi="Calibri"/>
                <w:sz w:val="18"/>
              </w:rPr>
              <w:t>Crop diversification</w:t>
            </w:r>
          </w:p>
        </w:tc>
        <w:tc>
          <w:tcPr>
            <w:tcW w:type="dxa" w:w="1170"/>
          </w:tcPr>
          <w:p>
            <w:pPr>
              <w:spacing w:after="20" w:before="20"/>
            </w:pPr>
            <w:r/>
            <w:r>
              <w:rPr>
                <w:rFonts w:ascii="Calibri" w:hAnsi="Calibri"/>
                <w:sz w:val="18"/>
              </w:rPr>
              <w:t>Production</w:t>
            </w:r>
          </w:p>
        </w:tc>
        <w:tc>
          <w:tcPr>
            <w:tcW w:type="dxa" w:w="1170"/>
          </w:tcPr>
          <w:p>
            <w:pPr>
              <w:spacing w:after="20" w:before="20"/>
            </w:pPr>
            <w:r/>
            <w:r>
              <w:rPr>
                <w:rFonts w:ascii="Calibri" w:hAnsi="Calibri"/>
                <w:sz w:val="18"/>
              </w:rPr>
              <w:t>~$120M/5yr</w:t>
            </w:r>
          </w:p>
        </w:tc>
        <w:tc>
          <w:tcPr>
            <w:tcW w:type="dxa" w:w="1170"/>
          </w:tcPr>
          <w:p>
            <w:pPr>
              <w:spacing w:after="20" w:before="20"/>
            </w:pPr>
            <w:r/>
            <w:r>
              <w:rPr>
                <w:rFonts w:ascii="Calibri" w:hAnsi="Calibri"/>
                <w:sz w:val="18"/>
              </w:rPr>
              <w:t>75% arable land is rice</w:t>
            </w:r>
          </w:p>
        </w:tc>
        <w:tc>
          <w:tcPr>
            <w:tcW w:type="dxa" w:w="1170"/>
          </w:tcPr>
          <w:p>
            <w:pPr>
              <w:spacing w:after="20" w:before="20"/>
            </w:pPr>
            <w:r/>
            <w:r>
              <w:rPr>
                <w:rFonts w:ascii="Calibri" w:hAnsi="Calibri"/>
                <w:sz w:val="18"/>
              </w:rPr>
              <w:t>1,000</w:t>
            </w:r>
          </w:p>
        </w:tc>
        <w:tc>
          <w:tcPr>
            <w:tcW w:type="dxa" w:w="1170"/>
          </w:tcPr>
          <w:p>
            <w:pPr>
              <w:spacing w:after="20" w:before="20"/>
            </w:pPr>
            <w:r/>
            <w:r>
              <w:rPr>
                <w:rFonts w:ascii="Calibri" w:hAnsi="Calibri"/>
                <w:sz w:val="18"/>
              </w:rPr>
              <w:t>0.65</w:t>
            </w:r>
          </w:p>
        </w:tc>
        <w:tc>
          <w:tcPr>
            <w:tcW w:type="dxa" w:w="1170"/>
          </w:tcPr>
          <w:p>
            <w:pPr>
              <w:spacing w:after="20" w:before="20"/>
            </w:pPr>
            <w:r/>
            <w:r>
              <w:rPr>
                <w:rFonts w:ascii="Calibri" w:hAnsi="Calibri"/>
                <w:sz w:val="18"/>
              </w:rPr>
              <w:t>Frontiers; MDPI</w:t>
            </w:r>
          </w:p>
        </w:tc>
      </w:tr>
      <w:tr>
        <w:tc>
          <w:tcPr>
            <w:tcW w:type="dxa" w:w="1170"/>
          </w:tcPr>
          <w:p>
            <w:pPr>
              <w:spacing w:after="20" w:before="20"/>
            </w:pPr>
            <w:r/>
            <w:r>
              <w:rPr>
                <w:rFonts w:ascii="Calibri" w:hAnsi="Calibri"/>
                <w:sz w:val="18"/>
              </w:rPr>
              <w:t>8</w:t>
            </w:r>
          </w:p>
        </w:tc>
        <w:tc>
          <w:tcPr>
            <w:tcW w:type="dxa" w:w="1170"/>
          </w:tcPr>
          <w:p>
            <w:pPr>
              <w:spacing w:after="20" w:before="20"/>
            </w:pPr>
            <w:r/>
            <w:r>
              <w:rPr>
                <w:rFonts w:ascii="Calibri" w:hAnsi="Calibri"/>
                <w:sz w:val="18"/>
              </w:rPr>
              <w:t>Farmer insurance</w:t>
            </w:r>
          </w:p>
        </w:tc>
        <w:tc>
          <w:tcPr>
            <w:tcW w:type="dxa" w:w="1170"/>
          </w:tcPr>
          <w:p>
            <w:pPr>
              <w:spacing w:after="20" w:before="20"/>
            </w:pPr>
            <w:r/>
            <w:r>
              <w:rPr>
                <w:rFonts w:ascii="Calibri" w:hAnsi="Calibri"/>
                <w:sz w:val="18"/>
              </w:rPr>
              <w:t>Protection</w:t>
            </w:r>
          </w:p>
        </w:tc>
        <w:tc>
          <w:tcPr>
            <w:tcW w:type="dxa" w:w="1170"/>
          </w:tcPr>
          <w:p>
            <w:pPr>
              <w:spacing w:after="20" w:before="20"/>
            </w:pPr>
            <w:r/>
            <w:r>
              <w:rPr>
                <w:rFonts w:ascii="Calibri" w:hAnsi="Calibri"/>
                <w:sz w:val="18"/>
              </w:rPr>
              <w:t>25% premium</w:t>
            </w:r>
          </w:p>
        </w:tc>
        <w:tc>
          <w:tcPr>
            <w:tcW w:type="dxa" w:w="1170"/>
          </w:tcPr>
          <w:p>
            <w:pPr>
              <w:spacing w:after="20" w:before="20"/>
            </w:pPr>
            <w:r/>
            <w:r>
              <w:rPr>
                <w:rFonts w:ascii="Calibri" w:hAnsi="Calibri"/>
                <w:sz w:val="18"/>
              </w:rPr>
              <w:t>Prevents land abandonment</w:t>
            </w:r>
          </w:p>
        </w:tc>
        <w:tc>
          <w:tcPr>
            <w:tcW w:type="dxa" w:w="1170"/>
          </w:tcPr>
          <w:p>
            <w:pPr>
              <w:spacing w:after="20" w:before="20"/>
            </w:pPr>
            <w:r/>
            <w:r>
              <w:rPr>
                <w:rFonts w:ascii="Calibri" w:hAnsi="Calibri"/>
                <w:sz w:val="18"/>
              </w:rPr>
              <w:t>1,000</w:t>
            </w:r>
          </w:p>
        </w:tc>
        <w:tc>
          <w:tcPr>
            <w:tcW w:type="dxa" w:w="1170"/>
          </w:tcPr>
          <w:p>
            <w:pPr>
              <w:spacing w:after="20" w:before="20"/>
            </w:pPr>
            <w:r/>
            <w:r>
              <w:rPr>
                <w:rFonts w:ascii="Calibri" w:hAnsi="Calibri"/>
                <w:sz w:val="18"/>
              </w:rPr>
              <w:t>0.50</w:t>
            </w:r>
          </w:p>
        </w:tc>
        <w:tc>
          <w:tcPr>
            <w:tcW w:type="dxa" w:w="1170"/>
          </w:tcPr>
          <w:p>
            <w:pPr>
              <w:spacing w:after="20" w:before="20"/>
            </w:pPr>
            <w:r/>
            <w:r>
              <w:rPr>
                <w:rFonts w:ascii="Calibri" w:hAnsi="Calibri"/>
                <w:sz w:val="18"/>
              </w:rPr>
              <w:t>World Bank; ADB</w:t>
            </w:r>
          </w:p>
        </w:tc>
      </w:tr>
      <w:tr>
        <w:tc>
          <w:tcPr>
            <w:tcW w:type="dxa" w:w="1170"/>
          </w:tcPr>
          <w:p>
            <w:pPr>
              <w:spacing w:after="20" w:before="20"/>
            </w:pPr>
            <w:r/>
            <w:r>
              <w:rPr>
                <w:rFonts w:ascii="Calibri" w:hAnsi="Calibri"/>
                <w:sz w:val="18"/>
              </w:rPr>
              <w:t>9</w:t>
            </w:r>
          </w:p>
        </w:tc>
        <w:tc>
          <w:tcPr>
            <w:tcW w:type="dxa" w:w="1170"/>
          </w:tcPr>
          <w:p>
            <w:pPr>
              <w:spacing w:after="20" w:before="20"/>
            </w:pPr>
            <w:r/>
            <w:r>
              <w:rPr>
                <w:rFonts w:ascii="Calibri" w:hAnsi="Calibri"/>
                <w:sz w:val="18"/>
              </w:rPr>
              <w:t>River/canal excavation</w:t>
            </w:r>
          </w:p>
        </w:tc>
        <w:tc>
          <w:tcPr>
            <w:tcW w:type="dxa" w:w="1170"/>
          </w:tcPr>
          <w:p>
            <w:pPr>
              <w:spacing w:after="20" w:before="20"/>
            </w:pPr>
            <w:r/>
            <w:r>
              <w:rPr>
                <w:rFonts w:ascii="Calibri" w:hAnsi="Calibri"/>
                <w:sz w:val="18"/>
              </w:rPr>
              <w:t>Infrastructure</w:t>
            </w:r>
          </w:p>
        </w:tc>
        <w:tc>
          <w:tcPr>
            <w:tcW w:type="dxa" w:w="1170"/>
          </w:tcPr>
          <w:p>
            <w:pPr>
              <w:spacing w:after="20" w:before="20"/>
            </w:pPr>
            <w:r/>
            <w:r>
              <w:rPr>
                <w:rFonts w:ascii="Calibri" w:hAnsi="Calibri"/>
                <w:sz w:val="18"/>
              </w:rPr>
              <w:t>~$1.7M/km</w:t>
            </w:r>
          </w:p>
        </w:tc>
        <w:tc>
          <w:tcPr>
            <w:tcW w:type="dxa" w:w="1170"/>
          </w:tcPr>
          <w:p>
            <w:pPr>
              <w:spacing w:after="20" w:before="20"/>
            </w:pPr>
            <w:r/>
            <w:r>
              <w:rPr>
                <w:rFonts w:ascii="Calibri" w:hAnsi="Calibri"/>
                <w:sz w:val="18"/>
              </w:rPr>
              <w:t>20% flood duration reduction</w:t>
            </w:r>
          </w:p>
        </w:tc>
        <w:tc>
          <w:tcPr>
            <w:tcW w:type="dxa" w:w="1170"/>
          </w:tcPr>
          <w:p>
            <w:pPr>
              <w:spacing w:after="20" w:before="20"/>
            </w:pPr>
            <w:r/>
            <w:r>
              <w:rPr>
                <w:rFonts w:ascii="Calibri" w:hAnsi="Calibri"/>
                <w:sz w:val="18"/>
              </w:rPr>
              <w:t>800</w:t>
            </w:r>
          </w:p>
        </w:tc>
        <w:tc>
          <w:tcPr>
            <w:tcW w:type="dxa" w:w="1170"/>
          </w:tcPr>
          <w:p>
            <w:pPr>
              <w:spacing w:after="20" w:before="20"/>
            </w:pPr>
            <w:r/>
            <w:r>
              <w:rPr>
                <w:rFonts w:ascii="Calibri" w:hAnsi="Calibri"/>
                <w:sz w:val="18"/>
              </w:rPr>
              <w:t>0.60</w:t>
            </w:r>
          </w:p>
        </w:tc>
        <w:tc>
          <w:tcPr>
            <w:tcW w:type="dxa" w:w="1170"/>
          </w:tcPr>
          <w:p>
            <w:pPr>
              <w:spacing w:after="20" w:before="20"/>
            </w:pPr>
            <w:r/>
            <w:r>
              <w:rPr>
                <w:rFonts w:ascii="Calibri" w:hAnsi="Calibri"/>
                <w:sz w:val="18"/>
              </w:rPr>
              <w:t>USQ (BCR 4.35)</w:t>
            </w:r>
          </w:p>
        </w:tc>
      </w:tr>
      <w:tr>
        <w:tc>
          <w:tcPr>
            <w:tcW w:type="dxa" w:w="1170"/>
          </w:tcPr>
          <w:p>
            <w:pPr>
              <w:spacing w:after="20" w:before="20"/>
            </w:pPr>
            <w:r/>
            <w:r>
              <w:rPr>
                <w:rFonts w:ascii="Calibri" w:hAnsi="Calibri"/>
                <w:sz w:val="18"/>
              </w:rPr>
              <w:t>10</w:t>
            </w:r>
          </w:p>
        </w:tc>
        <w:tc>
          <w:tcPr>
            <w:tcW w:type="dxa" w:w="1170"/>
          </w:tcPr>
          <w:p>
            <w:pPr>
              <w:spacing w:after="20" w:before="20"/>
            </w:pPr>
            <w:r/>
            <w:r>
              <w:rPr>
                <w:rFonts w:ascii="Calibri" w:hAnsi="Calibri"/>
                <w:sz w:val="18"/>
              </w:rPr>
              <w:t>Tree planting</w:t>
            </w:r>
          </w:p>
        </w:tc>
        <w:tc>
          <w:tcPr>
            <w:tcW w:type="dxa" w:w="1170"/>
          </w:tcPr>
          <w:p>
            <w:pPr>
              <w:spacing w:after="20" w:before="20"/>
            </w:pPr>
            <w:r/>
            <w:r>
              <w:rPr>
                <w:rFonts w:ascii="Calibri" w:hAnsi="Calibri"/>
                <w:sz w:val="18"/>
              </w:rPr>
              <w:t>Infrastructure</w:t>
            </w:r>
          </w:p>
        </w:tc>
        <w:tc>
          <w:tcPr>
            <w:tcW w:type="dxa" w:w="1170"/>
          </w:tcPr>
          <w:p>
            <w:pPr>
              <w:spacing w:after="20" w:before="20"/>
            </w:pPr>
            <w:r/>
            <w:r>
              <w:rPr>
                <w:rFonts w:ascii="Calibri" w:hAnsi="Calibri"/>
                <w:sz w:val="18"/>
              </w:rPr>
              <w:t>$1.50–10/tree</w:t>
            </w:r>
          </w:p>
        </w:tc>
        <w:tc>
          <w:tcPr>
            <w:tcW w:type="dxa" w:w="1170"/>
          </w:tcPr>
          <w:p>
            <w:pPr>
              <w:spacing w:after="20" w:before="20"/>
            </w:pPr>
            <w:r/>
            <w:r>
              <w:rPr>
                <w:rFonts w:ascii="Calibri" w:hAnsi="Calibri"/>
                <w:sz w:val="18"/>
              </w:rPr>
              <w:t>Erosion control, 350K+ jobs</w:t>
            </w:r>
          </w:p>
        </w:tc>
        <w:tc>
          <w:tcPr>
            <w:tcW w:type="dxa" w:w="1170"/>
          </w:tcPr>
          <w:p>
            <w:pPr>
              <w:spacing w:after="20" w:before="20"/>
            </w:pPr>
            <w:r/>
            <w:r>
              <w:rPr>
                <w:rFonts w:ascii="Calibri" w:hAnsi="Calibri"/>
                <w:sz w:val="18"/>
              </w:rPr>
              <w:t>900</w:t>
            </w:r>
          </w:p>
        </w:tc>
        <w:tc>
          <w:tcPr>
            <w:tcW w:type="dxa" w:w="1170"/>
          </w:tcPr>
          <w:p>
            <w:pPr>
              <w:spacing w:after="20" w:before="20"/>
            </w:pPr>
            <w:r/>
            <w:r>
              <w:rPr>
                <w:rFonts w:ascii="Calibri" w:hAnsi="Calibri"/>
                <w:sz w:val="18"/>
              </w:rPr>
              <w:t>0.50</w:t>
            </w:r>
          </w:p>
        </w:tc>
        <w:tc>
          <w:tcPr>
            <w:tcW w:type="dxa" w:w="1170"/>
          </w:tcPr>
          <w:p>
            <w:pPr>
              <w:spacing w:after="20" w:before="20"/>
            </w:pPr>
            <w:r/>
            <w:r>
              <w:rPr>
                <w:rFonts w:ascii="Calibri" w:hAnsi="Calibri"/>
                <w:sz w:val="18"/>
              </w:rPr>
              <w:t>BNP manifesto</w:t>
            </w:r>
          </w:p>
        </w:tc>
      </w:tr>
      <w:tr>
        <w:tc>
          <w:tcPr>
            <w:tcW w:type="dxa" w:w="1170"/>
          </w:tcPr>
          <w:p>
            <w:pPr>
              <w:spacing w:after="20" w:before="20"/>
            </w:pPr>
            <w:r/>
            <w:r>
              <w:rPr>
                <w:rFonts w:ascii="Calibri" w:hAnsi="Calibri"/>
                <w:sz w:val="18"/>
              </w:rPr>
              <w:t>11</w:t>
            </w:r>
          </w:p>
        </w:tc>
        <w:tc>
          <w:tcPr>
            <w:tcW w:type="dxa" w:w="1170"/>
          </w:tcPr>
          <w:p>
            <w:pPr>
              <w:spacing w:after="20" w:before="20"/>
            </w:pPr>
            <w:r/>
            <w:r>
              <w:rPr>
                <w:rFonts w:ascii="Calibri" w:hAnsi="Calibri"/>
                <w:sz w:val="18"/>
              </w:rPr>
              <w:t>Aquaculture expansion</w:t>
            </w:r>
          </w:p>
        </w:tc>
        <w:tc>
          <w:tcPr>
            <w:tcW w:type="dxa" w:w="1170"/>
          </w:tcPr>
          <w:p>
            <w:pPr>
              <w:spacing w:after="20" w:before="20"/>
            </w:pPr>
            <w:r/>
            <w:r>
              <w:rPr>
                <w:rFonts w:ascii="Calibri" w:hAnsi="Calibri"/>
                <w:sz w:val="18"/>
              </w:rPr>
              <w:t>Production</w:t>
            </w:r>
          </w:p>
        </w:tc>
        <w:tc>
          <w:tcPr>
            <w:tcW w:type="dxa" w:w="1170"/>
          </w:tcPr>
          <w:p>
            <w:pPr>
              <w:spacing w:after="20" w:before="20"/>
            </w:pPr>
            <w:r/>
            <w:r>
              <w:rPr>
                <w:rFonts w:ascii="Calibri" w:hAnsi="Calibri"/>
                <w:sz w:val="18"/>
              </w:rPr>
              <w:t>~$12,700/ha</w:t>
            </w:r>
          </w:p>
        </w:tc>
        <w:tc>
          <w:tcPr>
            <w:tcW w:type="dxa" w:w="1170"/>
          </w:tcPr>
          <w:p>
            <w:pPr>
              <w:spacing w:after="20" w:before="20"/>
            </w:pPr>
            <w:r/>
            <w:r>
              <w:rPr>
                <w:rFonts w:ascii="Calibri" w:hAnsi="Calibri"/>
                <w:sz w:val="18"/>
              </w:rPr>
              <w:t>Production 6x over 25 yrs</w:t>
            </w:r>
          </w:p>
        </w:tc>
        <w:tc>
          <w:tcPr>
            <w:tcW w:type="dxa" w:w="1170"/>
          </w:tcPr>
          <w:p>
            <w:pPr>
              <w:spacing w:after="20" w:before="20"/>
            </w:pPr>
            <w:r/>
            <w:r>
              <w:rPr>
                <w:rFonts w:ascii="Calibri" w:hAnsi="Calibri"/>
                <w:sz w:val="18"/>
              </w:rPr>
              <w:t>600</w:t>
            </w:r>
          </w:p>
        </w:tc>
        <w:tc>
          <w:tcPr>
            <w:tcW w:type="dxa" w:w="1170"/>
          </w:tcPr>
          <w:p>
            <w:pPr>
              <w:spacing w:after="20" w:before="20"/>
            </w:pPr>
            <w:r/>
            <w:r>
              <w:rPr>
                <w:rFonts w:ascii="Calibri" w:hAnsi="Calibri"/>
                <w:sz w:val="18"/>
              </w:rPr>
              <w:t>0.75</w:t>
            </w:r>
          </w:p>
        </w:tc>
        <w:tc>
          <w:tcPr>
            <w:tcW w:type="dxa" w:w="1170"/>
          </w:tcPr>
          <w:p>
            <w:pPr>
              <w:spacing w:after="20" w:before="20"/>
            </w:pPr>
            <w:r/>
            <w:r>
              <w:rPr>
                <w:rFonts w:ascii="Calibri" w:hAnsi="Calibri"/>
                <w:sz w:val="18"/>
              </w:rPr>
              <w:t>BanglaJOL</w:t>
            </w:r>
          </w:p>
        </w:tc>
      </w:tr>
      <w:tr>
        <w:tc>
          <w:tcPr>
            <w:tcW w:type="dxa" w:w="1170"/>
          </w:tcPr>
          <w:p>
            <w:pPr>
              <w:spacing w:after="20" w:before="20"/>
            </w:pPr>
            <w:r/>
            <w:r>
              <w:rPr>
                <w:rFonts w:ascii="Calibri" w:hAnsi="Calibri"/>
                <w:sz w:val="18"/>
              </w:rPr>
              <w:t>12</w:t>
            </w:r>
          </w:p>
        </w:tc>
        <w:tc>
          <w:tcPr>
            <w:tcW w:type="dxa" w:w="1170"/>
          </w:tcPr>
          <w:p>
            <w:pPr>
              <w:spacing w:after="20" w:before="20"/>
            </w:pPr>
            <w:r/>
            <w:r>
              <w:rPr>
                <w:rFonts w:ascii="Calibri" w:hAnsi="Calibri"/>
                <w:sz w:val="18"/>
              </w:rPr>
              <w:t>Cyclone early warning</w:t>
            </w:r>
          </w:p>
        </w:tc>
        <w:tc>
          <w:tcPr>
            <w:tcW w:type="dxa" w:w="1170"/>
          </w:tcPr>
          <w:p>
            <w:pPr>
              <w:spacing w:after="20" w:before="20"/>
            </w:pPr>
            <w:r/>
            <w:r>
              <w:rPr>
                <w:rFonts w:ascii="Calibri" w:hAnsi="Calibri"/>
                <w:sz w:val="18"/>
              </w:rPr>
              <w:t>Protection</w:t>
            </w:r>
          </w:p>
        </w:tc>
        <w:tc>
          <w:tcPr>
            <w:tcW w:type="dxa" w:w="1170"/>
          </w:tcPr>
          <w:p>
            <w:pPr>
              <w:spacing w:after="20" w:before="20"/>
            </w:pPr>
            <w:r/>
            <w:r>
              <w:rPr>
                <w:rFonts w:ascii="Calibri" w:hAnsi="Calibri"/>
                <w:sz w:val="18"/>
              </w:rPr>
              <w:t>Low — FFWC</w:t>
            </w:r>
          </w:p>
        </w:tc>
        <w:tc>
          <w:tcPr>
            <w:tcW w:type="dxa" w:w="1170"/>
          </w:tcPr>
          <w:p>
            <w:pPr>
              <w:spacing w:after="20" w:before="20"/>
            </w:pPr>
            <w:r/>
            <w:r>
              <w:rPr>
                <w:rFonts w:ascii="Calibri" w:hAnsi="Calibri"/>
                <w:sz w:val="18"/>
              </w:rPr>
              <w:t>Avoids $73–85M/flood</w:t>
            </w:r>
          </w:p>
        </w:tc>
        <w:tc>
          <w:tcPr>
            <w:tcW w:type="dxa" w:w="1170"/>
          </w:tcPr>
          <w:p>
            <w:pPr>
              <w:spacing w:after="20" w:before="20"/>
            </w:pPr>
            <w:r/>
            <w:r>
              <w:rPr>
                <w:rFonts w:ascii="Calibri" w:hAnsi="Calibri"/>
                <w:sz w:val="18"/>
              </w:rPr>
              <w:t>500</w:t>
            </w:r>
          </w:p>
        </w:tc>
        <w:tc>
          <w:tcPr>
            <w:tcW w:type="dxa" w:w="1170"/>
          </w:tcPr>
          <w:p>
            <w:pPr>
              <w:spacing w:after="20" w:before="20"/>
            </w:pPr>
            <w:r/>
            <w:r>
              <w:rPr>
                <w:rFonts w:ascii="Calibri" w:hAnsi="Calibri"/>
                <w:sz w:val="18"/>
              </w:rPr>
              <w:t>0.85</w:t>
            </w:r>
          </w:p>
        </w:tc>
        <w:tc>
          <w:tcPr>
            <w:tcW w:type="dxa" w:w="1170"/>
          </w:tcPr>
          <w:p>
            <w:pPr>
              <w:spacing w:after="20" w:before="20"/>
            </w:pPr>
            <w:r/>
            <w:r>
              <w:rPr>
                <w:rFonts w:ascii="Calibri" w:hAnsi="Calibri"/>
                <w:sz w:val="18"/>
              </w:rPr>
              <w:t>Springer 2024</w:t>
            </w:r>
          </w:p>
        </w:tc>
      </w:tr>
      <w:tr>
        <w:tc>
          <w:tcPr>
            <w:tcW w:type="dxa" w:w="1170"/>
          </w:tcPr>
          <w:p>
            <w:pPr>
              <w:spacing w:after="20" w:before="20"/>
            </w:pPr>
            <w:r/>
            <w:r>
              <w:rPr>
                <w:rFonts w:ascii="Calibri" w:hAnsi="Calibri"/>
                <w:sz w:val="18"/>
              </w:rPr>
              <w:t>13</w:t>
            </w:r>
          </w:p>
        </w:tc>
        <w:tc>
          <w:tcPr>
            <w:tcW w:type="dxa" w:w="1170"/>
          </w:tcPr>
          <w:p>
            <w:pPr>
              <w:spacing w:after="20" w:before="20"/>
            </w:pPr>
            <w:r/>
            <w:r>
              <w:rPr>
                <w:rFonts w:ascii="Calibri" w:hAnsi="Calibri"/>
                <w:sz w:val="18"/>
              </w:rPr>
              <w:t>Flood forecasting</w:t>
            </w:r>
          </w:p>
        </w:tc>
        <w:tc>
          <w:tcPr>
            <w:tcW w:type="dxa" w:w="1170"/>
          </w:tcPr>
          <w:p>
            <w:pPr>
              <w:spacing w:after="20" w:before="20"/>
            </w:pPr>
            <w:r/>
            <w:r>
              <w:rPr>
                <w:rFonts w:ascii="Calibri" w:hAnsi="Calibri"/>
                <w:sz w:val="18"/>
              </w:rPr>
              <w:t>Protection</w:t>
            </w:r>
          </w:p>
        </w:tc>
        <w:tc>
          <w:tcPr>
            <w:tcW w:type="dxa" w:w="1170"/>
          </w:tcPr>
          <w:p>
            <w:pPr>
              <w:spacing w:after="20" w:before="20"/>
            </w:pPr>
            <w:r/>
            <w:r>
              <w:rPr>
                <w:rFonts w:ascii="Calibri" w:hAnsi="Calibri"/>
                <w:sz w:val="18"/>
              </w:rPr>
              <w:t>$270M (B-STRONG)</w:t>
            </w:r>
          </w:p>
        </w:tc>
        <w:tc>
          <w:tcPr>
            <w:tcW w:type="dxa" w:w="1170"/>
          </w:tcPr>
          <w:p>
            <w:pPr>
              <w:spacing w:after="20" w:before="20"/>
            </w:pPr>
            <w:r/>
            <w:r>
              <w:rPr>
                <w:rFonts w:ascii="Calibri" w:hAnsi="Calibri"/>
                <w:sz w:val="18"/>
              </w:rPr>
              <w:t>BCR 79–213</w:t>
            </w:r>
          </w:p>
        </w:tc>
        <w:tc>
          <w:tcPr>
            <w:tcW w:type="dxa" w:w="1170"/>
          </w:tcPr>
          <w:p>
            <w:pPr>
              <w:spacing w:after="20" w:before="20"/>
            </w:pPr>
            <w:r/>
            <w:r>
              <w:rPr>
                <w:rFonts w:ascii="Calibri" w:hAnsi="Calibri"/>
                <w:sz w:val="18"/>
              </w:rPr>
              <w:t>700</w:t>
            </w:r>
          </w:p>
        </w:tc>
        <w:tc>
          <w:tcPr>
            <w:tcW w:type="dxa" w:w="1170"/>
          </w:tcPr>
          <w:p>
            <w:pPr>
              <w:spacing w:after="20" w:before="20"/>
            </w:pPr>
            <w:r/>
            <w:r>
              <w:rPr>
                <w:rFonts w:ascii="Calibri" w:hAnsi="Calibri"/>
                <w:sz w:val="18"/>
              </w:rPr>
              <w:t>0.85</w:t>
            </w:r>
          </w:p>
        </w:tc>
        <w:tc>
          <w:tcPr>
            <w:tcW w:type="dxa" w:w="1170"/>
          </w:tcPr>
          <w:p>
            <w:pPr>
              <w:spacing w:after="20" w:before="20"/>
            </w:pPr>
            <w:r/>
            <w:r>
              <w:rPr>
                <w:rFonts w:ascii="Calibri" w:hAnsi="Calibri"/>
                <w:sz w:val="18"/>
              </w:rPr>
              <w:t>World Bank</w:t>
            </w:r>
          </w:p>
        </w:tc>
      </w:tr>
    </w:tbl>
    <w:p>
      <w:pPr>
        <w:spacing w:after="120"/>
      </w:pPr>
    </w:p>
    <w:p>
      <w:pPr>
        <w:spacing w:before="320" w:after="160" w:line="240" w:lineRule="auto"/>
        <w:jc w:val="left"/>
      </w:pPr>
      <w:r>
        <w:rPr>
          <w:rFonts w:ascii="Calibri" w:hAnsi="Calibri"/>
          <w:b/>
          <w:sz w:val="22"/>
        </w:rPr>
        <w:t>B.2 Conversion to Common Unit (People Fed per $1M)</w:t>
      </w:r>
    </w:p>
    <w:p>
      <w:pPr>
        <w:spacing w:after="220" w:before="0" w:line="240" w:lineRule="auto"/>
        <w:jc w:val="left"/>
      </w:pPr>
      <w:r>
        <w:rPr>
          <w:rFonts w:ascii="Calibri" w:hAnsi="Calibri"/>
          <w:sz w:val="22"/>
        </w:rPr>
        <w:t>All policies were converted to a common metric:</w:t>
      </w:r>
    </w:p>
    <w:p>
      <w:pPr>
        <w:spacing w:after="220" w:before="0" w:line="240" w:lineRule="auto"/>
        <w:jc w:val="left"/>
      </w:pPr>
      <w:r>
        <w:rPr>
          <w:rFonts w:ascii="Calibri" w:hAnsi="Calibri"/>
          <w:sz w:val="22"/>
        </w:rPr>
        <w:t>Production policies: People fed = (tons produced × 3,600,000 kcal/ton) ÷ (2,393 kcal/day × 365 days/year). Example: 1 ton of rice = 3,600,000 kcal → 3,600,000 ÷ 873,445 = 4.12 people per ton per year.</w:t>
      </w:r>
    </w:p>
    <w:p>
      <w:pPr>
        <w:spacing w:after="220" w:before="0" w:line="240" w:lineRule="auto"/>
        <w:jc w:val="left"/>
      </w:pPr>
      <w:r>
        <w:rPr>
          <w:rFonts w:ascii="Calibri" w:hAnsi="Calibri"/>
          <w:sz w:val="22"/>
        </w:rPr>
        <w:t>Direct nutrition policies: People fed = program headcount × coverage factor.</w:t>
      </w:r>
    </w:p>
    <w:p>
      <w:pPr>
        <w:spacing w:after="220" w:before="0" w:line="240" w:lineRule="auto"/>
        <w:jc w:val="left"/>
      </w:pPr>
      <w:r>
        <w:rPr>
          <w:rFonts w:ascii="Calibri" w:hAnsi="Calibri"/>
          <w:sz w:val="22"/>
        </w:rPr>
        <w:t>Protection policies: Marginal people fed = base production × P(shock/year) × P(loss prevented) ÷ annual kcal per person.</w:t>
      </w:r>
    </w:p>
    <w:p>
      <w:pPr>
        <w:spacing w:before="320" w:after="160" w:line="240" w:lineRule="auto"/>
        <w:jc w:val="left"/>
      </w:pPr>
      <w:r>
        <w:rPr>
          <w:rFonts w:ascii="Calibri" w:hAnsi="Calibri"/>
          <w:b/>
          <w:sz w:val="22"/>
        </w:rPr>
        <w:t>B.3 Caloric Deficit Calculation</w:t>
      </w:r>
    </w:p>
    <w:p>
      <w:pPr>
        <w:spacing w:after="220" w:before="0" w:line="240" w:lineRule="auto"/>
        <w:jc w:val="left"/>
      </w:pPr>
      <w:r>
        <w:rPr>
          <w:rFonts w:ascii="Calibri" w:hAnsi="Calibri"/>
          <w:sz w:val="22"/>
        </w:rPr>
        <w:t>Undernourished population: 18,050,486 (FAO, 2022). Bangladesh extreme poverty caloric threshold: 1,805 kcal/day (BBS). National average caloric intake: 2,393 kcal/day (BBS HIES 2022). Estimated daily deficit per undernourished person: ~700 kcal. Total annual deficit: 18,050,486 × 700 × 365 = 4.612 trillion kcal.</w:t>
      </w:r>
    </w:p>
    <w:p>
      <w:pPr>
        <w:spacing w:before="320" w:after="160" w:line="240" w:lineRule="auto"/>
        <w:jc w:val="left"/>
      </w:pPr>
      <w:r>
        <w:rPr>
          <w:rFonts w:ascii="Calibri" w:hAnsi="Calibri"/>
          <w:b/>
          <w:sz w:val="22"/>
        </w:rPr>
        <w:t>B.4 Diminishing Returns Model</w:t>
      </w:r>
    </w:p>
    <w:p>
      <w:pPr>
        <w:spacing w:after="220" w:before="0" w:line="240" w:lineRule="auto"/>
        <w:jc w:val="left"/>
      </w:pPr>
      <w:r>
        <w:rPr>
          <w:rFonts w:ascii="Calibri" w:hAnsi="Calibri"/>
          <w:sz w:val="22"/>
        </w:rPr>
        <w:t>Each policy’s impact is modeled as a concave power function: impact(x) = (a / b) × x^b, where x = spending in $M, a = marginal impact at first unit of spending (people fed per $M), b = diminishing returns exponent (0 &lt; b &lt; 1).</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pPr>
              <w:spacing w:after="40" w:before="40"/>
            </w:pPr>
            <w:r/>
            <w:r>
              <w:rPr>
                <w:rFonts w:ascii="Calibri" w:hAnsi="Calibri"/>
                <w:b/>
                <w:sz w:val="18"/>
              </w:rPr>
              <w:t>b range</w:t>
            </w:r>
          </w:p>
        </w:tc>
        <w:tc>
          <w:tcPr>
            <w:tcW w:type="dxa" w:w="3120"/>
            <w:shd w:fill="D9E2F3" w:val="clear"/>
          </w:tcPr>
          <w:p>
            <w:pPr>
              <w:spacing w:after="40" w:before="40"/>
            </w:pPr>
            <w:r/>
            <w:r>
              <w:rPr>
                <w:rFonts w:ascii="Calibri" w:hAnsi="Calibri"/>
                <w:b/>
                <w:sz w:val="18"/>
              </w:rPr>
              <w:t>Policy type</w:t>
            </w:r>
          </w:p>
        </w:tc>
        <w:tc>
          <w:tcPr>
            <w:tcW w:type="dxa" w:w="3120"/>
            <w:shd w:fill="D9E2F3" w:val="clear"/>
          </w:tcPr>
          <w:p>
            <w:pPr>
              <w:spacing w:after="40" w:before="40"/>
            </w:pPr>
            <w:r/>
            <w:r>
              <w:rPr>
                <w:rFonts w:ascii="Calibri" w:hAnsi="Calibri"/>
                <w:b/>
                <w:sz w:val="18"/>
              </w:rPr>
              <w:t>Rationale</w:t>
            </w:r>
          </w:p>
        </w:tc>
      </w:tr>
      <w:tr>
        <w:tc>
          <w:tcPr>
            <w:tcW w:type="dxa" w:w="3120"/>
          </w:tcPr>
          <w:p>
            <w:pPr>
              <w:spacing w:after="20" w:before="20"/>
            </w:pPr>
            <w:r/>
            <w:r>
              <w:rPr>
                <w:rFonts w:ascii="Calibri" w:hAnsi="Calibri"/>
                <w:sz w:val="18"/>
              </w:rPr>
              <w:t>0.80–0.85</w:t>
            </w:r>
          </w:p>
        </w:tc>
        <w:tc>
          <w:tcPr>
            <w:tcW w:type="dxa" w:w="3120"/>
          </w:tcPr>
          <w:p>
            <w:pPr>
              <w:spacing w:after="20" w:before="20"/>
            </w:pPr>
            <w:r/>
            <w:r>
              <w:rPr>
                <w:rFonts w:ascii="Calibri" w:hAnsi="Calibri"/>
                <w:sz w:val="18"/>
              </w:rPr>
              <w:t>Standardized delivery (feeding, forecasting, early warning)</w:t>
            </w:r>
          </w:p>
        </w:tc>
        <w:tc>
          <w:tcPr>
            <w:tcW w:type="dxa" w:w="3120"/>
          </w:tcPr>
          <w:p>
            <w:pPr>
              <w:spacing w:after="20" w:before="20"/>
            </w:pPr>
            <w:r/>
            <w:r>
              <w:rPr>
                <w:rFonts w:ascii="Calibri" w:hAnsi="Calibri"/>
                <w:sz w:val="18"/>
              </w:rPr>
              <w:t>Milder drop-off at scale</w:t>
            </w:r>
          </w:p>
        </w:tc>
      </w:tr>
      <w:tr>
        <w:tc>
          <w:tcPr>
            <w:tcW w:type="dxa" w:w="3120"/>
          </w:tcPr>
          <w:p>
            <w:pPr>
              <w:spacing w:after="20" w:before="20"/>
            </w:pPr>
            <w:r/>
            <w:r>
              <w:rPr>
                <w:rFonts w:ascii="Calibri" w:hAnsi="Calibri"/>
                <w:sz w:val="18"/>
              </w:rPr>
              <w:t>0.70–0.75</w:t>
            </w:r>
          </w:p>
        </w:tc>
        <w:tc>
          <w:tcPr>
            <w:tcW w:type="dxa" w:w="3120"/>
          </w:tcPr>
          <w:p>
            <w:pPr>
              <w:spacing w:after="20" w:before="20"/>
            </w:pPr>
            <w:r/>
            <w:r>
              <w:rPr>
                <w:rFonts w:ascii="Calibri" w:hAnsi="Calibri"/>
                <w:sz w:val="18"/>
              </w:rPr>
              <w:t>Agricultural production (rice, AWD, storage, aquaculture, solar)</w:t>
            </w:r>
          </w:p>
        </w:tc>
        <w:tc>
          <w:tcPr>
            <w:tcW w:type="dxa" w:w="3120"/>
          </w:tcPr>
          <w:p>
            <w:pPr>
              <w:spacing w:after="20" w:before="20"/>
            </w:pPr>
            <w:r/>
            <w:r>
              <w:rPr>
                <w:rFonts w:ascii="Calibri" w:hAnsi="Calibri"/>
                <w:sz w:val="18"/>
              </w:rPr>
              <w:t>Terrain, access, behavioral constraints</w:t>
            </w:r>
          </w:p>
        </w:tc>
      </w:tr>
      <w:tr>
        <w:tc>
          <w:tcPr>
            <w:tcW w:type="dxa" w:w="3120"/>
          </w:tcPr>
          <w:p>
            <w:pPr>
              <w:spacing w:after="20" w:before="20"/>
            </w:pPr>
            <w:r/>
            <w:r>
              <w:rPr>
                <w:rFonts w:ascii="Calibri" w:hAnsi="Calibri"/>
                <w:sz w:val="18"/>
              </w:rPr>
              <w:t>0.60–0.65</w:t>
            </w:r>
          </w:p>
        </w:tc>
        <w:tc>
          <w:tcPr>
            <w:tcW w:type="dxa" w:w="3120"/>
          </w:tcPr>
          <w:p>
            <w:pPr>
              <w:spacing w:after="20" w:before="20"/>
            </w:pPr>
            <w:r/>
            <w:r>
              <w:rPr>
                <w:rFonts w:ascii="Calibri" w:hAnsi="Calibri"/>
                <w:sz w:val="18"/>
              </w:rPr>
              <w:t>Behavioral change (crop diversification, canal excavation)</w:t>
            </w:r>
          </w:p>
        </w:tc>
        <w:tc>
          <w:tcPr>
            <w:tcW w:type="dxa" w:w="3120"/>
          </w:tcPr>
          <w:p>
            <w:pPr>
              <w:spacing w:after="20" w:before="20"/>
            </w:pPr>
            <w:r/>
            <w:r>
              <w:rPr>
                <w:rFonts w:ascii="Calibri" w:hAnsi="Calibri"/>
                <w:sz w:val="18"/>
              </w:rPr>
              <w:t>Requires cultural shift</w:t>
            </w:r>
          </w:p>
        </w:tc>
      </w:tr>
      <w:tr>
        <w:tc>
          <w:tcPr>
            <w:tcW w:type="dxa" w:w="3120"/>
          </w:tcPr>
          <w:p>
            <w:pPr>
              <w:spacing w:after="20" w:before="20"/>
            </w:pPr>
            <w:r/>
            <w:r>
              <w:rPr>
                <w:rFonts w:ascii="Calibri" w:hAnsi="Calibri"/>
                <w:sz w:val="18"/>
              </w:rPr>
              <w:t>0.50</w:t>
            </w:r>
          </w:p>
        </w:tc>
        <w:tc>
          <w:tcPr>
            <w:tcW w:type="dxa" w:w="3120"/>
          </w:tcPr>
          <w:p>
            <w:pPr>
              <w:spacing w:after="20" w:before="20"/>
            </w:pPr>
            <w:r/>
            <w:r>
              <w:rPr>
                <w:rFonts w:ascii="Calibri" w:hAnsi="Calibri"/>
                <w:sz w:val="18"/>
              </w:rPr>
              <w:t>Highest resistance (tree planting, farmer insurance)</w:t>
            </w:r>
          </w:p>
        </w:tc>
        <w:tc>
          <w:tcPr>
            <w:tcW w:type="dxa" w:w="3120"/>
          </w:tcPr>
          <w:p>
            <w:pPr>
              <w:spacing w:after="20" w:before="20"/>
            </w:pPr>
            <w:r/>
            <w:r>
              <w:rPr>
                <w:rFonts w:ascii="Calibri" w:hAnsi="Calibri"/>
                <w:sz w:val="18"/>
              </w:rPr>
              <w:t>Steepest diminishing returns</w:t>
            </w:r>
          </w:p>
        </w:tc>
      </w:tr>
    </w:tbl>
    <w:p>
      <w:pPr>
        <w:spacing w:after="120"/>
      </w:pPr>
    </w:p>
    <w:p>
      <w:pPr>
        <w:spacing w:before="320" w:after="160" w:line="240" w:lineRule="auto"/>
        <w:jc w:val="left"/>
      </w:pPr>
      <w:r>
        <w:rPr>
          <w:rFonts w:ascii="Calibri" w:hAnsi="Calibri"/>
          <w:b/>
          <w:sz w:val="22"/>
        </w:rPr>
        <w:t>B.5 Synergy Terms</w:t>
      </w:r>
    </w:p>
    <w:p>
      <w:pPr>
        <w:spacing w:after="220" w:before="0" w:line="240" w:lineRule="auto"/>
        <w:jc w:val="left"/>
      </w:pPr>
      <w:r>
        <w:rPr>
          <w:rFonts w:ascii="Calibri" w:hAnsi="Calibri"/>
          <w:sz w:val="22"/>
        </w:rPr>
        <w:t>Seven policy pairs received synergy bonuses. Synergy formula: S(i,j) = α × √(f_i × f_j) × (Impact_i + Impact_j), where f = deployment fraction (spend / max budget), α = synergy coefficient.</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pPr>
              <w:spacing w:after="40" w:before="40"/>
            </w:pPr>
            <w:r/>
            <w:r>
              <w:rPr>
                <w:rFonts w:ascii="Calibri" w:hAnsi="Calibri"/>
                <w:b/>
                <w:sz w:val="18"/>
              </w:rPr>
              <w:t>Pair</w:t>
            </w:r>
          </w:p>
        </w:tc>
        <w:tc>
          <w:tcPr>
            <w:tcW w:type="dxa" w:w="3120"/>
            <w:shd w:fill="D9E2F3" w:val="clear"/>
          </w:tcPr>
          <w:p>
            <w:pPr>
              <w:spacing w:after="40" w:before="40"/>
            </w:pPr>
            <w:r/>
            <w:r>
              <w:rPr>
                <w:rFonts w:ascii="Calibri" w:hAnsi="Calibri"/>
                <w:b/>
                <w:sz w:val="18"/>
              </w:rPr>
              <w:t>α</w:t>
            </w:r>
          </w:p>
        </w:tc>
        <w:tc>
          <w:tcPr>
            <w:tcW w:type="dxa" w:w="3120"/>
            <w:shd w:fill="D9E2F3" w:val="clear"/>
          </w:tcPr>
          <w:p>
            <w:pPr>
              <w:spacing w:after="40" w:before="40"/>
            </w:pPr>
            <w:r/>
            <w:r>
              <w:rPr>
                <w:rFonts w:ascii="Calibri" w:hAnsi="Calibri"/>
                <w:b/>
                <w:sz w:val="18"/>
              </w:rPr>
              <w:t>Evidence</w:t>
            </w:r>
          </w:p>
        </w:tc>
      </w:tr>
      <w:tr>
        <w:tc>
          <w:tcPr>
            <w:tcW w:type="dxa" w:w="3120"/>
          </w:tcPr>
          <w:p>
            <w:pPr>
              <w:spacing w:after="20" w:before="20"/>
            </w:pPr>
            <w:r/>
            <w:r>
              <w:rPr>
                <w:rFonts w:ascii="Calibri" w:hAnsi="Calibri"/>
                <w:sz w:val="18"/>
              </w:rPr>
              <w:t>Cyclone early warning × Flood forecasting</w:t>
            </w:r>
          </w:p>
        </w:tc>
        <w:tc>
          <w:tcPr>
            <w:tcW w:type="dxa" w:w="3120"/>
          </w:tcPr>
          <w:p>
            <w:pPr>
              <w:spacing w:after="20" w:before="20"/>
            </w:pPr>
            <w:r/>
            <w:r>
              <w:rPr>
                <w:rFonts w:ascii="Calibri" w:hAnsi="Calibri"/>
                <w:sz w:val="18"/>
              </w:rPr>
              <w:t>0.35</w:t>
            </w:r>
          </w:p>
        </w:tc>
        <w:tc>
          <w:tcPr>
            <w:tcW w:type="dxa" w:w="3120"/>
          </w:tcPr>
          <w:p>
            <w:pPr>
              <w:spacing w:after="20" w:before="20"/>
            </w:pPr>
            <w:r/>
            <w:r>
              <w:rPr>
                <w:rFonts w:ascii="Calibri" w:hAnsi="Calibri"/>
                <w:sz w:val="18"/>
              </w:rPr>
              <w:t>FFWC + Cyclone Preparedness Programme</w:t>
            </w:r>
          </w:p>
        </w:tc>
      </w:tr>
      <w:tr>
        <w:tc>
          <w:tcPr>
            <w:tcW w:type="dxa" w:w="3120"/>
          </w:tcPr>
          <w:p>
            <w:pPr>
              <w:spacing w:after="20" w:before="20"/>
            </w:pPr>
            <w:r/>
            <w:r>
              <w:rPr>
                <w:rFonts w:ascii="Calibri" w:hAnsi="Calibri"/>
                <w:sz w:val="18"/>
              </w:rPr>
              <w:t>Post-harvest storage × Crop diversification</w:t>
            </w:r>
          </w:p>
        </w:tc>
        <w:tc>
          <w:tcPr>
            <w:tcW w:type="dxa" w:w="3120"/>
          </w:tcPr>
          <w:p>
            <w:pPr>
              <w:spacing w:after="20" w:before="20"/>
            </w:pPr>
            <w:r/>
            <w:r>
              <w:rPr>
                <w:rFonts w:ascii="Calibri" w:hAnsi="Calibri"/>
                <w:sz w:val="18"/>
              </w:rPr>
              <w:t>0.25</w:t>
            </w:r>
          </w:p>
        </w:tc>
        <w:tc>
          <w:tcPr>
            <w:tcW w:type="dxa" w:w="3120"/>
          </w:tcPr>
          <w:p>
            <w:pPr>
              <w:spacing w:after="20" w:before="20"/>
            </w:pPr>
            <w:r/>
            <w:r>
              <w:rPr>
                <w:rFonts w:ascii="Calibri" w:hAnsi="Calibri"/>
                <w:sz w:val="18"/>
              </w:rPr>
              <w:t>FAO value chain studies</w:t>
            </w:r>
          </w:p>
        </w:tc>
      </w:tr>
      <w:tr>
        <w:tc>
          <w:tcPr>
            <w:tcW w:type="dxa" w:w="3120"/>
          </w:tcPr>
          <w:p>
            <w:pPr>
              <w:spacing w:after="20" w:before="20"/>
            </w:pPr>
            <w:r/>
            <w:r>
              <w:rPr>
                <w:rFonts w:ascii="Calibri" w:hAnsi="Calibri"/>
                <w:sz w:val="18"/>
              </w:rPr>
              <w:t>Flood-tolerant rice × AWD irrigation</w:t>
            </w:r>
          </w:p>
        </w:tc>
        <w:tc>
          <w:tcPr>
            <w:tcW w:type="dxa" w:w="3120"/>
          </w:tcPr>
          <w:p>
            <w:pPr>
              <w:spacing w:after="20" w:before="20"/>
            </w:pPr>
            <w:r/>
            <w:r>
              <w:rPr>
                <w:rFonts w:ascii="Calibri" w:hAnsi="Calibri"/>
                <w:sz w:val="18"/>
              </w:rPr>
              <w:t>0.20</w:t>
            </w:r>
          </w:p>
        </w:tc>
        <w:tc>
          <w:tcPr>
            <w:tcW w:type="dxa" w:w="3120"/>
          </w:tcPr>
          <w:p>
            <w:pPr>
              <w:spacing w:after="20" w:before="20"/>
            </w:pPr>
            <w:r/>
            <w:r>
              <w:rPr>
                <w:rFonts w:ascii="Calibri" w:hAnsi="Calibri"/>
                <w:sz w:val="18"/>
              </w:rPr>
              <w:t>IRRI compound adoption trials</w:t>
            </w:r>
          </w:p>
        </w:tc>
      </w:tr>
      <w:tr>
        <w:tc>
          <w:tcPr>
            <w:tcW w:type="dxa" w:w="3120"/>
          </w:tcPr>
          <w:p>
            <w:pPr>
              <w:spacing w:after="20" w:before="20"/>
            </w:pPr>
            <w:r/>
            <w:r>
              <w:rPr>
                <w:rFonts w:ascii="Calibri" w:hAnsi="Calibri"/>
                <w:sz w:val="18"/>
              </w:rPr>
              <w:t>Saline-tolerant rice × AWD irrigation</w:t>
            </w:r>
          </w:p>
        </w:tc>
        <w:tc>
          <w:tcPr>
            <w:tcW w:type="dxa" w:w="3120"/>
          </w:tcPr>
          <w:p>
            <w:pPr>
              <w:spacing w:after="20" w:before="20"/>
            </w:pPr>
            <w:r/>
            <w:r>
              <w:rPr>
                <w:rFonts w:ascii="Calibri" w:hAnsi="Calibri"/>
                <w:sz w:val="18"/>
              </w:rPr>
              <w:t>0.20</w:t>
            </w:r>
          </w:p>
        </w:tc>
        <w:tc>
          <w:tcPr>
            <w:tcW w:type="dxa" w:w="3120"/>
          </w:tcPr>
          <w:p>
            <w:pPr>
              <w:spacing w:after="20" w:before="20"/>
            </w:pPr>
            <w:r/>
            <w:r>
              <w:rPr>
                <w:rFonts w:ascii="Calibri" w:hAnsi="Calibri"/>
                <w:sz w:val="18"/>
              </w:rPr>
              <w:t>BRRI coastal zone trials</w:t>
            </w:r>
          </w:p>
        </w:tc>
      </w:tr>
      <w:tr>
        <w:tc>
          <w:tcPr>
            <w:tcW w:type="dxa" w:w="3120"/>
          </w:tcPr>
          <w:p>
            <w:pPr>
              <w:spacing w:after="20" w:before="20"/>
            </w:pPr>
            <w:r/>
            <w:r>
              <w:rPr>
                <w:rFonts w:ascii="Calibri" w:hAnsi="Calibri"/>
                <w:sz w:val="18"/>
              </w:rPr>
              <w:t>Farmer insurance × Flood-tolerant rice</w:t>
            </w:r>
          </w:p>
        </w:tc>
        <w:tc>
          <w:tcPr>
            <w:tcW w:type="dxa" w:w="3120"/>
          </w:tcPr>
          <w:p>
            <w:pPr>
              <w:spacing w:after="20" w:before="20"/>
            </w:pPr>
            <w:r/>
            <w:r>
              <w:rPr>
                <w:rFonts w:ascii="Calibri" w:hAnsi="Calibri"/>
                <w:sz w:val="18"/>
              </w:rPr>
              <w:t>0.15</w:t>
            </w:r>
          </w:p>
        </w:tc>
        <w:tc>
          <w:tcPr>
            <w:tcW w:type="dxa" w:w="3120"/>
          </w:tcPr>
          <w:p>
            <w:pPr>
              <w:spacing w:after="20" w:before="20"/>
            </w:pPr>
            <w:r/>
            <w:r>
              <w:rPr>
                <w:rFonts w:ascii="Calibri" w:hAnsi="Calibri"/>
                <w:sz w:val="18"/>
              </w:rPr>
              <w:t>World Bank — removes adoption barrier</w:t>
            </w:r>
          </w:p>
        </w:tc>
      </w:tr>
      <w:tr>
        <w:tc>
          <w:tcPr>
            <w:tcW w:type="dxa" w:w="3120"/>
          </w:tcPr>
          <w:p>
            <w:pPr>
              <w:spacing w:after="20" w:before="20"/>
            </w:pPr>
            <w:r/>
            <w:r>
              <w:rPr>
                <w:rFonts w:ascii="Calibri" w:hAnsi="Calibri"/>
                <w:sz w:val="18"/>
              </w:rPr>
              <w:t>Aquaculture × Crop diversification</w:t>
            </w:r>
          </w:p>
        </w:tc>
        <w:tc>
          <w:tcPr>
            <w:tcW w:type="dxa" w:w="3120"/>
          </w:tcPr>
          <w:p>
            <w:pPr>
              <w:spacing w:after="20" w:before="20"/>
            </w:pPr>
            <w:r/>
            <w:r>
              <w:rPr>
                <w:rFonts w:ascii="Calibri" w:hAnsi="Calibri"/>
                <w:sz w:val="18"/>
              </w:rPr>
              <w:t>0.15</w:t>
            </w:r>
          </w:p>
        </w:tc>
        <w:tc>
          <w:tcPr>
            <w:tcW w:type="dxa" w:w="3120"/>
          </w:tcPr>
          <w:p>
            <w:pPr>
              <w:spacing w:after="20" w:before="20"/>
            </w:pPr>
            <w:r/>
            <w:r>
              <w:rPr>
                <w:rFonts w:ascii="Calibri" w:hAnsi="Calibri"/>
                <w:sz w:val="18"/>
              </w:rPr>
              <w:t>Dept. of Fisheries — rice-fish farming</w:t>
            </w:r>
          </w:p>
        </w:tc>
      </w:tr>
      <w:tr>
        <w:tc>
          <w:tcPr>
            <w:tcW w:type="dxa" w:w="3120"/>
          </w:tcPr>
          <w:p>
            <w:pPr>
              <w:spacing w:after="20" w:before="20"/>
            </w:pPr>
            <w:r/>
            <w:r>
              <w:rPr>
                <w:rFonts w:ascii="Calibri" w:hAnsi="Calibri"/>
                <w:sz w:val="18"/>
              </w:rPr>
              <w:t>Tree planting × River/canal excavation</w:t>
            </w:r>
          </w:p>
        </w:tc>
        <w:tc>
          <w:tcPr>
            <w:tcW w:type="dxa" w:w="3120"/>
          </w:tcPr>
          <w:p>
            <w:pPr>
              <w:spacing w:after="20" w:before="20"/>
            </w:pPr>
            <w:r/>
            <w:r>
              <w:rPr>
                <w:rFonts w:ascii="Calibri" w:hAnsi="Calibri"/>
                <w:sz w:val="18"/>
              </w:rPr>
              <w:t>0.10</w:t>
            </w:r>
          </w:p>
        </w:tc>
        <w:tc>
          <w:tcPr>
            <w:tcW w:type="dxa" w:w="3120"/>
          </w:tcPr>
          <w:p>
            <w:pPr>
              <w:spacing w:after="20" w:before="20"/>
            </w:pPr>
            <w:r/>
            <w:r>
              <w:rPr>
                <w:rFonts w:ascii="Calibri" w:hAnsi="Calibri"/>
                <w:sz w:val="18"/>
              </w:rPr>
              <w:t>BDP2100 — riparian cover prevents re-siltation</w:t>
            </w:r>
          </w:p>
        </w:tc>
      </w:tr>
    </w:tbl>
    <w:p>
      <w:pPr>
        <w:spacing w:after="120"/>
      </w:pPr>
    </w:p>
    <w:p>
      <w:pPr>
        <w:spacing w:before="320" w:after="160" w:line="240" w:lineRule="auto"/>
        <w:jc w:val="left"/>
      </w:pPr>
      <w:r>
        <w:rPr>
          <w:rFonts w:ascii="Calibri" w:hAnsi="Calibri"/>
          <w:b/>
          <w:sz w:val="22"/>
        </w:rPr>
        <w:t>B.6 Timeline Multipliers</w:t>
      </w:r>
    </w:p>
    <w:p>
      <w:pPr>
        <w:spacing w:after="220" w:before="0" w:line="240" w:lineRule="auto"/>
        <w:jc w:val="left"/>
      </w:pPr>
      <w:r>
        <w:rPr>
          <w:rFonts w:ascii="Calibri" w:hAnsi="Calibri"/>
          <w:sz w:val="22"/>
        </w:rPr>
        <w:t>Single-year snapshots undervalue infrastructure. These multipliers convert year-1 impact to a 10-year-equivalent:</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pPr>
              <w:spacing w:after="40" w:before="40"/>
            </w:pPr>
            <w:r/>
            <w:r>
              <w:rPr>
                <w:rFonts w:ascii="Calibri" w:hAnsi="Calibri"/>
                <w:b/>
                <w:sz w:val="18"/>
              </w:rPr>
              <w:t>Policy type</w:t>
            </w:r>
          </w:p>
        </w:tc>
        <w:tc>
          <w:tcPr>
            <w:tcW w:type="dxa" w:w="3120"/>
            <w:shd w:fill="D9E2F3" w:val="clear"/>
          </w:tcPr>
          <w:p>
            <w:pPr>
              <w:spacing w:after="40" w:before="40"/>
            </w:pPr>
            <w:r/>
            <w:r>
              <w:rPr>
                <w:rFonts w:ascii="Calibri" w:hAnsi="Calibri"/>
                <w:b/>
                <w:sz w:val="18"/>
              </w:rPr>
              <w:t>Multiplier</w:t>
            </w:r>
          </w:p>
        </w:tc>
        <w:tc>
          <w:tcPr>
            <w:tcW w:type="dxa" w:w="3120"/>
            <w:shd w:fill="D9E2F3" w:val="clear"/>
          </w:tcPr>
          <w:p>
            <w:pPr>
              <w:spacing w:after="40" w:before="40"/>
            </w:pPr>
            <w:r/>
            <w:r>
              <w:rPr>
                <w:rFonts w:ascii="Calibri" w:hAnsi="Calibri"/>
                <w:b/>
                <w:sz w:val="18"/>
              </w:rPr>
              <w:t>Rationale</w:t>
            </w:r>
          </w:p>
        </w:tc>
      </w:tr>
      <w:tr>
        <w:tc>
          <w:tcPr>
            <w:tcW w:type="dxa" w:w="3120"/>
          </w:tcPr>
          <w:p>
            <w:pPr>
              <w:spacing w:after="20" w:before="20"/>
            </w:pPr>
            <w:r/>
            <w:r>
              <w:rPr>
                <w:rFonts w:ascii="Calibri" w:hAnsi="Calibri"/>
                <w:sz w:val="18"/>
              </w:rPr>
              <w:t>Direct nutrition</w:t>
            </w:r>
          </w:p>
        </w:tc>
        <w:tc>
          <w:tcPr>
            <w:tcW w:type="dxa" w:w="3120"/>
          </w:tcPr>
          <w:p>
            <w:pPr>
              <w:spacing w:after="20" w:before="20"/>
            </w:pPr>
            <w:r/>
            <w:r>
              <w:rPr>
                <w:rFonts w:ascii="Calibri" w:hAnsi="Calibri"/>
                <w:sz w:val="18"/>
              </w:rPr>
              <w:t>1.00</w:t>
            </w:r>
          </w:p>
        </w:tc>
        <w:tc>
          <w:tcPr>
            <w:tcW w:type="dxa" w:w="3120"/>
          </w:tcPr>
          <w:p>
            <w:pPr>
              <w:spacing w:after="20" w:before="20"/>
            </w:pPr>
            <w:r/>
            <w:r>
              <w:rPr>
                <w:rFonts w:ascii="Calibri" w:hAnsi="Calibri"/>
                <w:sz w:val="18"/>
              </w:rPr>
              <w:t>Immediate impact, only while funded</w:t>
            </w:r>
          </w:p>
        </w:tc>
      </w:tr>
      <w:tr>
        <w:tc>
          <w:tcPr>
            <w:tcW w:type="dxa" w:w="3120"/>
          </w:tcPr>
          <w:p>
            <w:pPr>
              <w:spacing w:after="20" w:before="20"/>
            </w:pPr>
            <w:r/>
            <w:r>
              <w:rPr>
                <w:rFonts w:ascii="Calibri" w:hAnsi="Calibri"/>
                <w:sz w:val="18"/>
              </w:rPr>
              <w:t>Production</w:t>
            </w:r>
          </w:p>
        </w:tc>
        <w:tc>
          <w:tcPr>
            <w:tcW w:type="dxa" w:w="3120"/>
          </w:tcPr>
          <w:p>
            <w:pPr>
              <w:spacing w:after="20" w:before="20"/>
            </w:pPr>
            <w:r/>
            <w:r>
              <w:rPr>
                <w:rFonts w:ascii="Calibri" w:hAnsi="Calibri"/>
                <w:sz w:val="18"/>
              </w:rPr>
              <w:t>1.15</w:t>
            </w:r>
          </w:p>
        </w:tc>
        <w:tc>
          <w:tcPr>
            <w:tcW w:type="dxa" w:w="3120"/>
          </w:tcPr>
          <w:p>
            <w:pPr>
              <w:spacing w:after="20" w:before="20"/>
            </w:pPr>
            <w:r/>
            <w:r>
              <w:rPr>
                <w:rFonts w:ascii="Calibri" w:hAnsi="Calibri"/>
                <w:sz w:val="18"/>
              </w:rPr>
              <w:t>Ramps up over 2–3 years, then persists</w:t>
            </w:r>
          </w:p>
        </w:tc>
      </w:tr>
      <w:tr>
        <w:tc>
          <w:tcPr>
            <w:tcW w:type="dxa" w:w="3120"/>
          </w:tcPr>
          <w:p>
            <w:pPr>
              <w:spacing w:after="20" w:before="20"/>
            </w:pPr>
            <w:r/>
            <w:r>
              <w:rPr>
                <w:rFonts w:ascii="Calibri" w:hAnsi="Calibri"/>
                <w:sz w:val="18"/>
              </w:rPr>
              <w:t>Protection</w:t>
            </w:r>
          </w:p>
        </w:tc>
        <w:tc>
          <w:tcPr>
            <w:tcW w:type="dxa" w:w="3120"/>
          </w:tcPr>
          <w:p>
            <w:pPr>
              <w:spacing w:after="20" w:before="20"/>
            </w:pPr>
            <w:r/>
            <w:r>
              <w:rPr>
                <w:rFonts w:ascii="Calibri" w:hAnsi="Calibri"/>
                <w:sz w:val="18"/>
              </w:rPr>
              <w:t>1.40</w:t>
            </w:r>
          </w:p>
        </w:tc>
        <w:tc>
          <w:tcPr>
            <w:tcW w:type="dxa" w:w="3120"/>
          </w:tcPr>
          <w:p>
            <w:pPr>
              <w:spacing w:after="20" w:before="20"/>
            </w:pPr>
            <w:r/>
            <w:r>
              <w:rPr>
                <w:rFonts w:ascii="Calibri" w:hAnsi="Calibri"/>
                <w:sz w:val="18"/>
              </w:rPr>
              <w:t>Prevents cumulative losses across ~3 shock cycles/decade</w:t>
            </w:r>
          </w:p>
        </w:tc>
      </w:tr>
      <w:tr>
        <w:tc>
          <w:tcPr>
            <w:tcW w:type="dxa" w:w="3120"/>
          </w:tcPr>
          <w:p>
            <w:pPr>
              <w:spacing w:after="20" w:before="20"/>
            </w:pPr>
            <w:r/>
            <w:r>
              <w:rPr>
                <w:rFonts w:ascii="Calibri" w:hAnsi="Calibri"/>
                <w:sz w:val="18"/>
              </w:rPr>
              <w:t>Infrastructure</w:t>
            </w:r>
          </w:p>
        </w:tc>
        <w:tc>
          <w:tcPr>
            <w:tcW w:type="dxa" w:w="3120"/>
          </w:tcPr>
          <w:p>
            <w:pPr>
              <w:spacing w:after="20" w:before="20"/>
            </w:pPr>
            <w:r/>
            <w:r>
              <w:rPr>
                <w:rFonts w:ascii="Calibri" w:hAnsi="Calibri"/>
                <w:sz w:val="18"/>
              </w:rPr>
              <w:t>1.50</w:t>
            </w:r>
          </w:p>
        </w:tc>
        <w:tc>
          <w:tcPr>
            <w:tcW w:type="dxa" w:w="3120"/>
          </w:tcPr>
          <w:p>
            <w:pPr>
              <w:spacing w:after="20" w:before="20"/>
            </w:pPr>
            <w:r/>
            <w:r>
              <w:rPr>
                <w:rFonts w:ascii="Calibri" w:hAnsi="Calibri"/>
                <w:sz w:val="18"/>
              </w:rPr>
              <w:t>Years to mature but compounds over a full decade</w:t>
            </w:r>
          </w:p>
        </w:tc>
      </w:tr>
    </w:tbl>
    <w:p>
      <w:pPr>
        <w:spacing w:after="120"/>
      </w:pPr>
    </w:p>
    <w:p>
      <w:pPr>
        <w:spacing w:before="320" w:after="160" w:line="240" w:lineRule="auto"/>
        <w:jc w:val="left"/>
      </w:pPr>
      <w:r>
        <w:rPr>
          <w:rFonts w:ascii="Calibri" w:hAnsi="Calibri"/>
          <w:b/>
          <w:sz w:val="22"/>
        </w:rPr>
        <w:t>B.7 Political and Budget Constraints</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pPr>
              <w:spacing w:after="40" w:before="40"/>
            </w:pPr>
            <w:r/>
            <w:r>
              <w:rPr>
                <w:rFonts w:ascii="Calibri" w:hAnsi="Calibri"/>
                <w:b/>
                <w:sz w:val="18"/>
              </w:rPr>
              <w:t>Constraint</w:t>
            </w:r>
          </w:p>
        </w:tc>
        <w:tc>
          <w:tcPr>
            <w:tcW w:type="dxa" w:w="3120"/>
            <w:shd w:fill="D9E2F3" w:val="clear"/>
          </w:tcPr>
          <w:p>
            <w:pPr>
              <w:spacing w:after="40" w:before="40"/>
            </w:pPr>
            <w:r/>
            <w:r>
              <w:rPr>
                <w:rFonts w:ascii="Calibri" w:hAnsi="Calibri"/>
                <w:b/>
                <w:sz w:val="18"/>
              </w:rPr>
              <w:t>Value</w:t>
            </w:r>
          </w:p>
        </w:tc>
        <w:tc>
          <w:tcPr>
            <w:tcW w:type="dxa" w:w="3120"/>
            <w:shd w:fill="D9E2F3" w:val="clear"/>
          </w:tcPr>
          <w:p>
            <w:pPr>
              <w:spacing w:after="40" w:before="40"/>
            </w:pPr>
            <w:r/>
            <w:r>
              <w:rPr>
                <w:rFonts w:ascii="Calibri" w:hAnsi="Calibri"/>
                <w:b/>
                <w:sz w:val="18"/>
              </w:rPr>
              <w:t>Source</w:t>
            </w:r>
          </w:p>
        </w:tc>
      </w:tr>
      <w:tr>
        <w:tc>
          <w:tcPr>
            <w:tcW w:type="dxa" w:w="3120"/>
          </w:tcPr>
          <w:p>
            <w:pPr>
              <w:spacing w:after="20" w:before="20"/>
            </w:pPr>
            <w:r/>
            <w:r>
              <w:rPr>
                <w:rFonts w:ascii="Calibri" w:hAnsi="Calibri"/>
                <w:sz w:val="18"/>
              </w:rPr>
              <w:t>BDP 2100 annual allocation</w:t>
            </w:r>
          </w:p>
        </w:tc>
        <w:tc>
          <w:tcPr>
            <w:tcW w:type="dxa" w:w="3120"/>
          </w:tcPr>
          <w:p>
            <w:pPr>
              <w:spacing w:after="20" w:before="20"/>
            </w:pPr>
            <w:r/>
            <w:r>
              <w:rPr>
                <w:rFonts w:ascii="Calibri" w:hAnsi="Calibri"/>
                <w:sz w:val="18"/>
              </w:rPr>
              <w:t>2.5% of GDP (~$11.9B)</w:t>
            </w:r>
          </w:p>
        </w:tc>
        <w:tc>
          <w:tcPr>
            <w:tcW w:type="dxa" w:w="3120"/>
          </w:tcPr>
          <w:p>
            <w:pPr>
              <w:spacing w:after="20" w:before="20"/>
            </w:pPr>
            <w:r/>
            <w:r>
              <w:rPr>
                <w:rFonts w:ascii="Calibri" w:hAnsi="Calibri"/>
                <w:sz w:val="18"/>
              </w:rPr>
              <w:t>The Daily Ittefaq; BDP2100</w:t>
            </w:r>
          </w:p>
        </w:tc>
      </w:tr>
      <w:tr>
        <w:tc>
          <w:tcPr>
            <w:tcW w:type="dxa" w:w="3120"/>
          </w:tcPr>
          <w:p>
            <w:pPr>
              <w:spacing w:after="20" w:before="20"/>
            </w:pPr>
            <w:r/>
            <w:r>
              <w:rPr>
                <w:rFonts w:ascii="Calibri" w:hAnsi="Calibri"/>
                <w:sz w:val="18"/>
              </w:rPr>
              <w:t>BDP 2100 political risk discount</w:t>
            </w:r>
          </w:p>
        </w:tc>
        <w:tc>
          <w:tcPr>
            <w:tcW w:type="dxa" w:w="3120"/>
          </w:tcPr>
          <w:p>
            <w:pPr>
              <w:spacing w:after="20" w:before="20"/>
            </w:pPr>
            <w:r/>
            <w:r>
              <w:rPr>
                <w:rFonts w:ascii="Calibri" w:hAnsi="Calibri"/>
                <w:sz w:val="18"/>
              </w:rPr>
              <w:t>40% reduction (→ $7.1B effective)</w:t>
            </w:r>
          </w:p>
        </w:tc>
        <w:tc>
          <w:tcPr>
            <w:tcW w:type="dxa" w:w="3120"/>
          </w:tcPr>
          <w:p>
            <w:pPr>
              <w:spacing w:after="20" w:before="20"/>
            </w:pPr>
            <w:r/>
            <w:r>
              <w:rPr>
                <w:rFonts w:ascii="Calibri" w:hAnsi="Calibri"/>
                <w:sz w:val="18"/>
              </w:rPr>
              <w:t>BNP–Awami League rivalry</w:t>
            </w:r>
          </w:p>
        </w:tc>
      </w:tr>
      <w:tr>
        <w:tc>
          <w:tcPr>
            <w:tcW w:type="dxa" w:w="3120"/>
          </w:tcPr>
          <w:p>
            <w:pPr>
              <w:spacing w:after="20" w:before="20"/>
            </w:pPr>
            <w:r/>
            <w:r>
              <w:rPr>
                <w:rFonts w:ascii="Calibri" w:hAnsi="Calibri"/>
                <w:sz w:val="18"/>
              </w:rPr>
              <w:t>International aid (guaranteed)</w:t>
            </w:r>
          </w:p>
        </w:tc>
        <w:tc>
          <w:tcPr>
            <w:tcW w:type="dxa" w:w="3120"/>
          </w:tcPr>
          <w:p>
            <w:pPr>
              <w:spacing w:after="20" w:before="20"/>
            </w:pPr>
            <w:r/>
            <w:r>
              <w:rPr>
                <w:rFonts w:ascii="Calibri" w:hAnsi="Calibri"/>
                <w:sz w:val="18"/>
              </w:rPr>
              <w:t>~$900M–$1.5B/year</w:t>
            </w:r>
          </w:p>
        </w:tc>
        <w:tc>
          <w:tcPr>
            <w:tcW w:type="dxa" w:w="3120"/>
          </w:tcPr>
          <w:p>
            <w:pPr>
              <w:spacing w:after="20" w:before="20"/>
            </w:pPr>
            <w:r/>
            <w:r>
              <w:rPr>
                <w:rFonts w:ascii="Calibri" w:hAnsi="Calibri"/>
                <w:sz w:val="18"/>
              </w:rPr>
              <w:t>World Bank; ADB; GCF</w:t>
            </w:r>
          </w:p>
        </w:tc>
      </w:tr>
      <w:tr>
        <w:tc>
          <w:tcPr>
            <w:tcW w:type="dxa" w:w="3120"/>
          </w:tcPr>
          <w:p>
            <w:pPr>
              <w:spacing w:after="20" w:before="20"/>
            </w:pPr>
            <w:r/>
            <w:r>
              <w:rPr>
                <w:rFonts w:ascii="Calibri" w:hAnsi="Calibri"/>
                <w:sz w:val="18"/>
              </w:rPr>
              <w:t>BNP policy floor</w:t>
            </w:r>
          </w:p>
        </w:tc>
        <w:tc>
          <w:tcPr>
            <w:tcW w:type="dxa" w:w="3120"/>
          </w:tcPr>
          <w:p>
            <w:pPr>
              <w:spacing w:after="20" w:before="20"/>
            </w:pPr>
            <w:r/>
            <w:r>
              <w:rPr>
                <w:rFonts w:ascii="Calibri" w:hAnsi="Calibri"/>
                <w:sz w:val="18"/>
              </w:rPr>
              <w:t>35% of budget to BNP-aligned</w:t>
            </w:r>
          </w:p>
        </w:tc>
        <w:tc>
          <w:tcPr>
            <w:tcW w:type="dxa" w:w="3120"/>
          </w:tcPr>
          <w:p>
            <w:pPr>
              <w:spacing w:after="20" w:before="20"/>
            </w:pPr>
            <w:r/>
            <w:r>
              <w:rPr>
                <w:rFonts w:ascii="Calibri" w:hAnsi="Calibri"/>
                <w:sz w:val="18"/>
              </w:rPr>
              <w:t>Political feasibility</w:t>
            </w:r>
          </w:p>
        </w:tc>
      </w:tr>
      <w:tr>
        <w:tc>
          <w:tcPr>
            <w:tcW w:type="dxa" w:w="3120"/>
          </w:tcPr>
          <w:p>
            <w:pPr>
              <w:spacing w:after="20" w:before="20"/>
            </w:pPr>
            <w:r/>
            <w:r>
              <w:rPr>
                <w:rFonts w:ascii="Calibri" w:hAnsi="Calibri"/>
                <w:sz w:val="18"/>
              </w:rPr>
              <w:t>Minimum per policy</w:t>
            </w:r>
          </w:p>
        </w:tc>
        <w:tc>
          <w:tcPr>
            <w:tcW w:type="dxa" w:w="3120"/>
          </w:tcPr>
          <w:p>
            <w:pPr>
              <w:spacing w:after="20" w:before="20"/>
            </w:pPr>
            <w:r/>
            <w:r>
              <w:rPr>
                <w:rFonts w:ascii="Calibri" w:hAnsi="Calibri"/>
                <w:sz w:val="18"/>
              </w:rPr>
              <w:t>$200M if funded</w:t>
            </w:r>
          </w:p>
        </w:tc>
        <w:tc>
          <w:tcPr>
            <w:tcW w:type="dxa" w:w="3120"/>
          </w:tcPr>
          <w:p>
            <w:pPr>
              <w:spacing w:after="20" w:before="20"/>
            </w:pPr>
            <w:r/>
            <w:r>
              <w:rPr>
                <w:rFonts w:ascii="Calibri" w:hAnsi="Calibri"/>
                <w:sz w:val="18"/>
              </w:rPr>
              <w:t>Prevents token allocations</w:t>
            </w:r>
          </w:p>
        </w:tc>
      </w:tr>
      <w:tr>
        <w:tc>
          <w:tcPr>
            <w:tcW w:type="dxa" w:w="3120"/>
          </w:tcPr>
          <w:p>
            <w:pPr>
              <w:spacing w:after="20" w:before="20"/>
            </w:pPr>
            <w:r/>
            <w:r>
              <w:rPr>
                <w:rFonts w:ascii="Calibri" w:hAnsi="Calibri"/>
                <w:sz w:val="18"/>
              </w:rPr>
              <w:t>Implementation efficiency</w:t>
            </w:r>
          </w:p>
        </w:tc>
        <w:tc>
          <w:tcPr>
            <w:tcW w:type="dxa" w:w="3120"/>
          </w:tcPr>
          <w:p>
            <w:pPr>
              <w:spacing w:after="20" w:before="20"/>
            </w:pPr>
            <w:r/>
            <w:r>
              <w:rPr>
                <w:rFonts w:ascii="Calibri" w:hAnsi="Calibri"/>
                <w:sz w:val="18"/>
              </w:rPr>
              <w:t>20% discount</w:t>
            </w:r>
          </w:p>
        </w:tc>
        <w:tc>
          <w:tcPr>
            <w:tcW w:type="dxa" w:w="3120"/>
          </w:tcPr>
          <w:p>
            <w:pPr>
              <w:spacing w:after="20" w:before="20"/>
            </w:pPr>
            <w:r/>
            <w:r>
              <w:rPr>
                <w:rFonts w:ascii="Calibri" w:hAnsi="Calibri"/>
                <w:sz w:val="18"/>
              </w:rPr>
              <w:t>World Bank/IMF standard</w:t>
            </w:r>
          </w:p>
        </w:tc>
      </w:tr>
      <w:tr>
        <w:tc>
          <w:tcPr>
            <w:tcW w:type="dxa" w:w="3120"/>
          </w:tcPr>
          <w:p>
            <w:pPr>
              <w:spacing w:after="20" w:before="20"/>
            </w:pPr>
            <w:r/>
            <w:r>
              <w:rPr>
                <w:rFonts w:ascii="Calibri" w:hAnsi="Calibri"/>
                <w:sz w:val="18"/>
              </w:rPr>
              <w:t>Working annual budget</w:t>
            </w:r>
          </w:p>
        </w:tc>
        <w:tc>
          <w:tcPr>
            <w:tcW w:type="dxa" w:w="3120"/>
          </w:tcPr>
          <w:p>
            <w:pPr>
              <w:spacing w:after="20" w:before="20"/>
            </w:pPr>
            <w:r/>
            <w:r>
              <w:rPr>
                <w:rFonts w:ascii="Calibri" w:hAnsi="Calibri"/>
                <w:sz w:val="18"/>
              </w:rPr>
              <w:t>~$8.0B</w:t>
            </w:r>
          </w:p>
        </w:tc>
        <w:tc>
          <w:tcPr>
            <w:tcW w:type="dxa" w:w="3120"/>
          </w:tcPr>
          <w:p>
            <w:pPr>
              <w:spacing w:after="20" w:before="20"/>
            </w:pPr>
            <w:r/>
            <w:r>
              <w:rPr>
                <w:rFonts w:ascii="Calibri" w:hAnsi="Calibri"/>
                <w:sz w:val="18"/>
              </w:rPr>
            </w:r>
          </w:p>
        </w:tc>
      </w:tr>
    </w:tbl>
    <w:p>
      <w:pPr>
        <w:spacing w:after="120"/>
      </w:pPr>
    </w:p>
    <w:p>
      <w:pPr>
        <w:spacing w:before="320" w:after="160" w:line="240" w:lineRule="auto"/>
        <w:jc w:val="left"/>
      </w:pPr>
      <w:r>
        <w:rPr>
          <w:rFonts w:ascii="Calibri" w:hAnsi="Calibri"/>
          <w:b/>
          <w:sz w:val="22"/>
        </w:rPr>
        <w:t>B.8 Food Cost Valuation</w:t>
      </w:r>
    </w:p>
    <w:p>
      <w:pPr>
        <w:spacing w:after="220" w:before="0" w:line="240" w:lineRule="auto"/>
        <w:jc w:val="left"/>
      </w:pPr>
      <w:r>
        <w:rPr>
          <w:rFonts w:ascii="Calibri" w:hAnsi="Calibri"/>
          <w:sz w:val="22"/>
        </w:rPr>
        <w:t>People lifted from undernourishment are valued at $285 per person per year in direct food cost savings, based on the WFP Bangladesh Market Monitor’s national food basket cost of BDT 2,844 per person per month (April 2024). The full recommended diet costs ~$340/year per FAO Cost of Recommended Diet estimates.</w:t>
      </w:r>
    </w:p>
    <w:p>
      <w:pPr>
        <w:spacing w:before="320" w:after="160" w:line="240" w:lineRule="auto"/>
        <w:jc w:val="left"/>
      </w:pPr>
      <w:r>
        <w:rPr>
          <w:rFonts w:ascii="Calibri" w:hAnsi="Calibri"/>
          <w:b/>
          <w:sz w:val="22"/>
        </w:rPr>
        <w:t>B.9 Himalayan Glacial Melt and Model Implications</w:t>
      </w:r>
    </w:p>
    <w:p>
      <w:pPr>
        <w:spacing w:after="220" w:before="0" w:line="240" w:lineRule="auto"/>
        <w:jc w:val="left"/>
      </w:pPr>
      <w:r>
        <w:rPr>
          <w:rFonts w:ascii="Calibri" w:hAnsi="Calibri"/>
          <w:sz w:val="22"/>
        </w:rPr>
        <w:t>The Ganges and Brahmaputra rivers that form Bangladesh’s delta originate in the Hindu Kush Himalayan glaciers. Between 1990 and 2020, these glaciers lost 12% of their total area and 9% of their ice reserves, with the rate of loss doubling since 2000 (ICIMOD, “HKH Glacier Outlook,” 2026). The Ganges basin lost 21% of its glacier area, and the Brahmaputra lost 16% over 30 years. Currently, 65% of the Brahmaputra’s and 70% of the Ganges’ dry-season water supply comes from glacial melt (“Rapid Himalayan Ice Melt”).</w:t>
      </w:r>
    </w:p>
    <w:p>
      <w:pPr>
        <w:spacing w:after="220" w:before="0" w:line="240" w:lineRule="auto"/>
        <w:jc w:val="left"/>
      </w:pPr>
      <w:r>
        <w:rPr>
          <w:rFonts w:ascii="Calibri" w:hAnsi="Calibri"/>
          <w:sz w:val="22"/>
        </w:rPr>
        <w:t>This trend affects the model in two ways:</w:t>
      </w:r>
    </w:p>
    <w:p>
      <w:pPr>
        <w:spacing w:after="220" w:before="0" w:line="240" w:lineRule="auto"/>
        <w:jc w:val="left"/>
      </w:pPr>
      <w:r>
        <w:rPr>
          <w:rFonts w:ascii="Calibri" w:hAnsi="Calibri"/>
          <w:sz w:val="22"/>
        </w:rPr>
        <w:t>1. Near-term flood intensification: Accelerated melt increases peak monsoon river flows. Flood levels in the Brahmaputra could surge 80% by 2075. This strengthens the case for flood-tolerant rice (Sub1), flood forecasting, and river/canal excavation — all policies already in the model. The 10-year timeline multipliers for protection and infrastructure policies (1.40 and 1.50) may be conservative given this acceleration.</w:t>
      </w:r>
    </w:p>
    <w:p>
      <w:pPr>
        <w:spacing w:after="220" w:before="0" w:line="240" w:lineRule="auto"/>
        <w:jc w:val="left"/>
      </w:pPr>
      <w:r>
        <w:rPr>
          <w:rFonts w:ascii="Calibri" w:hAnsi="Calibri"/>
          <w:sz w:val="22"/>
        </w:rPr>
        <w:t>2. Long-term dry-season water scarcity: As glaciers shrink past critical thresholds, dry-season irrigation water will decline. This makes AWD irrigation — which saves 27% of water — and renewable-powered irrigation pumps even more valuable over the 20-year measurement period. The model’s current efficiency rankings already place AWD irrigation 3rd in 20-year per-dollar impact (28,438 person-years per $M); glacial melt trends suggest this ranking will hold or improve over time.</w:t>
      </w:r>
    </w:p>
    <w:p>
      <w:pPr>
        <w:spacing w:after="220" w:before="0" w:line="240" w:lineRule="auto"/>
        <w:jc w:val="left"/>
      </w:pPr>
      <w:r>
        <w:rPr>
          <w:rFonts w:ascii="Calibri" w:hAnsi="Calibri"/>
          <w:sz w:val="22"/>
        </w:rPr>
        <w:t>No policy parameters were changed as a result of this analysis. The glacier melt trend reinforces existing allocations rather than requiring new policies. However, it provides additional justification for the model’s central finding: capital infrastructure investments that persist for decades are more valuable than operational programs, because the climate threats they protect against are intensifying over time.</w:t>
      </w:r>
    </w:p>
    <w:p>
      <w:r>
        <w:br w:type="page"/>
      </w:r>
    </w:p>
    <w:p>
      <w:pPr>
        <w:spacing w:before="320" w:after="160" w:line="240" w:lineRule="auto"/>
        <w:jc w:val="left"/>
      </w:pPr>
      <w:r>
        <w:rPr>
          <w:rFonts w:ascii="Calibri" w:hAnsi="Calibri"/>
          <w:b/>
          <w:sz w:val="22"/>
        </w:rPr>
        <w:t>C. Single-Year Model Results ($8.0B Budget)</w:t>
      </w:r>
    </w:p>
    <w:p>
      <w:pPr>
        <w:spacing w:before="320" w:after="160" w:line="240" w:lineRule="auto"/>
        <w:jc w:val="left"/>
      </w:pPr>
      <w:r>
        <w:rPr>
          <w:rFonts w:ascii="Calibri" w:hAnsi="Calibri"/>
          <w:b/>
          <w:sz w:val="22"/>
        </w:rPr>
        <w:t>C.1 Optimal Allocation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E2F3" w:val="clear"/>
          </w:tcPr>
          <w:p>
            <w:pPr>
              <w:spacing w:after="40" w:before="40"/>
            </w:pPr>
            <w:r/>
            <w:r>
              <w:rPr>
                <w:rFonts w:ascii="Calibri" w:hAnsi="Calibri"/>
                <w:b/>
                <w:sz w:val="18"/>
              </w:rPr>
              <w:t>Policy</w:t>
            </w:r>
          </w:p>
        </w:tc>
        <w:tc>
          <w:tcPr>
            <w:tcW w:type="dxa" w:w="2340"/>
            <w:shd w:fill="D9E2F3" w:val="clear"/>
          </w:tcPr>
          <w:p>
            <w:pPr>
              <w:spacing w:after="40" w:before="40"/>
            </w:pPr>
            <w:r/>
            <w:r>
              <w:rPr>
                <w:rFonts w:ascii="Calibri" w:hAnsi="Calibri"/>
                <w:b/>
                <w:sz w:val="18"/>
              </w:rPr>
              <w:t>Allocation</w:t>
            </w:r>
          </w:p>
        </w:tc>
        <w:tc>
          <w:tcPr>
            <w:tcW w:type="dxa" w:w="2340"/>
            <w:shd w:fill="D9E2F3" w:val="clear"/>
          </w:tcPr>
          <w:p>
            <w:pPr>
              <w:spacing w:after="40" w:before="40"/>
            </w:pPr>
            <w:r/>
            <w:r>
              <w:rPr>
                <w:rFonts w:ascii="Calibri" w:hAnsi="Calibri"/>
                <w:b/>
                <w:sz w:val="18"/>
              </w:rPr>
              <w:t>People-Equiv</w:t>
            </w:r>
          </w:p>
        </w:tc>
        <w:tc>
          <w:tcPr>
            <w:tcW w:type="dxa" w:w="2340"/>
            <w:shd w:fill="D9E2F3" w:val="clear"/>
          </w:tcPr>
          <w:p>
            <w:pPr>
              <w:spacing w:after="40" w:before="40"/>
            </w:pPr>
            <w:r/>
            <w:r>
              <w:rPr>
                <w:rFonts w:ascii="Calibri" w:hAnsi="Calibri"/>
                <w:b/>
                <w:sz w:val="18"/>
              </w:rPr>
              <w:t>Tags</w:t>
            </w:r>
          </w:p>
        </w:tc>
      </w:tr>
      <w:tr>
        <w:tc>
          <w:tcPr>
            <w:tcW w:type="dxa" w:w="2340"/>
          </w:tcPr>
          <w:p>
            <w:pPr>
              <w:spacing w:after="20" w:before="20"/>
            </w:pPr>
            <w:r/>
            <w:r>
              <w:rPr>
                <w:rFonts w:ascii="Calibri" w:hAnsi="Calibri"/>
                <w:sz w:val="18"/>
              </w:rPr>
              <w:t>Fortified feeding</w:t>
            </w:r>
          </w:p>
        </w:tc>
        <w:tc>
          <w:tcPr>
            <w:tcW w:type="dxa" w:w="2340"/>
          </w:tcPr>
          <w:p>
            <w:pPr>
              <w:spacing w:after="20" w:before="20"/>
            </w:pPr>
            <w:r/>
            <w:r>
              <w:rPr>
                <w:rFonts w:ascii="Calibri" w:hAnsi="Calibri"/>
                <w:sz w:val="18"/>
              </w:rPr>
              <w:t>$1,800M</w:t>
            </w:r>
          </w:p>
        </w:tc>
        <w:tc>
          <w:tcPr>
            <w:tcW w:type="dxa" w:w="2340"/>
          </w:tcPr>
          <w:p>
            <w:pPr>
              <w:spacing w:after="20" w:before="20"/>
            </w:pPr>
            <w:r/>
            <w:r>
              <w:rPr>
                <w:rFonts w:ascii="Calibri" w:hAnsi="Calibri"/>
                <w:sz w:val="18"/>
              </w:rPr>
              <w:t>11,472,365</w:t>
            </w:r>
          </w:p>
        </w:tc>
        <w:tc>
          <w:tcPr>
            <w:tcW w:type="dxa" w:w="2340"/>
          </w:tcPr>
          <w:p>
            <w:pPr>
              <w:spacing w:after="20" w:before="20"/>
            </w:pPr>
            <w:r/>
            <w:r>
              <w:rPr>
                <w:rFonts w:ascii="Calibri" w:hAnsi="Calibri"/>
                <w:sz w:val="18"/>
              </w:rPr>
              <w:t>—</w:t>
            </w:r>
          </w:p>
        </w:tc>
      </w:tr>
      <w:tr>
        <w:tc>
          <w:tcPr>
            <w:tcW w:type="dxa" w:w="2340"/>
          </w:tcPr>
          <w:p>
            <w:pPr>
              <w:spacing w:after="20" w:before="20"/>
            </w:pPr>
            <w:r/>
            <w:r>
              <w:rPr>
                <w:rFonts w:ascii="Calibri" w:hAnsi="Calibri"/>
                <w:sz w:val="18"/>
              </w:rPr>
              <w:t>Saline-tolerant rice</w:t>
            </w:r>
          </w:p>
        </w:tc>
        <w:tc>
          <w:tcPr>
            <w:tcW w:type="dxa" w:w="2340"/>
          </w:tcPr>
          <w:p>
            <w:pPr>
              <w:spacing w:after="20" w:before="20"/>
            </w:pPr>
            <w:r/>
            <w:r>
              <w:rPr>
                <w:rFonts w:ascii="Calibri" w:hAnsi="Calibri"/>
                <w:sz w:val="18"/>
              </w:rPr>
              <w:t>$1,500M</w:t>
            </w:r>
          </w:p>
        </w:tc>
        <w:tc>
          <w:tcPr>
            <w:tcW w:type="dxa" w:w="2340"/>
          </w:tcPr>
          <w:p>
            <w:pPr>
              <w:spacing w:after="20" w:before="20"/>
            </w:pPr>
            <w:r/>
            <w:r>
              <w:rPr>
                <w:rFonts w:ascii="Calibri" w:hAnsi="Calibri"/>
                <w:sz w:val="18"/>
              </w:rPr>
              <w:t>2,964,259</w:t>
            </w:r>
          </w:p>
        </w:tc>
        <w:tc>
          <w:tcPr>
            <w:tcW w:type="dxa" w:w="2340"/>
          </w:tcPr>
          <w:p>
            <w:pPr>
              <w:spacing w:after="20" w:before="20"/>
            </w:pPr>
            <w:r/>
            <w:r>
              <w:rPr>
                <w:rFonts w:ascii="Calibri" w:hAnsi="Calibri"/>
                <w:sz w:val="18"/>
              </w:rPr>
              <w:t>BDP</w:t>
            </w:r>
          </w:p>
        </w:tc>
      </w:tr>
      <w:tr>
        <w:tc>
          <w:tcPr>
            <w:tcW w:type="dxa" w:w="2340"/>
          </w:tcPr>
          <w:p>
            <w:pPr>
              <w:spacing w:after="20" w:before="20"/>
            </w:pPr>
            <w:r/>
            <w:r>
              <w:rPr>
                <w:rFonts w:ascii="Calibri" w:hAnsi="Calibri"/>
                <w:sz w:val="18"/>
              </w:rPr>
              <w:t>Renewable irrigation</w:t>
            </w:r>
          </w:p>
        </w:tc>
        <w:tc>
          <w:tcPr>
            <w:tcW w:type="dxa" w:w="2340"/>
          </w:tcPr>
          <w:p>
            <w:pPr>
              <w:spacing w:after="20" w:before="20"/>
            </w:pPr>
            <w:r/>
            <w:r>
              <w:rPr>
                <w:rFonts w:ascii="Calibri" w:hAnsi="Calibri"/>
                <w:sz w:val="18"/>
              </w:rPr>
              <w:t>$1,200M</w:t>
            </w:r>
          </w:p>
        </w:tc>
        <w:tc>
          <w:tcPr>
            <w:tcW w:type="dxa" w:w="2340"/>
          </w:tcPr>
          <w:p>
            <w:pPr>
              <w:spacing w:after="20" w:before="20"/>
            </w:pPr>
            <w:r/>
            <w:r>
              <w:rPr>
                <w:rFonts w:ascii="Calibri" w:hAnsi="Calibri"/>
                <w:sz w:val="18"/>
              </w:rPr>
              <w:t>1,200,477</w:t>
            </w:r>
          </w:p>
        </w:tc>
        <w:tc>
          <w:tcPr>
            <w:tcW w:type="dxa" w:w="2340"/>
          </w:tcPr>
          <w:p>
            <w:pPr>
              <w:spacing w:after="20" w:before="20"/>
            </w:pPr>
            <w:r/>
            <w:r>
              <w:rPr>
                <w:rFonts w:ascii="Calibri" w:hAnsi="Calibri"/>
                <w:sz w:val="18"/>
              </w:rPr>
              <w:t>BNP</w:t>
            </w:r>
          </w:p>
        </w:tc>
      </w:tr>
      <w:tr>
        <w:tc>
          <w:tcPr>
            <w:tcW w:type="dxa" w:w="2340"/>
          </w:tcPr>
          <w:p>
            <w:pPr>
              <w:spacing w:after="20" w:before="20"/>
            </w:pPr>
            <w:r/>
            <w:r>
              <w:rPr>
                <w:rFonts w:ascii="Calibri" w:hAnsi="Calibri"/>
                <w:sz w:val="18"/>
              </w:rPr>
              <w:t>Post-harvest storage</w:t>
            </w:r>
          </w:p>
        </w:tc>
        <w:tc>
          <w:tcPr>
            <w:tcW w:type="dxa" w:w="2340"/>
          </w:tcPr>
          <w:p>
            <w:pPr>
              <w:spacing w:after="20" w:before="20"/>
            </w:pPr>
            <w:r/>
            <w:r>
              <w:rPr>
                <w:rFonts w:ascii="Calibri" w:hAnsi="Calibri"/>
                <w:sz w:val="18"/>
              </w:rPr>
              <w:t>$1,200M</w:t>
            </w:r>
          </w:p>
        </w:tc>
        <w:tc>
          <w:tcPr>
            <w:tcW w:type="dxa" w:w="2340"/>
          </w:tcPr>
          <w:p>
            <w:pPr>
              <w:spacing w:after="20" w:before="20"/>
            </w:pPr>
            <w:r/>
            <w:r>
              <w:rPr>
                <w:rFonts w:ascii="Calibri" w:hAnsi="Calibri"/>
                <w:sz w:val="18"/>
              </w:rPr>
              <w:t>2,278,814</w:t>
            </w:r>
          </w:p>
        </w:tc>
        <w:tc>
          <w:tcPr>
            <w:tcW w:type="dxa" w:w="2340"/>
          </w:tcPr>
          <w:p>
            <w:pPr>
              <w:spacing w:after="20" w:before="20"/>
            </w:pPr>
            <w:r/>
            <w:r>
              <w:rPr>
                <w:rFonts w:ascii="Calibri" w:hAnsi="Calibri"/>
                <w:sz w:val="18"/>
              </w:rPr>
              <w:t>—</w:t>
            </w:r>
          </w:p>
        </w:tc>
      </w:tr>
      <w:tr>
        <w:tc>
          <w:tcPr>
            <w:tcW w:type="dxa" w:w="2340"/>
          </w:tcPr>
          <w:p>
            <w:pPr>
              <w:spacing w:after="20" w:before="20"/>
            </w:pPr>
            <w:r/>
            <w:r>
              <w:rPr>
                <w:rFonts w:ascii="Calibri" w:hAnsi="Calibri"/>
                <w:sz w:val="18"/>
              </w:rPr>
              <w:t>AWD irrigation</w:t>
            </w:r>
          </w:p>
        </w:tc>
        <w:tc>
          <w:tcPr>
            <w:tcW w:type="dxa" w:w="2340"/>
          </w:tcPr>
          <w:p>
            <w:pPr>
              <w:spacing w:after="20" w:before="20"/>
            </w:pPr>
            <w:r/>
            <w:r>
              <w:rPr>
                <w:rFonts w:ascii="Calibri" w:hAnsi="Calibri"/>
                <w:sz w:val="18"/>
              </w:rPr>
              <w:t>$1,000M</w:t>
            </w:r>
          </w:p>
        </w:tc>
        <w:tc>
          <w:tcPr>
            <w:tcW w:type="dxa" w:w="2340"/>
          </w:tcPr>
          <w:p>
            <w:pPr>
              <w:spacing w:after="20" w:before="20"/>
            </w:pPr>
            <w:r/>
            <w:r>
              <w:rPr>
                <w:rFonts w:ascii="Calibri" w:hAnsi="Calibri"/>
                <w:sz w:val="18"/>
              </w:rPr>
              <w:t>1,871,215</w:t>
            </w:r>
          </w:p>
        </w:tc>
        <w:tc>
          <w:tcPr>
            <w:tcW w:type="dxa" w:w="2340"/>
          </w:tcPr>
          <w:p>
            <w:pPr>
              <w:spacing w:after="20" w:before="20"/>
            </w:pPr>
            <w:r/>
            <w:r>
              <w:rPr>
                <w:rFonts w:ascii="Calibri" w:hAnsi="Calibri"/>
                <w:sz w:val="18"/>
              </w:rPr>
              <w:t>BNP, BDP</w:t>
            </w:r>
          </w:p>
        </w:tc>
      </w:tr>
      <w:tr>
        <w:tc>
          <w:tcPr>
            <w:tcW w:type="dxa" w:w="2340"/>
          </w:tcPr>
          <w:p>
            <w:pPr>
              <w:spacing w:after="20" w:before="20"/>
            </w:pPr>
            <w:r/>
            <w:r>
              <w:rPr>
                <w:rFonts w:ascii="Calibri" w:hAnsi="Calibri"/>
                <w:sz w:val="18"/>
              </w:rPr>
              <w:t>Flood-tolerant rice</w:t>
            </w:r>
          </w:p>
        </w:tc>
        <w:tc>
          <w:tcPr>
            <w:tcW w:type="dxa" w:w="2340"/>
          </w:tcPr>
          <w:p>
            <w:pPr>
              <w:spacing w:after="20" w:before="20"/>
            </w:pPr>
            <w:r/>
            <w:r>
              <w:rPr>
                <w:rFonts w:ascii="Calibri" w:hAnsi="Calibri"/>
                <w:sz w:val="18"/>
              </w:rPr>
              <w:t>$499M</w:t>
            </w:r>
          </w:p>
        </w:tc>
        <w:tc>
          <w:tcPr>
            <w:tcW w:type="dxa" w:w="2340"/>
          </w:tcPr>
          <w:p>
            <w:pPr>
              <w:spacing w:after="20" w:before="20"/>
            </w:pPr>
            <w:r/>
            <w:r>
              <w:rPr>
                <w:rFonts w:ascii="Calibri" w:hAnsi="Calibri"/>
                <w:sz w:val="18"/>
              </w:rPr>
              <w:t>565,935</w:t>
            </w:r>
          </w:p>
        </w:tc>
        <w:tc>
          <w:tcPr>
            <w:tcW w:type="dxa" w:w="2340"/>
          </w:tcPr>
          <w:p>
            <w:pPr>
              <w:spacing w:after="20" w:before="20"/>
            </w:pPr>
            <w:r/>
            <w:r>
              <w:rPr>
                <w:rFonts w:ascii="Calibri" w:hAnsi="Calibri"/>
                <w:sz w:val="18"/>
              </w:rPr>
              <w:t>BDP</w:t>
            </w:r>
          </w:p>
        </w:tc>
      </w:tr>
      <w:tr>
        <w:tc>
          <w:tcPr>
            <w:tcW w:type="dxa" w:w="2340"/>
          </w:tcPr>
          <w:p>
            <w:pPr>
              <w:spacing w:after="20" w:before="20"/>
            </w:pPr>
            <w:r/>
            <w:r>
              <w:rPr>
                <w:rFonts w:ascii="Calibri" w:hAnsi="Calibri"/>
                <w:sz w:val="18"/>
              </w:rPr>
              <w:t>Crop diversification</w:t>
            </w:r>
          </w:p>
        </w:tc>
        <w:tc>
          <w:tcPr>
            <w:tcW w:type="dxa" w:w="2340"/>
          </w:tcPr>
          <w:p>
            <w:pPr>
              <w:spacing w:after="20" w:before="20"/>
            </w:pPr>
            <w:r/>
            <w:r>
              <w:rPr>
                <w:rFonts w:ascii="Calibri" w:hAnsi="Calibri"/>
                <w:sz w:val="18"/>
              </w:rPr>
              <w:t>$200M</w:t>
            </w:r>
          </w:p>
        </w:tc>
        <w:tc>
          <w:tcPr>
            <w:tcW w:type="dxa" w:w="2340"/>
          </w:tcPr>
          <w:p>
            <w:pPr>
              <w:spacing w:after="20" w:before="20"/>
            </w:pPr>
            <w:r/>
            <w:r>
              <w:rPr>
                <w:rFonts w:ascii="Calibri" w:hAnsi="Calibri"/>
                <w:sz w:val="18"/>
              </w:rPr>
              <w:t>152,220</w:t>
            </w:r>
          </w:p>
        </w:tc>
        <w:tc>
          <w:tcPr>
            <w:tcW w:type="dxa" w:w="2340"/>
          </w:tcPr>
          <w:p>
            <w:pPr>
              <w:spacing w:after="20" w:before="20"/>
            </w:pPr>
            <w:r/>
            <w:r>
              <w:rPr>
                <w:rFonts w:ascii="Calibri" w:hAnsi="Calibri"/>
                <w:sz w:val="18"/>
              </w:rPr>
              <w:t>—</w:t>
            </w:r>
          </w:p>
        </w:tc>
      </w:tr>
      <w:tr>
        <w:tc>
          <w:tcPr>
            <w:tcW w:type="dxa" w:w="2340"/>
          </w:tcPr>
          <w:p>
            <w:pPr>
              <w:spacing w:after="20" w:before="20"/>
            </w:pPr>
            <w:r/>
            <w:r>
              <w:rPr>
                <w:rFonts w:ascii="Calibri" w:hAnsi="Calibri"/>
                <w:sz w:val="18"/>
              </w:rPr>
              <w:t>Farmer insurance</w:t>
            </w:r>
          </w:p>
        </w:tc>
        <w:tc>
          <w:tcPr>
            <w:tcW w:type="dxa" w:w="2340"/>
          </w:tcPr>
          <w:p>
            <w:pPr>
              <w:spacing w:after="20" w:before="20"/>
            </w:pPr>
            <w:r/>
            <w:r>
              <w:rPr>
                <w:rFonts w:ascii="Calibri" w:hAnsi="Calibri"/>
                <w:sz w:val="18"/>
              </w:rPr>
              <w:t>$200M</w:t>
            </w:r>
          </w:p>
        </w:tc>
        <w:tc>
          <w:tcPr>
            <w:tcW w:type="dxa" w:w="2340"/>
          </w:tcPr>
          <w:p>
            <w:pPr>
              <w:spacing w:after="20" w:before="20"/>
            </w:pPr>
            <w:r/>
            <w:r>
              <w:rPr>
                <w:rFonts w:ascii="Calibri" w:hAnsi="Calibri"/>
                <w:sz w:val="18"/>
              </w:rPr>
              <w:t>98,995</w:t>
            </w:r>
          </w:p>
        </w:tc>
        <w:tc>
          <w:tcPr>
            <w:tcW w:type="dxa" w:w="2340"/>
          </w:tcPr>
          <w:p>
            <w:pPr>
              <w:spacing w:after="20" w:before="20"/>
            </w:pPr>
            <w:r/>
            <w:r>
              <w:rPr>
                <w:rFonts w:ascii="Calibri" w:hAnsi="Calibri"/>
                <w:sz w:val="18"/>
              </w:rPr>
              <w:t>BNP</w:t>
            </w:r>
          </w:p>
        </w:tc>
      </w:tr>
      <w:tr>
        <w:tc>
          <w:tcPr>
            <w:tcW w:type="dxa" w:w="2340"/>
          </w:tcPr>
          <w:p>
            <w:pPr>
              <w:spacing w:after="20" w:before="20"/>
            </w:pPr>
            <w:r/>
            <w:r>
              <w:rPr>
                <w:rFonts w:ascii="Calibri" w:hAnsi="Calibri"/>
                <w:sz w:val="18"/>
              </w:rPr>
              <w:t>River/canal excavation</w:t>
            </w:r>
          </w:p>
        </w:tc>
        <w:tc>
          <w:tcPr>
            <w:tcW w:type="dxa" w:w="2340"/>
          </w:tcPr>
          <w:p>
            <w:pPr>
              <w:spacing w:after="20" w:before="20"/>
            </w:pPr>
            <w:r/>
            <w:r>
              <w:rPr>
                <w:rFonts w:ascii="Calibri" w:hAnsi="Calibri"/>
                <w:sz w:val="18"/>
              </w:rPr>
              <w:t>$200M</w:t>
            </w:r>
          </w:p>
        </w:tc>
        <w:tc>
          <w:tcPr>
            <w:tcW w:type="dxa" w:w="2340"/>
          </w:tcPr>
          <w:p>
            <w:pPr>
              <w:spacing w:after="20" w:before="20"/>
            </w:pPr>
            <w:r/>
            <w:r>
              <w:rPr>
                <w:rFonts w:ascii="Calibri" w:hAnsi="Calibri"/>
                <w:sz w:val="18"/>
              </w:rPr>
              <w:t>21,860</w:t>
            </w:r>
          </w:p>
        </w:tc>
        <w:tc>
          <w:tcPr>
            <w:tcW w:type="dxa" w:w="2340"/>
          </w:tcPr>
          <w:p>
            <w:pPr>
              <w:spacing w:after="20" w:before="20"/>
            </w:pPr>
            <w:r/>
            <w:r>
              <w:rPr>
                <w:rFonts w:ascii="Calibri" w:hAnsi="Calibri"/>
                <w:sz w:val="18"/>
              </w:rPr>
              <w:t>BNP</w:t>
            </w:r>
          </w:p>
        </w:tc>
      </w:tr>
      <w:tr>
        <w:tc>
          <w:tcPr>
            <w:tcW w:type="dxa" w:w="2340"/>
          </w:tcPr>
          <w:p>
            <w:pPr>
              <w:spacing w:after="20" w:before="20"/>
            </w:pPr>
            <w:r/>
            <w:r>
              <w:rPr>
                <w:rFonts w:ascii="Calibri" w:hAnsi="Calibri"/>
                <w:sz w:val="18"/>
              </w:rPr>
              <w:t>Tree planting</w:t>
            </w:r>
          </w:p>
        </w:tc>
        <w:tc>
          <w:tcPr>
            <w:tcW w:type="dxa" w:w="2340"/>
          </w:tcPr>
          <w:p>
            <w:pPr>
              <w:spacing w:after="20" w:before="20"/>
            </w:pPr>
            <w:r/>
            <w:r>
              <w:rPr>
                <w:rFonts w:ascii="Calibri" w:hAnsi="Calibri"/>
                <w:sz w:val="18"/>
              </w:rPr>
              <w:t>$200M</w:t>
            </w:r>
          </w:p>
        </w:tc>
        <w:tc>
          <w:tcPr>
            <w:tcW w:type="dxa" w:w="2340"/>
          </w:tcPr>
          <w:p>
            <w:pPr>
              <w:spacing w:after="20" w:before="20"/>
            </w:pPr>
            <w:r/>
            <w:r>
              <w:rPr>
                <w:rFonts w:ascii="Calibri" w:hAnsi="Calibri"/>
                <w:sz w:val="18"/>
              </w:rPr>
              <w:t>17,480</w:t>
            </w:r>
          </w:p>
        </w:tc>
        <w:tc>
          <w:tcPr>
            <w:tcW w:type="dxa" w:w="2340"/>
          </w:tcPr>
          <w:p>
            <w:pPr>
              <w:spacing w:after="20" w:before="20"/>
            </w:pPr>
            <w:r/>
            <w:r>
              <w:rPr>
                <w:rFonts w:ascii="Calibri" w:hAnsi="Calibri"/>
                <w:sz w:val="18"/>
              </w:rPr>
              <w:t>BNP</w:t>
            </w:r>
          </w:p>
        </w:tc>
      </w:tr>
      <w:tr>
        <w:tc>
          <w:tcPr>
            <w:tcW w:type="dxa" w:w="2340"/>
          </w:tcPr>
          <w:p>
            <w:pPr>
              <w:spacing w:after="20" w:before="20"/>
            </w:pPr>
            <w:r/>
            <w:r>
              <w:rPr>
                <w:rFonts w:ascii="Calibri" w:hAnsi="Calibri"/>
                <w:sz w:val="18"/>
              </w:rPr>
              <w:t>Base subtotal</w:t>
            </w:r>
          </w:p>
        </w:tc>
        <w:tc>
          <w:tcPr>
            <w:tcW w:type="dxa" w:w="2340"/>
          </w:tcPr>
          <w:p>
            <w:pPr>
              <w:spacing w:after="20" w:before="20"/>
            </w:pPr>
            <w:r/>
            <w:r>
              <w:rPr>
                <w:rFonts w:ascii="Calibri" w:hAnsi="Calibri"/>
                <w:sz w:val="18"/>
              </w:rPr>
              <w:t>$7,999M</w:t>
            </w:r>
          </w:p>
        </w:tc>
        <w:tc>
          <w:tcPr>
            <w:tcW w:type="dxa" w:w="2340"/>
          </w:tcPr>
          <w:p>
            <w:pPr>
              <w:spacing w:after="20" w:before="20"/>
            </w:pPr>
            <w:r/>
            <w:r>
              <w:rPr>
                <w:rFonts w:ascii="Calibri" w:hAnsi="Calibri"/>
                <w:sz w:val="18"/>
              </w:rPr>
              <w:t>20,643,620</w:t>
            </w:r>
          </w:p>
        </w:tc>
        <w:tc>
          <w:tcPr>
            <w:tcW w:type="dxa" w:w="2340"/>
          </w:tcPr>
          <w:p>
            <w:pPr>
              <w:spacing w:after="20" w:before="20"/>
            </w:pPr>
            <w:r/>
            <w:r>
              <w:rPr>
                <w:rFonts w:ascii="Calibri" w:hAnsi="Calibri"/>
                <w:sz w:val="18"/>
              </w:rPr>
            </w:r>
          </w:p>
        </w:tc>
      </w:tr>
      <w:tr>
        <w:tc>
          <w:tcPr>
            <w:tcW w:type="dxa" w:w="2340"/>
          </w:tcPr>
          <w:p>
            <w:pPr>
              <w:spacing w:after="20" w:before="20"/>
            </w:pPr>
            <w:r/>
            <w:r>
              <w:rPr>
                <w:rFonts w:ascii="Calibri" w:hAnsi="Calibri"/>
                <w:sz w:val="18"/>
              </w:rPr>
              <w:t>Synergy bonus</w:t>
            </w:r>
          </w:p>
        </w:tc>
        <w:tc>
          <w:tcPr>
            <w:tcW w:type="dxa" w:w="2340"/>
          </w:tcPr>
          <w:p>
            <w:pPr>
              <w:spacing w:after="20" w:before="20"/>
            </w:pPr>
            <w:r/>
            <w:r>
              <w:rPr>
                <w:rFonts w:ascii="Calibri" w:hAnsi="Calibri"/>
                <w:sz w:val="18"/>
              </w:rPr>
            </w:r>
          </w:p>
        </w:tc>
        <w:tc>
          <w:tcPr>
            <w:tcW w:type="dxa" w:w="2340"/>
          </w:tcPr>
          <w:p>
            <w:pPr>
              <w:spacing w:after="20" w:before="20"/>
            </w:pPr>
            <w:r/>
            <w:r>
              <w:rPr>
                <w:rFonts w:ascii="Calibri" w:hAnsi="Calibri"/>
                <w:sz w:val="18"/>
              </w:rPr>
              <w:t>+1,519,946</w:t>
            </w:r>
          </w:p>
        </w:tc>
        <w:tc>
          <w:tcPr>
            <w:tcW w:type="dxa" w:w="2340"/>
          </w:tcPr>
          <w:p>
            <w:pPr>
              <w:spacing w:after="20" w:before="20"/>
            </w:pPr>
            <w:r/>
            <w:r>
              <w:rPr>
                <w:rFonts w:ascii="Calibri" w:hAnsi="Calibri"/>
                <w:sz w:val="18"/>
              </w:rPr>
            </w:r>
          </w:p>
        </w:tc>
      </w:tr>
      <w:tr>
        <w:tc>
          <w:tcPr>
            <w:tcW w:type="dxa" w:w="2340"/>
          </w:tcPr>
          <w:p>
            <w:pPr>
              <w:spacing w:after="20" w:before="20"/>
            </w:pPr>
            <w:r/>
            <w:r>
              <w:rPr>
                <w:rFonts w:ascii="Calibri" w:hAnsi="Calibri"/>
                <w:sz w:val="18"/>
              </w:rPr>
              <w:t>GRAND TOTAL</w:t>
            </w:r>
          </w:p>
        </w:tc>
        <w:tc>
          <w:tcPr>
            <w:tcW w:type="dxa" w:w="2340"/>
          </w:tcPr>
          <w:p>
            <w:pPr>
              <w:spacing w:after="20" w:before="20"/>
            </w:pPr>
            <w:r/>
            <w:r>
              <w:rPr>
                <w:rFonts w:ascii="Calibri" w:hAnsi="Calibri"/>
                <w:sz w:val="18"/>
              </w:rPr>
              <w:t>$7,999M</w:t>
            </w:r>
          </w:p>
        </w:tc>
        <w:tc>
          <w:tcPr>
            <w:tcW w:type="dxa" w:w="2340"/>
          </w:tcPr>
          <w:p>
            <w:pPr>
              <w:spacing w:after="20" w:before="20"/>
            </w:pPr>
            <w:r/>
            <w:r>
              <w:rPr>
                <w:rFonts w:ascii="Calibri" w:hAnsi="Calibri"/>
                <w:sz w:val="18"/>
              </w:rPr>
              <w:t>22,163,566</w:t>
            </w:r>
          </w:p>
        </w:tc>
        <w:tc>
          <w:tcPr>
            <w:tcW w:type="dxa" w:w="2340"/>
          </w:tcPr>
          <w:p>
            <w:pPr>
              <w:spacing w:after="20" w:before="20"/>
            </w:pPr>
            <w:r/>
            <w:r>
              <w:rPr>
                <w:rFonts w:ascii="Calibri" w:hAnsi="Calibri"/>
                <w:sz w:val="18"/>
              </w:rPr>
            </w:r>
          </w:p>
        </w:tc>
      </w:tr>
    </w:tbl>
    <w:p>
      <w:pPr>
        <w:spacing w:after="120"/>
      </w:pPr>
    </w:p>
    <w:p>
      <w:pPr>
        <w:spacing w:after="220" w:before="0" w:line="240" w:lineRule="auto"/>
        <w:jc w:val="left"/>
      </w:pPr>
      <w:r>
        <w:rPr>
          <w:rFonts w:ascii="Calibri" w:hAnsi="Calibri"/>
          <w:sz w:val="22"/>
        </w:rPr>
        <w:t>Policies NOT funded: Cyclone early warning, flood forecasting, aquaculture (marginal impact too low to compete at $8B scale).</w:t>
      </w:r>
    </w:p>
    <w:p>
      <w:pPr>
        <w:spacing w:before="320" w:after="160" w:line="240" w:lineRule="auto"/>
        <w:jc w:val="left"/>
      </w:pPr>
      <w:r>
        <w:rPr>
          <w:rFonts w:ascii="Calibri" w:hAnsi="Calibri"/>
          <w:b/>
          <w:sz w:val="22"/>
        </w:rPr>
        <w:t>C.2 Key Metrics</w:t>
      </w:r>
    </w:p>
    <w:p>
      <w:pPr>
        <w:spacing w:after="220" w:before="0" w:line="240" w:lineRule="auto"/>
        <w:jc w:val="left"/>
      </w:pPr>
      <w:r>
        <w:rPr>
          <w:rFonts w:ascii="Calibri" w:hAnsi="Calibri"/>
          <w:sz w:val="22"/>
        </w:rPr>
        <w:t>Deficit closed: 100% (22.2M people-equiv vs 18.05M target). Resilience buffer: 23% (4.1M surplus capacity). BNP share of spending: 35.0% (meets floor exactly). Policies funded: 10 of 13. Synergy contribution: 7.4% of base impact. Dollar value of gains: $5.14B/year (at $285/person food cost).</w:t>
      </w:r>
    </w:p>
    <w:p>
      <w:pPr>
        <w:spacing w:before="320" w:after="160" w:line="240" w:lineRule="auto"/>
        <w:jc w:val="left"/>
      </w:pPr>
      <w:r>
        <w:rPr>
          <w:rFonts w:ascii="Calibri" w:hAnsi="Calibri"/>
          <w:b/>
          <w:sz w:val="22"/>
        </w:rPr>
        <w:t>D. Multi-Year Simulation: 5-Year Investment, 20-Year Impact</w:t>
      </w:r>
    </w:p>
    <w:p>
      <w:pPr>
        <w:spacing w:before="320" w:after="160" w:line="240" w:lineRule="auto"/>
        <w:jc w:val="left"/>
      </w:pPr>
      <w:r>
        <w:rPr>
          <w:rFonts w:ascii="Calibri" w:hAnsi="Calibri"/>
          <w:b/>
          <w:sz w:val="22"/>
        </w:rPr>
        <w:t>D.1 Setup</w:t>
      </w:r>
    </w:p>
    <w:p>
      <w:pPr>
        <w:spacing w:after="220" w:before="0" w:line="240" w:lineRule="auto"/>
        <w:jc w:val="left"/>
      </w:pPr>
      <w:r>
        <w:rPr>
          <w:rFonts w:ascii="Calibri" w:hAnsi="Calibri"/>
          <w:sz w:val="22"/>
        </w:rPr>
        <w:t>Investment period: 5 years at $8B/year = $40B available. Measurement period: 20 years. Capital policies (11 total): one-time investment, benefits persist with 2–8% annual decay. Operational policies (2: fortified feeding, farmer insurance): require annual funding; zero impact when unfunded.</w:t>
      </w:r>
    </w:p>
    <w:p>
      <w:pPr>
        <w:spacing w:before="320" w:after="160" w:line="240" w:lineRule="auto"/>
        <w:jc w:val="left"/>
      </w:pPr>
      <w:r>
        <w:rPr>
          <w:rFonts w:ascii="Calibri" w:hAnsi="Calibri"/>
          <w:b/>
          <w:sz w:val="22"/>
        </w:rPr>
        <w:t>D.2 Investment Phase</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pPr>
              <w:spacing w:after="40" w:before="40"/>
            </w:pPr>
            <w:r/>
            <w:r>
              <w:rPr>
                <w:rFonts w:ascii="Calibri" w:hAnsi="Calibri"/>
                <w:b/>
                <w:sz w:val="18"/>
              </w:rPr>
              <w:t>Year</w:t>
            </w:r>
          </w:p>
        </w:tc>
        <w:tc>
          <w:tcPr>
            <w:tcW w:type="dxa" w:w="3120"/>
            <w:shd w:fill="D9E2F3" w:val="clear"/>
          </w:tcPr>
          <w:p>
            <w:pPr>
              <w:spacing w:after="40" w:before="40"/>
            </w:pPr>
            <w:r/>
            <w:r>
              <w:rPr>
                <w:rFonts w:ascii="Calibri" w:hAnsi="Calibri"/>
                <w:b/>
                <w:sz w:val="18"/>
              </w:rPr>
              <w:t>Spent</w:t>
            </w:r>
          </w:p>
        </w:tc>
        <w:tc>
          <w:tcPr>
            <w:tcW w:type="dxa" w:w="3120"/>
            <w:shd w:fill="D9E2F3" w:val="clear"/>
          </w:tcPr>
          <w:p>
            <w:pPr>
              <w:spacing w:after="40" w:before="40"/>
            </w:pPr>
            <w:r/>
            <w:r>
              <w:rPr>
                <w:rFonts w:ascii="Calibri" w:hAnsi="Calibri"/>
                <w:b/>
                <w:sz w:val="18"/>
              </w:rPr>
              <w:t>Key Allocation</w:t>
            </w:r>
          </w:p>
        </w:tc>
      </w:tr>
      <w:tr>
        <w:tc>
          <w:tcPr>
            <w:tcW w:type="dxa" w:w="3120"/>
          </w:tcPr>
          <w:p>
            <w:pPr>
              <w:spacing w:after="20" w:before="20"/>
            </w:pPr>
            <w:r/>
            <w:r>
              <w:rPr>
                <w:rFonts w:ascii="Calibri" w:hAnsi="Calibri"/>
                <w:sz w:val="18"/>
              </w:rPr>
              <w:t>1</w:t>
            </w:r>
          </w:p>
        </w:tc>
        <w:tc>
          <w:tcPr>
            <w:tcW w:type="dxa" w:w="3120"/>
          </w:tcPr>
          <w:p>
            <w:pPr>
              <w:spacing w:after="20" w:before="20"/>
            </w:pPr>
            <w:r/>
            <w:r>
              <w:rPr>
                <w:rFonts w:ascii="Calibri" w:hAnsi="Calibri"/>
                <w:sz w:val="18"/>
              </w:rPr>
              <w:t>$8.0B</w:t>
            </w:r>
          </w:p>
        </w:tc>
        <w:tc>
          <w:tcPr>
            <w:tcW w:type="dxa" w:w="3120"/>
          </w:tcPr>
          <w:p>
            <w:pPr>
              <w:spacing w:after="20" w:before="20"/>
            </w:pPr>
            <w:r/>
            <w:r>
              <w:rPr>
                <w:rFonts w:ascii="Calibri" w:hAnsi="Calibri"/>
                <w:sz w:val="18"/>
              </w:rPr>
              <w:t>Full mix: feeding $1.8B, saline rice $1.5B, storage $1.2B, solar $1.2B, AWD $1.0B, flood rice $0.5B, plus 4 more</w:t>
            </w:r>
          </w:p>
        </w:tc>
      </w:tr>
      <w:tr>
        <w:tc>
          <w:tcPr>
            <w:tcW w:type="dxa" w:w="3120"/>
          </w:tcPr>
          <w:p>
            <w:pPr>
              <w:spacing w:after="20" w:before="20"/>
            </w:pPr>
            <w:r/>
            <w:r>
              <w:rPr>
                <w:rFonts w:ascii="Calibri" w:hAnsi="Calibri"/>
                <w:sz w:val="18"/>
              </w:rPr>
              <w:t>2</w:t>
            </w:r>
          </w:p>
        </w:tc>
        <w:tc>
          <w:tcPr>
            <w:tcW w:type="dxa" w:w="3120"/>
          </w:tcPr>
          <w:p>
            <w:pPr>
              <w:spacing w:after="20" w:before="20"/>
            </w:pPr>
            <w:r/>
            <w:r>
              <w:rPr>
                <w:rFonts w:ascii="Calibri" w:hAnsi="Calibri"/>
                <w:sz w:val="18"/>
              </w:rPr>
              <w:t>$8.0B</w:t>
            </w:r>
          </w:p>
        </w:tc>
        <w:tc>
          <w:tcPr>
            <w:tcW w:type="dxa" w:w="3120"/>
          </w:tcPr>
          <w:p>
            <w:pPr>
              <w:spacing w:after="20" w:before="20"/>
            </w:pPr>
            <w:r/>
            <w:r>
              <w:rPr>
                <w:rFonts w:ascii="Calibri" w:hAnsi="Calibri"/>
                <w:sz w:val="18"/>
              </w:rPr>
              <w:t>Maxes remaining capital: flood rice to $1.8B, diversification to $1.0B, trees $0.9B, canals $0.8B, forecasting, warning, aquaculture. Plus feeding $1.8B, insurance $1.0B</w:t>
            </w:r>
          </w:p>
        </w:tc>
      </w:tr>
      <w:tr>
        <w:tc>
          <w:tcPr>
            <w:tcW w:type="dxa" w:w="3120"/>
          </w:tcPr>
          <w:p>
            <w:pPr>
              <w:spacing w:after="20" w:before="20"/>
            </w:pPr>
            <w:r/>
            <w:r>
              <w:rPr>
                <w:rFonts w:ascii="Calibri" w:hAnsi="Calibri"/>
                <w:sz w:val="18"/>
              </w:rPr>
              <w:t>3–5</w:t>
            </w:r>
          </w:p>
        </w:tc>
        <w:tc>
          <w:tcPr>
            <w:tcW w:type="dxa" w:w="3120"/>
          </w:tcPr>
          <w:p>
            <w:pPr>
              <w:spacing w:after="20" w:before="20"/>
            </w:pPr>
            <w:r/>
            <w:r>
              <w:rPr>
                <w:rFonts w:ascii="Calibri" w:hAnsi="Calibri"/>
                <w:sz w:val="18"/>
              </w:rPr>
              <w:t>$2.8B/yr</w:t>
            </w:r>
          </w:p>
        </w:tc>
        <w:tc>
          <w:tcPr>
            <w:tcW w:type="dxa" w:w="3120"/>
          </w:tcPr>
          <w:p>
            <w:pPr>
              <w:spacing w:after="20" w:before="20"/>
            </w:pPr>
            <w:r/>
            <w:r>
              <w:rPr>
                <w:rFonts w:ascii="Calibri" w:hAnsi="Calibri"/>
                <w:sz w:val="18"/>
              </w:rPr>
              <w:t>All capital complete. Only feeding ($1.8B) + insurance ($1.0B)</w:t>
            </w:r>
          </w:p>
        </w:tc>
      </w:tr>
    </w:tbl>
    <w:p>
      <w:pPr>
        <w:spacing w:after="120"/>
      </w:pPr>
    </w:p>
    <w:p>
      <w:pPr>
        <w:spacing w:after="220" w:before="0" w:line="240" w:lineRule="auto"/>
        <w:jc w:val="left"/>
      </w:pPr>
      <w:r>
        <w:rPr>
          <w:rFonts w:ascii="Calibri" w:hAnsi="Calibri"/>
          <w:sz w:val="22"/>
        </w:rPr>
        <w:t>Total capital invested: $11.2B. Total operational: $13.2B. Grand total: $24.4B of $40B available.</w:t>
      </w:r>
    </w:p>
    <w:p>
      <w:pPr>
        <w:spacing w:before="320" w:after="160" w:line="240" w:lineRule="auto"/>
        <w:jc w:val="left"/>
      </w:pPr>
      <w:r>
        <w:rPr>
          <w:rFonts w:ascii="Calibri" w:hAnsi="Calibri"/>
          <w:b/>
          <w:sz w:val="22"/>
        </w:rPr>
        <w:t>D.3 20-Year Impact Trajectory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D9E2F3" w:val="clear"/>
          </w:tcPr>
          <w:p>
            <w:pPr>
              <w:spacing w:after="40" w:before="40"/>
            </w:pPr>
            <w:r/>
            <w:r>
              <w:rPr>
                <w:rFonts w:ascii="Calibri" w:hAnsi="Calibri"/>
                <w:b/>
                <w:sz w:val="18"/>
              </w:rPr>
              <w:t>Year</w:t>
            </w:r>
          </w:p>
        </w:tc>
        <w:tc>
          <w:tcPr>
            <w:tcW w:type="dxa" w:w="1560"/>
            <w:shd w:fill="D9E2F3" w:val="clear"/>
          </w:tcPr>
          <w:p>
            <w:pPr>
              <w:spacing w:after="40" w:before="40"/>
            </w:pPr>
            <w:r/>
            <w:r>
              <w:rPr>
                <w:rFonts w:ascii="Calibri" w:hAnsi="Calibri"/>
                <w:b/>
                <w:sz w:val="18"/>
              </w:rPr>
              <w:t>Capital</w:t>
            </w:r>
          </w:p>
        </w:tc>
        <w:tc>
          <w:tcPr>
            <w:tcW w:type="dxa" w:w="1560"/>
            <w:shd w:fill="D9E2F3" w:val="clear"/>
          </w:tcPr>
          <w:p>
            <w:pPr>
              <w:spacing w:after="40" w:before="40"/>
            </w:pPr>
            <w:r/>
            <w:r>
              <w:rPr>
                <w:rFonts w:ascii="Calibri" w:hAnsi="Calibri"/>
                <w:b/>
                <w:sz w:val="18"/>
              </w:rPr>
              <w:t>Operational</w:t>
            </w:r>
          </w:p>
        </w:tc>
        <w:tc>
          <w:tcPr>
            <w:tcW w:type="dxa" w:w="1560"/>
            <w:shd w:fill="D9E2F3" w:val="clear"/>
          </w:tcPr>
          <w:p>
            <w:pPr>
              <w:spacing w:after="40" w:before="40"/>
            </w:pPr>
            <w:r/>
            <w:r>
              <w:rPr>
                <w:rFonts w:ascii="Calibri" w:hAnsi="Calibri"/>
                <w:b/>
                <w:sz w:val="18"/>
              </w:rPr>
              <w:t>Synergy</w:t>
            </w:r>
          </w:p>
        </w:tc>
        <w:tc>
          <w:tcPr>
            <w:tcW w:type="dxa" w:w="1560"/>
            <w:shd w:fill="D9E2F3" w:val="clear"/>
          </w:tcPr>
          <w:p>
            <w:pPr>
              <w:spacing w:after="40" w:before="40"/>
            </w:pPr>
            <w:r/>
            <w:r>
              <w:rPr>
                <w:rFonts w:ascii="Calibri" w:hAnsi="Calibri"/>
                <w:b/>
                <w:sz w:val="18"/>
              </w:rPr>
              <w:t>Total</w:t>
            </w:r>
          </w:p>
        </w:tc>
        <w:tc>
          <w:tcPr>
            <w:tcW w:type="dxa" w:w="1560"/>
            <w:shd w:fill="D9E2F3" w:val="clear"/>
          </w:tcPr>
          <w:p>
            <w:pPr>
              <w:spacing w:after="40" w:before="40"/>
            </w:pPr>
            <w:r/>
            <w:r>
              <w:rPr>
                <w:rFonts w:ascii="Calibri" w:hAnsi="Calibri"/>
                <w:b/>
                <w:sz w:val="18"/>
              </w:rPr>
              <w:t>% of Deficit</w:t>
            </w:r>
          </w:p>
        </w:tc>
      </w:tr>
      <w:tr>
        <w:tc>
          <w:tcPr>
            <w:tcW w:type="dxa" w:w="1560"/>
          </w:tcPr>
          <w:p>
            <w:pPr>
              <w:spacing w:after="20" w:before="20"/>
            </w:pPr>
            <w:r/>
            <w:r>
              <w:rPr>
                <w:rFonts w:ascii="Calibri" w:hAnsi="Calibri"/>
                <w:sz w:val="18"/>
              </w:rPr>
              <w:t>1</w:t>
            </w:r>
          </w:p>
        </w:tc>
        <w:tc>
          <w:tcPr>
            <w:tcW w:type="dxa" w:w="1560"/>
          </w:tcPr>
          <w:p>
            <w:pPr>
              <w:spacing w:after="20" w:before="20"/>
            </w:pPr>
            <w:r/>
            <w:r>
              <w:rPr>
                <w:rFonts w:ascii="Calibri" w:hAnsi="Calibri"/>
                <w:sz w:val="18"/>
              </w:rPr>
              <w:t>9,072,260</w:t>
            </w:r>
          </w:p>
        </w:tc>
        <w:tc>
          <w:tcPr>
            <w:tcW w:type="dxa" w:w="1560"/>
          </w:tcPr>
          <w:p>
            <w:pPr>
              <w:spacing w:after="20" w:before="20"/>
            </w:pPr>
            <w:r/>
            <w:r>
              <w:rPr>
                <w:rFonts w:ascii="Calibri" w:hAnsi="Calibri"/>
                <w:sz w:val="18"/>
              </w:rPr>
              <w:t>11,571,360</w:t>
            </w:r>
          </w:p>
        </w:tc>
        <w:tc>
          <w:tcPr>
            <w:tcW w:type="dxa" w:w="1560"/>
          </w:tcPr>
          <w:p>
            <w:pPr>
              <w:spacing w:after="20" w:before="20"/>
            </w:pPr>
            <w:r/>
            <w:r>
              <w:rPr>
                <w:rFonts w:ascii="Calibri" w:hAnsi="Calibri"/>
                <w:sz w:val="18"/>
              </w:rPr>
              <w:t>1,682,768</w:t>
            </w:r>
          </w:p>
        </w:tc>
        <w:tc>
          <w:tcPr>
            <w:tcW w:type="dxa" w:w="1560"/>
          </w:tcPr>
          <w:p>
            <w:pPr>
              <w:spacing w:after="20" w:before="20"/>
            </w:pPr>
            <w:r/>
            <w:r>
              <w:rPr>
                <w:rFonts w:ascii="Calibri" w:hAnsi="Calibri"/>
                <w:sz w:val="18"/>
              </w:rPr>
              <w:t>22,326,387</w:t>
            </w:r>
          </w:p>
        </w:tc>
        <w:tc>
          <w:tcPr>
            <w:tcW w:type="dxa" w:w="1560"/>
          </w:tcPr>
          <w:p>
            <w:pPr>
              <w:spacing w:after="20" w:before="20"/>
            </w:pPr>
            <w:r/>
            <w:r>
              <w:rPr>
                <w:rFonts w:ascii="Calibri" w:hAnsi="Calibri"/>
                <w:sz w:val="18"/>
              </w:rPr>
              <w:t>100%</w:t>
            </w:r>
          </w:p>
        </w:tc>
      </w:tr>
      <w:tr>
        <w:tc>
          <w:tcPr>
            <w:tcW w:type="dxa" w:w="1560"/>
          </w:tcPr>
          <w:p>
            <w:pPr>
              <w:spacing w:after="20" w:before="20"/>
            </w:pPr>
            <w:r/>
            <w:r>
              <w:rPr>
                <w:rFonts w:ascii="Calibri" w:hAnsi="Calibri"/>
                <w:sz w:val="18"/>
              </w:rPr>
              <w:t>2</w:t>
            </w:r>
          </w:p>
        </w:tc>
        <w:tc>
          <w:tcPr>
            <w:tcW w:type="dxa" w:w="1560"/>
          </w:tcPr>
          <w:p>
            <w:pPr>
              <w:spacing w:after="20" w:before="20"/>
            </w:pPr>
            <w:r/>
            <w:r>
              <w:rPr>
                <w:rFonts w:ascii="Calibri" w:hAnsi="Calibri"/>
                <w:sz w:val="18"/>
              </w:rPr>
              <w:t>10,289,472</w:t>
            </w:r>
          </w:p>
        </w:tc>
        <w:tc>
          <w:tcPr>
            <w:tcW w:type="dxa" w:w="1560"/>
          </w:tcPr>
          <w:p>
            <w:pPr>
              <w:spacing w:after="20" w:before="20"/>
            </w:pPr>
            <w:r/>
            <w:r>
              <w:rPr>
                <w:rFonts w:ascii="Calibri" w:hAnsi="Calibri"/>
                <w:sz w:val="18"/>
              </w:rPr>
              <w:t>11,693,724</w:t>
            </w:r>
          </w:p>
        </w:tc>
        <w:tc>
          <w:tcPr>
            <w:tcW w:type="dxa" w:w="1560"/>
          </w:tcPr>
          <w:p>
            <w:pPr>
              <w:spacing w:after="20" w:before="20"/>
            </w:pPr>
            <w:r/>
            <w:r>
              <w:rPr>
                <w:rFonts w:ascii="Calibri" w:hAnsi="Calibri"/>
                <w:sz w:val="18"/>
              </w:rPr>
              <w:t>2,628,528</w:t>
            </w:r>
          </w:p>
        </w:tc>
        <w:tc>
          <w:tcPr>
            <w:tcW w:type="dxa" w:w="1560"/>
          </w:tcPr>
          <w:p>
            <w:pPr>
              <w:spacing w:after="20" w:before="20"/>
            </w:pPr>
            <w:r/>
            <w:r>
              <w:rPr>
                <w:rFonts w:ascii="Calibri" w:hAnsi="Calibri"/>
                <w:sz w:val="18"/>
              </w:rPr>
              <w:t>24,611,724</w:t>
            </w:r>
          </w:p>
        </w:tc>
        <w:tc>
          <w:tcPr>
            <w:tcW w:type="dxa" w:w="1560"/>
          </w:tcPr>
          <w:p>
            <w:pPr>
              <w:spacing w:after="20" w:before="20"/>
            </w:pPr>
            <w:r/>
            <w:r>
              <w:rPr>
                <w:rFonts w:ascii="Calibri" w:hAnsi="Calibri"/>
                <w:sz w:val="18"/>
              </w:rPr>
              <w:t>100%</w:t>
            </w:r>
          </w:p>
        </w:tc>
      </w:tr>
      <w:tr>
        <w:tc>
          <w:tcPr>
            <w:tcW w:type="dxa" w:w="1560"/>
          </w:tcPr>
          <w:p>
            <w:pPr>
              <w:spacing w:after="20" w:before="20"/>
            </w:pPr>
            <w:r/>
            <w:r>
              <w:rPr>
                <w:rFonts w:ascii="Calibri" w:hAnsi="Calibri"/>
                <w:sz w:val="18"/>
              </w:rPr>
              <w:t>3–5</w:t>
            </w:r>
          </w:p>
        </w:tc>
        <w:tc>
          <w:tcPr>
            <w:tcW w:type="dxa" w:w="1560"/>
          </w:tcPr>
          <w:p>
            <w:pPr>
              <w:spacing w:after="20" w:before="20"/>
            </w:pPr>
            <w:r/>
            <w:r>
              <w:rPr>
                <w:rFonts w:ascii="Calibri" w:hAnsi="Calibri"/>
                <w:sz w:val="18"/>
              </w:rPr>
              <w:t>10,289,486</w:t>
            </w:r>
          </w:p>
        </w:tc>
        <w:tc>
          <w:tcPr>
            <w:tcW w:type="dxa" w:w="1560"/>
          </w:tcPr>
          <w:p>
            <w:pPr>
              <w:spacing w:after="20" w:before="20"/>
            </w:pPr>
            <w:r/>
            <w:r>
              <w:rPr>
                <w:rFonts w:ascii="Calibri" w:hAnsi="Calibri"/>
                <w:sz w:val="18"/>
              </w:rPr>
              <w:t>11,693,724</w:t>
            </w:r>
          </w:p>
        </w:tc>
        <w:tc>
          <w:tcPr>
            <w:tcW w:type="dxa" w:w="1560"/>
          </w:tcPr>
          <w:p>
            <w:pPr>
              <w:spacing w:after="20" w:before="20"/>
            </w:pPr>
            <w:r/>
            <w:r>
              <w:rPr>
                <w:rFonts w:ascii="Calibri" w:hAnsi="Calibri"/>
                <w:sz w:val="18"/>
              </w:rPr>
              <w:t>2,628,546</w:t>
            </w:r>
          </w:p>
        </w:tc>
        <w:tc>
          <w:tcPr>
            <w:tcW w:type="dxa" w:w="1560"/>
          </w:tcPr>
          <w:p>
            <w:pPr>
              <w:spacing w:after="20" w:before="20"/>
            </w:pPr>
            <w:r/>
            <w:r>
              <w:rPr>
                <w:rFonts w:ascii="Calibri" w:hAnsi="Calibri"/>
                <w:sz w:val="18"/>
              </w:rPr>
              <w:t>24,611,755</w:t>
            </w:r>
          </w:p>
        </w:tc>
        <w:tc>
          <w:tcPr>
            <w:tcW w:type="dxa" w:w="1560"/>
          </w:tcPr>
          <w:p>
            <w:pPr>
              <w:spacing w:after="20" w:before="20"/>
            </w:pPr>
            <w:r/>
            <w:r>
              <w:rPr>
                <w:rFonts w:ascii="Calibri" w:hAnsi="Calibri"/>
                <w:sz w:val="18"/>
              </w:rPr>
              <w:t>100%</w:t>
            </w:r>
          </w:p>
        </w:tc>
      </w:tr>
      <w:tr>
        <w:tc>
          <w:tcPr>
            <w:tcW w:type="dxa" w:w="1560"/>
          </w:tcPr>
          <w:p>
            <w:pPr>
              <w:spacing w:after="20" w:before="20"/>
            </w:pPr>
            <w:r/>
            <w:r>
              <w:rPr>
                <w:rFonts w:ascii="Calibri" w:hAnsi="Calibri"/>
                <w:sz w:val="18"/>
              </w:rPr>
              <w:t>6</w:t>
            </w:r>
          </w:p>
        </w:tc>
        <w:tc>
          <w:tcPr>
            <w:tcW w:type="dxa" w:w="1560"/>
          </w:tcPr>
          <w:p>
            <w:pPr>
              <w:spacing w:after="20" w:before="20"/>
            </w:pPr>
            <w:r/>
            <w:r>
              <w:rPr>
                <w:rFonts w:ascii="Calibri" w:hAnsi="Calibri"/>
                <w:sz w:val="18"/>
              </w:rPr>
              <w:t>9,833,229</w:t>
            </w:r>
          </w:p>
        </w:tc>
        <w:tc>
          <w:tcPr>
            <w:tcW w:type="dxa" w:w="1560"/>
          </w:tcPr>
          <w:p>
            <w:pPr>
              <w:spacing w:after="20" w:before="20"/>
            </w:pPr>
            <w:r/>
            <w:r>
              <w:rPr>
                <w:rFonts w:ascii="Calibri" w:hAnsi="Calibri"/>
                <w:sz w:val="18"/>
              </w:rPr>
              <w:t>0</w:t>
            </w:r>
          </w:p>
        </w:tc>
        <w:tc>
          <w:tcPr>
            <w:tcW w:type="dxa" w:w="1560"/>
          </w:tcPr>
          <w:p>
            <w:pPr>
              <w:spacing w:after="20" w:before="20"/>
            </w:pPr>
            <w:r/>
            <w:r>
              <w:rPr>
                <w:rFonts w:ascii="Calibri" w:hAnsi="Calibri"/>
                <w:sz w:val="18"/>
              </w:rPr>
              <w:t>2,156,163</w:t>
            </w:r>
          </w:p>
        </w:tc>
        <w:tc>
          <w:tcPr>
            <w:tcW w:type="dxa" w:w="1560"/>
          </w:tcPr>
          <w:p>
            <w:pPr>
              <w:spacing w:after="20" w:before="20"/>
            </w:pPr>
            <w:r/>
            <w:r>
              <w:rPr>
                <w:rFonts w:ascii="Calibri" w:hAnsi="Calibri"/>
                <w:sz w:val="18"/>
              </w:rPr>
              <w:t>11,989,392</w:t>
            </w:r>
          </w:p>
        </w:tc>
        <w:tc>
          <w:tcPr>
            <w:tcW w:type="dxa" w:w="1560"/>
          </w:tcPr>
          <w:p>
            <w:pPr>
              <w:spacing w:after="20" w:before="20"/>
            </w:pPr>
            <w:r/>
            <w:r>
              <w:rPr>
                <w:rFonts w:ascii="Calibri" w:hAnsi="Calibri"/>
                <w:sz w:val="18"/>
              </w:rPr>
              <w:t>66.4%</w:t>
            </w:r>
          </w:p>
        </w:tc>
      </w:tr>
      <w:tr>
        <w:tc>
          <w:tcPr>
            <w:tcW w:type="dxa" w:w="1560"/>
          </w:tcPr>
          <w:p>
            <w:pPr>
              <w:spacing w:after="20" w:before="20"/>
            </w:pPr>
            <w:r/>
            <w:r>
              <w:rPr>
                <w:rFonts w:ascii="Calibri" w:hAnsi="Calibri"/>
                <w:sz w:val="18"/>
              </w:rPr>
              <w:t>7</w:t>
            </w:r>
          </w:p>
        </w:tc>
        <w:tc>
          <w:tcPr>
            <w:tcW w:type="dxa" w:w="1560"/>
          </w:tcPr>
          <w:p>
            <w:pPr>
              <w:spacing w:after="20" w:before="20"/>
            </w:pPr>
            <w:r/>
            <w:r>
              <w:rPr>
                <w:rFonts w:ascii="Calibri" w:hAnsi="Calibri"/>
                <w:sz w:val="18"/>
              </w:rPr>
              <w:t>9,398,700</w:t>
            </w:r>
          </w:p>
        </w:tc>
        <w:tc>
          <w:tcPr>
            <w:tcW w:type="dxa" w:w="1560"/>
          </w:tcPr>
          <w:p>
            <w:pPr>
              <w:spacing w:after="20" w:before="20"/>
            </w:pPr>
            <w:r/>
            <w:r>
              <w:rPr>
                <w:rFonts w:ascii="Calibri" w:hAnsi="Calibri"/>
                <w:sz w:val="18"/>
              </w:rPr>
              <w:t>0</w:t>
            </w:r>
          </w:p>
        </w:tc>
        <w:tc>
          <w:tcPr>
            <w:tcW w:type="dxa" w:w="1560"/>
          </w:tcPr>
          <w:p>
            <w:pPr>
              <w:spacing w:after="20" w:before="20"/>
            </w:pPr>
            <w:r/>
            <w:r>
              <w:rPr>
                <w:rFonts w:ascii="Calibri" w:hAnsi="Calibri"/>
                <w:sz w:val="18"/>
              </w:rPr>
              <w:t>1,948,052</w:t>
            </w:r>
          </w:p>
        </w:tc>
        <w:tc>
          <w:tcPr>
            <w:tcW w:type="dxa" w:w="1560"/>
          </w:tcPr>
          <w:p>
            <w:pPr>
              <w:spacing w:after="20" w:before="20"/>
            </w:pPr>
            <w:r/>
            <w:r>
              <w:rPr>
                <w:rFonts w:ascii="Calibri" w:hAnsi="Calibri"/>
                <w:sz w:val="18"/>
              </w:rPr>
              <w:t>11,346,751</w:t>
            </w:r>
          </w:p>
        </w:tc>
        <w:tc>
          <w:tcPr>
            <w:tcW w:type="dxa" w:w="1560"/>
          </w:tcPr>
          <w:p>
            <w:pPr>
              <w:spacing w:after="20" w:before="20"/>
            </w:pPr>
            <w:r/>
            <w:r>
              <w:rPr>
                <w:rFonts w:ascii="Calibri" w:hAnsi="Calibri"/>
                <w:sz w:val="18"/>
              </w:rPr>
              <w:t>62.9%</w:t>
            </w:r>
          </w:p>
        </w:tc>
      </w:tr>
      <w:tr>
        <w:tc>
          <w:tcPr>
            <w:tcW w:type="dxa" w:w="1560"/>
          </w:tcPr>
          <w:p>
            <w:pPr>
              <w:spacing w:after="20" w:before="20"/>
            </w:pPr>
            <w:r/>
            <w:r>
              <w:rPr>
                <w:rFonts w:ascii="Calibri" w:hAnsi="Calibri"/>
                <w:sz w:val="18"/>
              </w:rPr>
              <w:t>10</w:t>
            </w:r>
          </w:p>
        </w:tc>
        <w:tc>
          <w:tcPr>
            <w:tcW w:type="dxa" w:w="1560"/>
          </w:tcPr>
          <w:p>
            <w:pPr>
              <w:spacing w:after="20" w:before="20"/>
            </w:pPr>
            <w:r/>
            <w:r>
              <w:rPr>
                <w:rFonts w:ascii="Calibri" w:hAnsi="Calibri"/>
                <w:sz w:val="18"/>
              </w:rPr>
              <w:t>8,214,713</w:t>
            </w:r>
          </w:p>
        </w:tc>
        <w:tc>
          <w:tcPr>
            <w:tcW w:type="dxa" w:w="1560"/>
          </w:tcPr>
          <w:p>
            <w:pPr>
              <w:spacing w:after="20" w:before="20"/>
            </w:pPr>
            <w:r/>
            <w:r>
              <w:rPr>
                <w:rFonts w:ascii="Calibri" w:hAnsi="Calibri"/>
                <w:sz w:val="18"/>
              </w:rPr>
              <w:t>0</w:t>
            </w:r>
          </w:p>
        </w:tc>
        <w:tc>
          <w:tcPr>
            <w:tcW w:type="dxa" w:w="1560"/>
          </w:tcPr>
          <w:p>
            <w:pPr>
              <w:spacing w:after="20" w:before="20"/>
            </w:pPr>
            <w:r/>
            <w:r>
              <w:rPr>
                <w:rFonts w:ascii="Calibri" w:hAnsi="Calibri"/>
                <w:sz w:val="18"/>
              </w:rPr>
              <w:t>1,438,207</w:t>
            </w:r>
          </w:p>
        </w:tc>
        <w:tc>
          <w:tcPr>
            <w:tcW w:type="dxa" w:w="1560"/>
          </w:tcPr>
          <w:p>
            <w:pPr>
              <w:spacing w:after="20" w:before="20"/>
            </w:pPr>
            <w:r/>
            <w:r>
              <w:rPr>
                <w:rFonts w:ascii="Calibri" w:hAnsi="Calibri"/>
                <w:sz w:val="18"/>
              </w:rPr>
              <w:t>9,652,919</w:t>
            </w:r>
          </w:p>
        </w:tc>
        <w:tc>
          <w:tcPr>
            <w:tcW w:type="dxa" w:w="1560"/>
          </w:tcPr>
          <w:p>
            <w:pPr>
              <w:spacing w:after="20" w:before="20"/>
            </w:pPr>
            <w:r/>
            <w:r>
              <w:rPr>
                <w:rFonts w:ascii="Calibri" w:hAnsi="Calibri"/>
                <w:sz w:val="18"/>
              </w:rPr>
              <w:t>53.5%</w:t>
            </w:r>
          </w:p>
        </w:tc>
      </w:tr>
      <w:tr>
        <w:tc>
          <w:tcPr>
            <w:tcW w:type="dxa" w:w="1560"/>
          </w:tcPr>
          <w:p>
            <w:pPr>
              <w:spacing w:after="20" w:before="20"/>
            </w:pPr>
            <w:r/>
            <w:r>
              <w:rPr>
                <w:rFonts w:ascii="Calibri" w:hAnsi="Calibri"/>
                <w:sz w:val="18"/>
              </w:rPr>
              <w:t>15</w:t>
            </w:r>
          </w:p>
        </w:tc>
        <w:tc>
          <w:tcPr>
            <w:tcW w:type="dxa" w:w="1560"/>
          </w:tcPr>
          <w:p>
            <w:pPr>
              <w:spacing w:after="20" w:before="20"/>
            </w:pPr>
            <w:r/>
            <w:r>
              <w:rPr>
                <w:rFonts w:ascii="Calibri" w:hAnsi="Calibri"/>
                <w:sz w:val="18"/>
              </w:rPr>
              <w:t>6,583,707</w:t>
            </w:r>
          </w:p>
        </w:tc>
        <w:tc>
          <w:tcPr>
            <w:tcW w:type="dxa" w:w="1560"/>
          </w:tcPr>
          <w:p>
            <w:pPr>
              <w:spacing w:after="20" w:before="20"/>
            </w:pPr>
            <w:r/>
            <w:r>
              <w:rPr>
                <w:rFonts w:ascii="Calibri" w:hAnsi="Calibri"/>
                <w:sz w:val="18"/>
              </w:rPr>
              <w:t>0</w:t>
            </w:r>
          </w:p>
        </w:tc>
        <w:tc>
          <w:tcPr>
            <w:tcW w:type="dxa" w:w="1560"/>
          </w:tcPr>
          <w:p>
            <w:pPr>
              <w:spacing w:after="20" w:before="20"/>
            </w:pPr>
            <w:r/>
            <w:r>
              <w:rPr>
                <w:rFonts w:ascii="Calibri" w:hAnsi="Calibri"/>
                <w:sz w:val="18"/>
              </w:rPr>
              <w:t>870,223</w:t>
            </w:r>
          </w:p>
        </w:tc>
        <w:tc>
          <w:tcPr>
            <w:tcW w:type="dxa" w:w="1560"/>
          </w:tcPr>
          <w:p>
            <w:pPr>
              <w:spacing w:after="20" w:before="20"/>
            </w:pPr>
            <w:r/>
            <w:r>
              <w:rPr>
                <w:rFonts w:ascii="Calibri" w:hAnsi="Calibri"/>
                <w:sz w:val="18"/>
              </w:rPr>
              <w:t>7,453,930</w:t>
            </w:r>
          </w:p>
        </w:tc>
        <w:tc>
          <w:tcPr>
            <w:tcW w:type="dxa" w:w="1560"/>
          </w:tcPr>
          <w:p>
            <w:pPr>
              <w:spacing w:after="20" w:before="20"/>
            </w:pPr>
            <w:r/>
            <w:r>
              <w:rPr>
                <w:rFonts w:ascii="Calibri" w:hAnsi="Calibri"/>
                <w:sz w:val="18"/>
              </w:rPr>
              <w:t>41.3%</w:t>
            </w:r>
          </w:p>
        </w:tc>
      </w:tr>
      <w:tr>
        <w:tc>
          <w:tcPr>
            <w:tcW w:type="dxa" w:w="1560"/>
          </w:tcPr>
          <w:p>
            <w:pPr>
              <w:spacing w:after="20" w:before="20"/>
            </w:pPr>
            <w:r/>
            <w:r>
              <w:rPr>
                <w:rFonts w:ascii="Calibri" w:hAnsi="Calibri"/>
                <w:sz w:val="18"/>
              </w:rPr>
              <w:t>20</w:t>
            </w:r>
          </w:p>
        </w:tc>
        <w:tc>
          <w:tcPr>
            <w:tcW w:type="dxa" w:w="1560"/>
          </w:tcPr>
          <w:p>
            <w:pPr>
              <w:spacing w:after="20" w:before="20"/>
            </w:pPr>
            <w:r/>
            <w:r>
              <w:rPr>
                <w:rFonts w:ascii="Calibri" w:hAnsi="Calibri"/>
                <w:sz w:val="18"/>
              </w:rPr>
              <w:t>5,296,290</w:t>
            </w:r>
          </w:p>
        </w:tc>
        <w:tc>
          <w:tcPr>
            <w:tcW w:type="dxa" w:w="1560"/>
          </w:tcPr>
          <w:p>
            <w:pPr>
              <w:spacing w:after="20" w:before="20"/>
            </w:pPr>
            <w:r/>
            <w:r>
              <w:rPr>
                <w:rFonts w:ascii="Calibri" w:hAnsi="Calibri"/>
                <w:sz w:val="18"/>
              </w:rPr>
              <w:t>0</w:t>
            </w:r>
          </w:p>
        </w:tc>
        <w:tc>
          <w:tcPr>
            <w:tcW w:type="dxa" w:w="1560"/>
          </w:tcPr>
          <w:p>
            <w:pPr>
              <w:spacing w:after="20" w:before="20"/>
            </w:pPr>
            <w:r/>
            <w:r>
              <w:rPr>
                <w:rFonts w:ascii="Calibri" w:hAnsi="Calibri"/>
                <w:sz w:val="18"/>
              </w:rPr>
              <w:t>528,536</w:t>
            </w:r>
          </w:p>
        </w:tc>
        <w:tc>
          <w:tcPr>
            <w:tcW w:type="dxa" w:w="1560"/>
          </w:tcPr>
          <w:p>
            <w:pPr>
              <w:spacing w:after="20" w:before="20"/>
            </w:pPr>
            <w:r/>
            <w:r>
              <w:rPr>
                <w:rFonts w:ascii="Calibri" w:hAnsi="Calibri"/>
                <w:sz w:val="18"/>
              </w:rPr>
              <w:t>5,824,826</w:t>
            </w:r>
          </w:p>
        </w:tc>
        <w:tc>
          <w:tcPr>
            <w:tcW w:type="dxa" w:w="1560"/>
          </w:tcPr>
          <w:p>
            <w:pPr>
              <w:spacing w:after="20" w:before="20"/>
            </w:pPr>
            <w:r/>
            <w:r>
              <w:rPr>
                <w:rFonts w:ascii="Calibri" w:hAnsi="Calibri"/>
                <w:sz w:val="18"/>
              </w:rPr>
              <w:t>32.3%</w:t>
            </w:r>
          </w:p>
        </w:tc>
      </w:tr>
    </w:tbl>
    <w:p>
      <w:pPr>
        <w:spacing w:after="120"/>
      </w:pPr>
    </w:p>
    <w:p>
      <w:pPr>
        <w:spacing w:after="220" w:before="0" w:line="240" w:lineRule="auto"/>
        <w:jc w:val="left"/>
      </w:pPr>
      <w:r>
        <w:rPr>
          <w:rFonts w:ascii="Calibri" w:hAnsi="Calibri"/>
          <w:sz w:val="22"/>
        </w:rPr>
        <w:t>During years 1–5, the deficit is fully closed (100%). When funding stops in year 6, operational impact vanishes. Capital investments continue but decay slowly. By year 20, capital still covers 32.3% of the deficit — 5.8 million people remain food-secure from investments made 15+ years earlier.</w:t>
      </w:r>
    </w:p>
    <w:p>
      <w:pPr>
        <w:spacing w:before="320" w:after="160" w:line="240" w:lineRule="auto"/>
        <w:jc w:val="left"/>
      </w:pPr>
      <w:r>
        <w:rPr>
          <w:rFonts w:ascii="Calibri" w:hAnsi="Calibri"/>
          <w:b/>
          <w:sz w:val="22"/>
        </w:rPr>
        <w:t>D.4 20-Year Efficiency Ranking</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E2F3" w:val="clear"/>
          </w:tcPr>
          <w:p>
            <w:pPr>
              <w:spacing w:after="40" w:before="40"/>
            </w:pPr>
            <w:r/>
            <w:r>
              <w:rPr>
                <w:rFonts w:ascii="Calibri" w:hAnsi="Calibri"/>
                <w:b/>
                <w:sz w:val="18"/>
              </w:rPr>
              <w:t>Policy</w:t>
            </w:r>
          </w:p>
        </w:tc>
        <w:tc>
          <w:tcPr>
            <w:tcW w:type="dxa" w:w="2340"/>
            <w:shd w:fill="D9E2F3" w:val="clear"/>
          </w:tcPr>
          <w:p>
            <w:pPr>
              <w:spacing w:after="40" w:before="40"/>
            </w:pPr>
            <w:r/>
            <w:r>
              <w:rPr>
                <w:rFonts w:ascii="Calibri" w:hAnsi="Calibri"/>
                <w:b/>
                <w:sz w:val="18"/>
              </w:rPr>
              <w:t>Invested</w:t>
            </w:r>
          </w:p>
        </w:tc>
        <w:tc>
          <w:tcPr>
            <w:tcW w:type="dxa" w:w="2340"/>
            <w:shd w:fill="D9E2F3" w:val="clear"/>
          </w:tcPr>
          <w:p>
            <w:pPr>
              <w:spacing w:after="40" w:before="40"/>
            </w:pPr>
            <w:r/>
            <w:r>
              <w:rPr>
                <w:rFonts w:ascii="Calibri" w:hAnsi="Calibri"/>
                <w:b/>
                <w:sz w:val="18"/>
              </w:rPr>
              <w:t>20-Year Person-Years</w:t>
            </w:r>
          </w:p>
        </w:tc>
        <w:tc>
          <w:tcPr>
            <w:tcW w:type="dxa" w:w="2340"/>
            <w:shd w:fill="D9E2F3" w:val="clear"/>
          </w:tcPr>
          <w:p>
            <w:pPr>
              <w:spacing w:after="40" w:before="40"/>
            </w:pPr>
            <w:r/>
            <w:r>
              <w:rPr>
                <w:rFonts w:ascii="Calibri" w:hAnsi="Calibri"/>
                <w:b/>
                <w:sz w:val="18"/>
              </w:rPr>
              <w:t>Per $M (20yr)</w:t>
            </w:r>
          </w:p>
        </w:tc>
      </w:tr>
      <w:tr>
        <w:tc>
          <w:tcPr>
            <w:tcW w:type="dxa" w:w="2340"/>
          </w:tcPr>
          <w:p>
            <w:pPr>
              <w:spacing w:after="20" w:before="20"/>
            </w:pPr>
            <w:r/>
            <w:r>
              <w:rPr>
                <w:rFonts w:ascii="Calibri" w:hAnsi="Calibri"/>
                <w:sz w:val="18"/>
              </w:rPr>
              <w:t>Post-harvest storage</w:t>
            </w:r>
          </w:p>
        </w:tc>
        <w:tc>
          <w:tcPr>
            <w:tcW w:type="dxa" w:w="2340"/>
          </w:tcPr>
          <w:p>
            <w:pPr>
              <w:spacing w:after="20" w:before="20"/>
            </w:pPr>
            <w:r/>
            <w:r>
              <w:rPr>
                <w:rFonts w:ascii="Calibri" w:hAnsi="Calibri"/>
                <w:sz w:val="18"/>
              </w:rPr>
              <w:t>$1,200M</w:t>
            </w:r>
          </w:p>
        </w:tc>
        <w:tc>
          <w:tcPr>
            <w:tcW w:type="dxa" w:w="2340"/>
          </w:tcPr>
          <w:p>
            <w:pPr>
              <w:spacing w:after="20" w:before="20"/>
            </w:pPr>
            <w:r/>
            <w:r>
              <w:rPr>
                <w:rFonts w:ascii="Calibri" w:hAnsi="Calibri"/>
                <w:sz w:val="18"/>
              </w:rPr>
              <w:t>38,416,726</w:t>
            </w:r>
          </w:p>
        </w:tc>
        <w:tc>
          <w:tcPr>
            <w:tcW w:type="dxa" w:w="2340"/>
          </w:tcPr>
          <w:p>
            <w:pPr>
              <w:spacing w:after="20" w:before="20"/>
            </w:pPr>
            <w:r/>
            <w:r>
              <w:rPr>
                <w:rFonts w:ascii="Calibri" w:hAnsi="Calibri"/>
                <w:sz w:val="18"/>
              </w:rPr>
              <w:t>32,014</w:t>
            </w:r>
          </w:p>
        </w:tc>
      </w:tr>
      <w:tr>
        <w:tc>
          <w:tcPr>
            <w:tcW w:type="dxa" w:w="2340"/>
          </w:tcPr>
          <w:p>
            <w:pPr>
              <w:spacing w:after="20" w:before="20"/>
            </w:pPr>
            <w:r/>
            <w:r>
              <w:rPr>
                <w:rFonts w:ascii="Calibri" w:hAnsi="Calibri"/>
                <w:sz w:val="18"/>
              </w:rPr>
              <w:t>Saline-tolerant rice</w:t>
            </w:r>
          </w:p>
        </w:tc>
        <w:tc>
          <w:tcPr>
            <w:tcW w:type="dxa" w:w="2340"/>
          </w:tcPr>
          <w:p>
            <w:pPr>
              <w:spacing w:after="20" w:before="20"/>
            </w:pPr>
            <w:r/>
            <w:r>
              <w:rPr>
                <w:rFonts w:ascii="Calibri" w:hAnsi="Calibri"/>
                <w:sz w:val="18"/>
              </w:rPr>
              <w:t>$1,500M</w:t>
            </w:r>
          </w:p>
        </w:tc>
        <w:tc>
          <w:tcPr>
            <w:tcW w:type="dxa" w:w="2340"/>
          </w:tcPr>
          <w:p>
            <w:pPr>
              <w:spacing w:after="20" w:before="20"/>
            </w:pPr>
            <w:r/>
            <w:r>
              <w:rPr>
                <w:rFonts w:ascii="Calibri" w:hAnsi="Calibri"/>
                <w:sz w:val="18"/>
              </w:rPr>
              <w:t>45,049,235</w:t>
            </w:r>
          </w:p>
        </w:tc>
        <w:tc>
          <w:tcPr>
            <w:tcW w:type="dxa" w:w="2340"/>
          </w:tcPr>
          <w:p>
            <w:pPr>
              <w:spacing w:after="20" w:before="20"/>
            </w:pPr>
            <w:r/>
            <w:r>
              <w:rPr>
                <w:rFonts w:ascii="Calibri" w:hAnsi="Calibri"/>
                <w:sz w:val="18"/>
              </w:rPr>
              <w:t>30,033</w:t>
            </w:r>
          </w:p>
        </w:tc>
      </w:tr>
      <w:tr>
        <w:tc>
          <w:tcPr>
            <w:tcW w:type="dxa" w:w="2340"/>
          </w:tcPr>
          <w:p>
            <w:pPr>
              <w:spacing w:after="20" w:before="20"/>
            </w:pPr>
            <w:r/>
            <w:r>
              <w:rPr>
                <w:rFonts w:ascii="Calibri" w:hAnsi="Calibri"/>
                <w:sz w:val="18"/>
              </w:rPr>
              <w:t>AWD irrigation</w:t>
            </w:r>
          </w:p>
        </w:tc>
        <w:tc>
          <w:tcPr>
            <w:tcW w:type="dxa" w:w="2340"/>
          </w:tcPr>
          <w:p>
            <w:pPr>
              <w:spacing w:after="20" w:before="20"/>
            </w:pPr>
            <w:r/>
            <w:r>
              <w:rPr>
                <w:rFonts w:ascii="Calibri" w:hAnsi="Calibri"/>
                <w:sz w:val="18"/>
              </w:rPr>
              <w:t>$1,000M</w:t>
            </w:r>
          </w:p>
        </w:tc>
        <w:tc>
          <w:tcPr>
            <w:tcW w:type="dxa" w:w="2340"/>
          </w:tcPr>
          <w:p>
            <w:pPr>
              <w:spacing w:after="20" w:before="20"/>
            </w:pPr>
            <w:r/>
            <w:r>
              <w:rPr>
                <w:rFonts w:ascii="Calibri" w:hAnsi="Calibri"/>
                <w:sz w:val="18"/>
              </w:rPr>
              <w:t>28,437,721</w:t>
            </w:r>
          </w:p>
        </w:tc>
        <w:tc>
          <w:tcPr>
            <w:tcW w:type="dxa" w:w="2340"/>
          </w:tcPr>
          <w:p>
            <w:pPr>
              <w:spacing w:after="20" w:before="20"/>
            </w:pPr>
            <w:r/>
            <w:r>
              <w:rPr>
                <w:rFonts w:ascii="Calibri" w:hAnsi="Calibri"/>
                <w:sz w:val="18"/>
              </w:rPr>
              <w:t>28,438</w:t>
            </w:r>
          </w:p>
        </w:tc>
      </w:tr>
      <w:tr>
        <w:tc>
          <w:tcPr>
            <w:tcW w:type="dxa" w:w="2340"/>
          </w:tcPr>
          <w:p>
            <w:pPr>
              <w:spacing w:after="20" w:before="20"/>
            </w:pPr>
            <w:r/>
            <w:r>
              <w:rPr>
                <w:rFonts w:ascii="Calibri" w:hAnsi="Calibri"/>
                <w:sz w:val="18"/>
              </w:rPr>
              <w:t>Renewable irrigation</w:t>
            </w:r>
          </w:p>
        </w:tc>
        <w:tc>
          <w:tcPr>
            <w:tcW w:type="dxa" w:w="2340"/>
          </w:tcPr>
          <w:p>
            <w:pPr>
              <w:spacing w:after="20" w:before="20"/>
            </w:pPr>
            <w:r/>
            <w:r>
              <w:rPr>
                <w:rFonts w:ascii="Calibri" w:hAnsi="Calibri"/>
                <w:sz w:val="18"/>
              </w:rPr>
              <w:t>$1,200M</w:t>
            </w:r>
          </w:p>
        </w:tc>
        <w:tc>
          <w:tcPr>
            <w:tcW w:type="dxa" w:w="2340"/>
          </w:tcPr>
          <w:p>
            <w:pPr>
              <w:spacing w:after="20" w:before="20"/>
            </w:pPr>
            <w:r/>
            <w:r>
              <w:rPr>
                <w:rFonts w:ascii="Calibri" w:hAnsi="Calibri"/>
                <w:sz w:val="18"/>
              </w:rPr>
              <w:t>20,237,890</w:t>
            </w:r>
          </w:p>
        </w:tc>
        <w:tc>
          <w:tcPr>
            <w:tcW w:type="dxa" w:w="2340"/>
          </w:tcPr>
          <w:p>
            <w:pPr>
              <w:spacing w:after="20" w:before="20"/>
            </w:pPr>
            <w:r/>
            <w:r>
              <w:rPr>
                <w:rFonts w:ascii="Calibri" w:hAnsi="Calibri"/>
                <w:sz w:val="18"/>
              </w:rPr>
              <w:t>16,865</w:t>
            </w:r>
          </w:p>
        </w:tc>
      </w:tr>
      <w:tr>
        <w:tc>
          <w:tcPr>
            <w:tcW w:type="dxa" w:w="2340"/>
          </w:tcPr>
          <w:p>
            <w:pPr>
              <w:spacing w:after="20" w:before="20"/>
            </w:pPr>
            <w:r/>
            <w:r>
              <w:rPr>
                <w:rFonts w:ascii="Calibri" w:hAnsi="Calibri"/>
                <w:sz w:val="18"/>
              </w:rPr>
              <w:t>Flood-tolerant rice</w:t>
            </w:r>
          </w:p>
        </w:tc>
        <w:tc>
          <w:tcPr>
            <w:tcW w:type="dxa" w:w="2340"/>
          </w:tcPr>
          <w:p>
            <w:pPr>
              <w:spacing w:after="20" w:before="20"/>
            </w:pPr>
            <w:r/>
            <w:r>
              <w:rPr>
                <w:rFonts w:ascii="Calibri" w:hAnsi="Calibri"/>
                <w:sz w:val="18"/>
              </w:rPr>
              <w:t>$1,800M</w:t>
            </w:r>
          </w:p>
        </w:tc>
        <w:tc>
          <w:tcPr>
            <w:tcW w:type="dxa" w:w="2340"/>
          </w:tcPr>
          <w:p>
            <w:pPr>
              <w:spacing w:after="20" w:before="20"/>
            </w:pPr>
            <w:r/>
            <w:r>
              <w:rPr>
                <w:rFonts w:ascii="Calibri" w:hAnsi="Calibri"/>
                <w:sz w:val="18"/>
              </w:rPr>
              <w:t>20,290,073</w:t>
            </w:r>
          </w:p>
        </w:tc>
        <w:tc>
          <w:tcPr>
            <w:tcW w:type="dxa" w:w="2340"/>
          </w:tcPr>
          <w:p>
            <w:pPr>
              <w:spacing w:after="20" w:before="20"/>
            </w:pPr>
            <w:r/>
            <w:r>
              <w:rPr>
                <w:rFonts w:ascii="Calibri" w:hAnsi="Calibri"/>
                <w:sz w:val="18"/>
              </w:rPr>
              <w:t>11,272</w:t>
            </w:r>
          </w:p>
        </w:tc>
      </w:tr>
      <w:tr>
        <w:tc>
          <w:tcPr>
            <w:tcW w:type="dxa" w:w="2340"/>
          </w:tcPr>
          <w:p>
            <w:pPr>
              <w:spacing w:after="20" w:before="20"/>
            </w:pPr>
            <w:r/>
            <w:r>
              <w:rPr>
                <w:rFonts w:ascii="Calibri" w:hAnsi="Calibri"/>
                <w:sz w:val="18"/>
              </w:rPr>
              <w:t>Fortified feeding</w:t>
            </w:r>
          </w:p>
        </w:tc>
        <w:tc>
          <w:tcPr>
            <w:tcW w:type="dxa" w:w="2340"/>
          </w:tcPr>
          <w:p>
            <w:pPr>
              <w:spacing w:after="20" w:before="20"/>
            </w:pPr>
            <w:r/>
            <w:r>
              <w:rPr>
                <w:rFonts w:ascii="Calibri" w:hAnsi="Calibri"/>
                <w:sz w:val="18"/>
              </w:rPr>
              <w:t>$9,000M</w:t>
            </w:r>
          </w:p>
        </w:tc>
        <w:tc>
          <w:tcPr>
            <w:tcW w:type="dxa" w:w="2340"/>
          </w:tcPr>
          <w:p>
            <w:pPr>
              <w:spacing w:after="20" w:before="20"/>
            </w:pPr>
            <w:r/>
            <w:r>
              <w:rPr>
                <w:rFonts w:ascii="Calibri" w:hAnsi="Calibri"/>
                <w:sz w:val="18"/>
              </w:rPr>
              <w:t>57,361,824</w:t>
            </w:r>
          </w:p>
        </w:tc>
        <w:tc>
          <w:tcPr>
            <w:tcW w:type="dxa" w:w="2340"/>
          </w:tcPr>
          <w:p>
            <w:pPr>
              <w:spacing w:after="20" w:before="20"/>
            </w:pPr>
            <w:r/>
            <w:r>
              <w:rPr>
                <w:rFonts w:ascii="Calibri" w:hAnsi="Calibri"/>
                <w:sz w:val="18"/>
              </w:rPr>
              <w:t>6,374</w:t>
            </w:r>
          </w:p>
        </w:tc>
      </w:tr>
      <w:tr>
        <w:tc>
          <w:tcPr>
            <w:tcW w:type="dxa" w:w="2340"/>
          </w:tcPr>
          <w:p>
            <w:pPr>
              <w:spacing w:after="20" w:before="20"/>
            </w:pPr>
            <w:r/>
            <w:r>
              <w:rPr>
                <w:rFonts w:ascii="Calibri" w:hAnsi="Calibri"/>
                <w:sz w:val="18"/>
              </w:rPr>
              <w:t>Crop diversification</w:t>
            </w:r>
          </w:p>
        </w:tc>
        <w:tc>
          <w:tcPr>
            <w:tcW w:type="dxa" w:w="2340"/>
          </w:tcPr>
          <w:p>
            <w:pPr>
              <w:spacing w:after="20" w:before="20"/>
            </w:pPr>
            <w:r/>
            <w:r>
              <w:rPr>
                <w:rFonts w:ascii="Calibri" w:hAnsi="Calibri"/>
                <w:sz w:val="18"/>
              </w:rPr>
              <w:t>$1,000M</w:t>
            </w:r>
          </w:p>
        </w:tc>
        <w:tc>
          <w:tcPr>
            <w:tcW w:type="dxa" w:w="2340"/>
          </w:tcPr>
          <w:p>
            <w:pPr>
              <w:spacing w:after="20" w:before="20"/>
            </w:pPr>
            <w:r/>
            <w:r>
              <w:rPr>
                <w:rFonts w:ascii="Calibri" w:hAnsi="Calibri"/>
                <w:sz w:val="18"/>
              </w:rPr>
              <w:t>5,441,917</w:t>
            </w:r>
          </w:p>
        </w:tc>
        <w:tc>
          <w:tcPr>
            <w:tcW w:type="dxa" w:w="2340"/>
          </w:tcPr>
          <w:p>
            <w:pPr>
              <w:spacing w:after="20" w:before="20"/>
            </w:pPr>
            <w:r/>
            <w:r>
              <w:rPr>
                <w:rFonts w:ascii="Calibri" w:hAnsi="Calibri"/>
                <w:sz w:val="18"/>
              </w:rPr>
              <w:t>5,442</w:t>
            </w:r>
          </w:p>
        </w:tc>
      </w:tr>
    </w:tbl>
    <w:p>
      <w:pPr>
        <w:spacing w:after="120"/>
      </w:pPr>
    </w:p>
    <w:p>
      <w:pPr>
        <w:spacing w:before="320" w:after="160" w:line="240" w:lineRule="auto"/>
        <w:jc w:val="left"/>
      </w:pPr>
      <w:r>
        <w:rPr>
          <w:rFonts w:ascii="Calibri" w:hAnsi="Calibri"/>
          <w:b/>
          <w:sz w:val="22"/>
        </w:rPr>
        <w:t>D.5 Capital vs Operational — 20-Year Comparison</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pPr>
              <w:spacing w:after="40" w:before="40"/>
            </w:pPr>
            <w:r/>
            <w:r>
              <w:rPr>
                <w:rFonts w:ascii="Calibri" w:hAnsi="Calibri"/>
                <w:b/>
                <w:sz w:val="18"/>
              </w:rPr>
            </w:r>
          </w:p>
        </w:tc>
        <w:tc>
          <w:tcPr>
            <w:tcW w:type="dxa" w:w="3120"/>
            <w:shd w:fill="D9E2F3" w:val="clear"/>
          </w:tcPr>
          <w:p>
            <w:pPr>
              <w:spacing w:after="40" w:before="40"/>
            </w:pPr>
            <w:r/>
            <w:r>
              <w:rPr>
                <w:rFonts w:ascii="Calibri" w:hAnsi="Calibri"/>
                <w:b/>
                <w:sz w:val="18"/>
              </w:rPr>
              <w:t>Capital</w:t>
            </w:r>
          </w:p>
        </w:tc>
        <w:tc>
          <w:tcPr>
            <w:tcW w:type="dxa" w:w="3120"/>
            <w:shd w:fill="D9E2F3" w:val="clear"/>
          </w:tcPr>
          <w:p>
            <w:pPr>
              <w:spacing w:after="40" w:before="40"/>
            </w:pPr>
            <w:r/>
            <w:r>
              <w:rPr>
                <w:rFonts w:ascii="Calibri" w:hAnsi="Calibri"/>
                <w:b/>
                <w:sz w:val="18"/>
              </w:rPr>
              <w:t>Operational</w:t>
            </w:r>
          </w:p>
        </w:tc>
      </w:tr>
      <w:tr>
        <w:tc>
          <w:tcPr>
            <w:tcW w:type="dxa" w:w="3120"/>
          </w:tcPr>
          <w:p>
            <w:pPr>
              <w:spacing w:after="20" w:before="20"/>
            </w:pPr>
            <w:r/>
            <w:r>
              <w:rPr>
                <w:rFonts w:ascii="Calibri" w:hAnsi="Calibri"/>
                <w:sz w:val="18"/>
              </w:rPr>
              <w:t>Total invested</w:t>
            </w:r>
          </w:p>
        </w:tc>
        <w:tc>
          <w:tcPr>
            <w:tcW w:type="dxa" w:w="3120"/>
          </w:tcPr>
          <w:p>
            <w:pPr>
              <w:spacing w:after="20" w:before="20"/>
            </w:pPr>
            <w:r/>
            <w:r>
              <w:rPr>
                <w:rFonts w:ascii="Calibri" w:hAnsi="Calibri"/>
                <w:sz w:val="18"/>
              </w:rPr>
              <w:t>$11,200M (45.9%)</w:t>
            </w:r>
          </w:p>
        </w:tc>
        <w:tc>
          <w:tcPr>
            <w:tcW w:type="dxa" w:w="3120"/>
          </w:tcPr>
          <w:p>
            <w:pPr>
              <w:spacing w:after="20" w:before="20"/>
            </w:pPr>
            <w:r/>
            <w:r>
              <w:rPr>
                <w:rFonts w:ascii="Calibri" w:hAnsi="Calibri"/>
                <w:sz w:val="18"/>
              </w:rPr>
              <w:t>$13,200M (54.1%)</w:t>
            </w:r>
          </w:p>
        </w:tc>
      </w:tr>
      <w:tr>
        <w:tc>
          <w:tcPr>
            <w:tcW w:type="dxa" w:w="3120"/>
          </w:tcPr>
          <w:p>
            <w:pPr>
              <w:spacing w:after="20" w:before="20"/>
            </w:pPr>
            <w:r/>
            <w:r>
              <w:rPr>
                <w:rFonts w:ascii="Calibri" w:hAnsi="Calibri"/>
                <w:sz w:val="18"/>
              </w:rPr>
              <w:t>Total person-years</w:t>
            </w:r>
          </w:p>
        </w:tc>
        <w:tc>
          <w:tcPr>
            <w:tcW w:type="dxa" w:w="3120"/>
          </w:tcPr>
          <w:p>
            <w:pPr>
              <w:spacing w:after="20" w:before="20"/>
            </w:pPr>
            <w:r/>
            <w:r>
              <w:rPr>
                <w:rFonts w:ascii="Calibri" w:hAnsi="Calibri"/>
                <w:sz w:val="18"/>
              </w:rPr>
              <w:t>160,212,798 (64.5%)</w:t>
            </w:r>
          </w:p>
        </w:tc>
        <w:tc>
          <w:tcPr>
            <w:tcW w:type="dxa" w:w="3120"/>
          </w:tcPr>
          <w:p>
            <w:pPr>
              <w:spacing w:after="20" w:before="20"/>
            </w:pPr>
            <w:r/>
            <w:r>
              <w:rPr>
                <w:rFonts w:ascii="Calibri" w:hAnsi="Calibri"/>
                <w:sz w:val="18"/>
              </w:rPr>
              <w:t>58,346,257 (23.5%)</w:t>
            </w:r>
          </w:p>
        </w:tc>
      </w:tr>
      <w:tr>
        <w:tc>
          <w:tcPr>
            <w:tcW w:type="dxa" w:w="3120"/>
          </w:tcPr>
          <w:p>
            <w:pPr>
              <w:spacing w:after="20" w:before="20"/>
            </w:pPr>
            <w:r/>
            <w:r>
              <w:rPr>
                <w:rFonts w:ascii="Calibri" w:hAnsi="Calibri"/>
                <w:sz w:val="18"/>
              </w:rPr>
              <w:t>Person-years per $M</w:t>
            </w:r>
          </w:p>
        </w:tc>
        <w:tc>
          <w:tcPr>
            <w:tcW w:type="dxa" w:w="3120"/>
          </w:tcPr>
          <w:p>
            <w:pPr>
              <w:spacing w:after="20" w:before="20"/>
            </w:pPr>
            <w:r/>
            <w:r>
              <w:rPr>
                <w:rFonts w:ascii="Calibri" w:hAnsi="Calibri"/>
                <w:sz w:val="18"/>
              </w:rPr>
              <w:t>14,305</w:t>
            </w:r>
          </w:p>
        </w:tc>
        <w:tc>
          <w:tcPr>
            <w:tcW w:type="dxa" w:w="3120"/>
          </w:tcPr>
          <w:p>
            <w:pPr>
              <w:spacing w:after="20" w:before="20"/>
            </w:pPr>
            <w:r/>
            <w:r>
              <w:rPr>
                <w:rFonts w:ascii="Calibri" w:hAnsi="Calibri"/>
                <w:sz w:val="18"/>
              </w:rPr>
              <w:t>4,420</w:t>
            </w:r>
          </w:p>
        </w:tc>
      </w:tr>
      <w:tr>
        <w:tc>
          <w:tcPr>
            <w:tcW w:type="dxa" w:w="3120"/>
          </w:tcPr>
          <w:p>
            <w:pPr>
              <w:spacing w:after="20" w:before="20"/>
            </w:pPr>
            <w:r/>
            <w:r>
              <w:rPr>
                <w:rFonts w:ascii="Calibri" w:hAnsi="Calibri"/>
                <w:sz w:val="18"/>
              </w:rPr>
              <w:t>Synergy person-years</w:t>
            </w:r>
          </w:p>
        </w:tc>
        <w:tc>
          <w:tcPr>
            <w:tcW w:type="dxa" w:w="3120"/>
          </w:tcPr>
          <w:p>
            <w:pPr>
              <w:spacing w:after="20" w:before="20"/>
            </w:pPr>
            <w:r/>
            <w:r>
              <w:rPr>
                <w:rFonts w:ascii="Calibri" w:hAnsi="Calibri"/>
                <w:sz w:val="18"/>
              </w:rPr>
              <w:t>29,719,576 (12.0%)</w:t>
            </w:r>
          </w:p>
        </w:tc>
        <w:tc>
          <w:tcPr>
            <w:tcW w:type="dxa" w:w="3120"/>
          </w:tcPr>
          <w:p>
            <w:pPr>
              <w:spacing w:after="20" w:before="20"/>
            </w:pPr>
            <w:r/>
            <w:r>
              <w:rPr>
                <w:rFonts w:ascii="Calibri" w:hAnsi="Calibri"/>
                <w:sz w:val="18"/>
              </w:rPr>
              <w:t>—</w:t>
            </w:r>
          </w:p>
        </w:tc>
      </w:tr>
    </w:tbl>
    <w:p>
      <w:pPr>
        <w:spacing w:after="120"/>
      </w:pPr>
    </w:p>
    <w:p>
      <w:pPr>
        <w:spacing w:after="220" w:before="0" w:line="240" w:lineRule="auto"/>
        <w:jc w:val="left"/>
      </w:pPr>
      <w:r>
        <w:rPr>
          <w:rFonts w:ascii="Calibri" w:hAnsi="Calibri"/>
          <w:sz w:val="22"/>
        </w:rPr>
        <w:t>Capital investments produce 3.2x more person-years per dollar than operational programs over 20 years.</w:t>
      </w:r>
    </w:p>
    <w:p>
      <w:pPr>
        <w:spacing w:before="320" w:after="160" w:line="240" w:lineRule="auto"/>
        <w:jc w:val="left"/>
      </w:pPr>
      <w:r>
        <w:rPr>
          <w:rFonts w:ascii="Calibri" w:hAnsi="Calibri"/>
          <w:b/>
          <w:sz w:val="22"/>
        </w:rPr>
        <w:t>D.6 Key Findings</w:t>
      </w:r>
    </w:p>
    <w:p>
      <w:pPr>
        <w:spacing w:after="220" w:before="0" w:line="240" w:lineRule="auto"/>
        <w:jc w:val="left"/>
      </w:pPr>
      <w:r>
        <w:rPr>
          <w:rFonts w:ascii="Calibri" w:hAnsi="Calibri"/>
          <w:sz w:val="22"/>
        </w:rPr>
        <w:t>All 11 capital policies reach full deployment by year 2. Only $24.4B of $40B is productively deployable — surplus should fund education, healthcare, or climate resilience reserves. Capital investments deliver 127.5M person-years AFTER funding stops vs 90.3M DURING the 5-year period. When operational funding stops in year 6, impact drops 51% overnight (the “vulnerability cliff”). Cost per person-year across 20 years: $112, well below the $285 food cost benchmark. At year 20, capital alone still covers 32.3% of the deficit — 5.8 million people remain food-secure from investments made 15+ years earlier.</w:t>
      </w:r>
    </w:p>
    <w:p>
      <w:pPr>
        <w:spacing w:before="320" w:after="160" w:line="240" w:lineRule="auto"/>
        <w:jc w:val="left"/>
      </w:pPr>
      <w:r>
        <w:rPr>
          <w:rFonts w:ascii="Calibri" w:hAnsi="Calibri"/>
          <w:b/>
          <w:sz w:val="22"/>
        </w:rPr>
        <w:t>E. Structural Climate Vulnerability Effects</w:t>
      </w:r>
    </w:p>
    <w:p>
      <w:pPr>
        <w:spacing w:after="220" w:before="0" w:line="240" w:lineRule="auto"/>
        <w:jc w:val="left"/>
      </w:pPr>
      <w:r>
        <w:rPr>
          <w:rFonts w:ascii="Calibri" w:hAnsi="Calibri"/>
          <w:sz w:val="22"/>
        </w:rPr>
        <w:t>The model measures impact in the number of people fed, but several policies also reduce Bangladesh’s structural climate vulnerability — effects that compound over time but do not appear as “people fed” in the model’s output.</w:t>
      </w:r>
    </w:p>
    <w:p>
      <w:pPr>
        <w:spacing w:after="220" w:before="0" w:line="240" w:lineRule="auto"/>
        <w:jc w:val="left"/>
      </w:pPr>
      <w:r>
        <w:rPr>
          <w:rFonts w:ascii="Calibri" w:hAnsi="Calibri"/>
          <w:sz w:val="22"/>
        </w:rPr>
        <w:t>Saline-tolerant rice directly counteracts saltwater intrusion — one of the primary mechanisms through which climate change destroys food production. AWD irrigation ($1.0 billion) reduces water dependence during increasingly erratic monsoons, meaning that when rainfall patterns shift, farmers are not helpless — a critical advantage given that 65% of the Brahmaputra’s dry-season flow originates from Himalayan glaciers that have lost 21% of their area in three decades and are melting at double the rate they were in 2000 (ICIMOD, “HKH Glacier Outlook”; “Rapid Himalayan Ice Melt”). Flood-tolerant rice protects harvests during the monsoon floods that climate models project will intensify by 30% over the coming decades (Jihan et al.). River and canal excavation ($200 million) reduces flood duration by 20%, lowering the physical damage that each climate shock inflicts. Tree planting ($200 million) stabilizes riverbanks, prevents erosion, and creates a biological buffer against storm surges. Each of these effects reduces the probability and severity of the next climate shock, strengthening the case for capital over operational investments.</w:t>
      </w:r>
    </w:p>
    <w:p>
      <w:pPr>
        <w:spacing w:after="220" w:before="0" w:line="240" w:lineRule="auto"/>
        <w:jc w:val="left"/>
      </w:pPr>
      <w:r>
        <w:rPr>
          <w:rFonts w:ascii="Calibri" w:hAnsi="Calibri"/>
          <w:sz w:val="22"/>
        </w:rPr>
        <w:t>The Farmers Card proposed by the BNP — bundling insurance, subsidies, loans, and fair market prices — addresses the behavioral side of climate vulnerability. When farmers know they will be compensated for flood losses, they are more likely to invest in improved seeds, better storage, and new techniques. Without insurance, a rational farmer avoids risk, sticks with traditional varieties, and farms conservatively. Insurance unlocks the adoption of every other policy in the model. This is why the synergy term between farmer insurance and flood-tolerant rice (α = 0.15) is significant: insurance removes the financial barrier that prevents farmers from planting improved varieties they know perform better.</w:t>
      </w:r>
    </w:p>
    <w:p>
      <w:pPr>
        <w:spacing w:before="320" w:after="160" w:line="240" w:lineRule="auto"/>
        <w:jc w:val="left"/>
      </w:pPr>
      <w:r>
        <w:rPr>
          <w:rFonts w:ascii="Calibri" w:hAnsi="Calibri"/>
          <w:b/>
          <w:sz w:val="22"/>
        </w:rPr>
        <w:t>F. Cross-Country Comparisons and Additional Climate Data</w:t>
      </w:r>
    </w:p>
    <w:p>
      <w:pPr>
        <w:spacing w:after="220" w:before="0" w:line="240" w:lineRule="auto"/>
        <w:jc w:val="left"/>
      </w:pPr>
      <w:r>
        <w:rPr>
          <w:rFonts w:ascii="Calibri" w:hAnsi="Calibri"/>
          <w:sz w:val="22"/>
        </w:rPr>
        <w:t>School Feeding — India Comparison: India runs a similar midday meal scheme reaching over 100 million children, making it the largest school feeding program in the world. Bangladesh’s version is effective but far smaller in scale — and it has a critical weakness: the meals stop the moment the funding does. India’s program is government-funded as a permanent entitlement, demonstrating that sustained political commitment is required for operational programs to deliver long-term impact.</w:t>
      </w:r>
    </w:p>
    <w:p>
      <w:pPr>
        <w:spacing w:after="220" w:before="0" w:line="240" w:lineRule="auto"/>
        <w:jc w:val="left"/>
      </w:pPr>
      <w:r>
        <w:rPr>
          <w:rFonts w:ascii="Calibri" w:hAnsi="Calibri"/>
          <w:sz w:val="22"/>
        </w:rPr>
        <w:t>AWD Irrigation — Vietnam Comparison: Vietnam adopted AWD irrigation nationally and saw dramatic reductions in both water use and methane emissions, proving that this approach works at scale. AWD irrigation takes on additional urgency in Bangladesh given the Himalayan glacial melt. A technique that saves 27% of irrigation water is not merely efficient — it is insurance against a future where the water supply itself is shrinking.</w:t>
      </w:r>
    </w:p>
    <w:p>
      <w:pPr>
        <w:spacing w:after="220" w:before="0" w:line="240" w:lineRule="auto"/>
        <w:jc w:val="left"/>
      </w:pPr>
      <w:r>
        <w:rPr>
          <w:rFonts w:ascii="Calibri" w:hAnsi="Calibri"/>
          <w:sz w:val="22"/>
        </w:rPr>
        <w:t>Additional Climate Statistics (cut from body for word count):</w:t>
      </w:r>
    </w:p>
    <w:p>
      <w:pPr>
        <w:spacing w:after="220" w:before="0" w:line="240" w:lineRule="auto"/>
        <w:jc w:val="left"/>
      </w:pPr>
      <w:r>
        <w:rPr>
          <w:rFonts w:ascii="Calibri" w:hAnsi="Calibri"/>
          <w:sz w:val="22"/>
        </w:rPr>
        <w:t>• Bangladesh’s climate follows a traditional monsoon structure with four seasons: winter, pre-monsoon, monsoon (June to October), and post-monsoon. Temperatures typically range from 27–31 °C but can rise to 40 °C in the West (Jihan et al.).</w:t>
      </w:r>
    </w:p>
    <w:p>
      <w:pPr>
        <w:spacing w:after="220" w:before="0" w:line="240" w:lineRule="auto"/>
        <w:jc w:val="left"/>
      </w:pPr>
      <w:r>
        <w:rPr>
          <w:rFonts w:ascii="Calibri" w:hAnsi="Calibri"/>
          <w:sz w:val="22"/>
        </w:rPr>
        <w:t>• Average annual rainfall: approximately 2,000 mm, but 70–80% falls during the four-month monsoon season. In the northeast, rainfall can exceed 5,000 mm; in the western interior, as little as 1,200 mm (Bangladesh Meteorological Department).</w:t>
      </w:r>
    </w:p>
    <w:p>
      <w:pPr>
        <w:spacing w:after="220" w:before="0" w:line="240" w:lineRule="auto"/>
        <w:jc w:val="left"/>
      </w:pPr>
      <w:r>
        <w:rPr>
          <w:rFonts w:ascii="Calibri" w:hAnsi="Calibri"/>
          <w:sz w:val="22"/>
        </w:rPr>
        <w:t>• During the last half century, at least eight extreme flood events have affected 50% or more of the country’s land area (World Bank, “Flood Management”).</w:t>
      </w:r>
    </w:p>
    <w:p>
      <w:pPr>
        <w:spacing w:after="220" w:before="0" w:line="240" w:lineRule="auto"/>
        <w:jc w:val="left"/>
      </w:pPr>
      <w:r>
        <w:rPr>
          <w:rFonts w:ascii="Calibri" w:hAnsi="Calibri"/>
          <w:sz w:val="22"/>
        </w:rPr>
        <w:t>• Peak river flow is expected to rise 16–36% by 2070–2099, and annual precipitation is projected to increase by almost 30% (Jihan et al.).</w:t>
      </w:r>
    </w:p>
    <w:p>
      <w:pPr>
        <w:spacing w:after="220" w:before="0" w:line="240" w:lineRule="auto"/>
        <w:jc w:val="left"/>
      </w:pPr>
      <w:r>
        <w:rPr>
          <w:rFonts w:ascii="Calibri" w:hAnsi="Calibri"/>
          <w:sz w:val="22"/>
        </w:rPr>
        <w:t>• According to the World Bank, Bangladesh’s GDP from agriculture is projected to be 3.1% lower each year due to climate change — an annual loss of $570 million (Mahmud).</w:t>
      </w:r>
    </w:p>
    <w:p>
      <w:pPr>
        <w:spacing w:after="220" w:before="0" w:line="240" w:lineRule="auto"/>
        <w:jc w:val="left"/>
      </w:pPr>
      <w:r>
        <w:rPr>
          <w:rFonts w:ascii="Calibri" w:hAnsi="Calibri"/>
          <w:sz w:val="22"/>
        </w:rPr>
        <w:t>• For a country where two-thirds of the population already lives less than 15 feet above sea level, even modest sea level increases can be catastrophic.</w:t>
      </w:r>
    </w:p>
    <w:p>
      <w:pPr>
        <w:spacing w:after="220" w:before="0" w:line="240" w:lineRule="auto"/>
        <w:jc w:val="left"/>
      </w:pPr>
      <w:r>
        <w:rPr>
          <w:rFonts w:ascii="Calibri" w:hAnsi="Calibri"/>
          <w:sz w:val="22"/>
        </w:rPr>
        <w:t>BNP Manifesto Alignment Detail (cut from body): The Awami League, which held power for 15 years before being ousted in 2024, accelerated environmental degradation. The BNP won the 2026 election and outlined several environmental goals in their manifesto: planting 250 million trees, ensuring 20% of electricity nationwide comes from renewable sources, and creating a modern waste system. They pledged to support farmers with a Farmers Card that ensures fair prices, subsidies, loans, insurance, and state-managed markets. The BNP promised a $1 trillion economy by 2034, doubling the current market (Hossain and Abbas). Whether these promises translate to action will determine whether Bangladesh’s adaptation buffer holds — or collapses again. The model’s alignment with BNP priorities — tree planting, river excavation, renewable energy, and farmer insurance all appear in the optimal allocation — means that implementing these policies is not only technically optimal but politically feasible within the current government’s stated agenda.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