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</w:t>
      </w:r>
      <w:r w:rsidR="00C032DC" w:rsidRPr="00C032DC">
        <w:rPr>
          <w:rFonts w:ascii="Times New Roman" w:hAnsi="Times New Roman" w:cs="Times New Roman"/>
          <w:sz w:val="24"/>
          <w:szCs w:val="24"/>
        </w:rPr>
        <w:lastRenderedPageBreak/>
        <w:t>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 xml:space="preserve"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</w:t>
      </w:r>
      <w:r w:rsidR="002A339B">
        <w:rPr>
          <w:rFonts w:ascii="Times New Roman" w:hAnsi="Times New Roman" w:cs="Times New Roman"/>
          <w:sz w:val="24"/>
          <w:szCs w:val="24"/>
        </w:rPr>
        <w:lastRenderedPageBreak/>
        <w:t>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алья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наши территории!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пойдём на уступки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1B5C39B6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+0,5% военнообязанного населения (модификатор будет расти на 0,5%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счётчик под названием «Единство Исламского Мира» от 1(1 страна это вы) до 10.</w:t>
      </w:r>
    </w:p>
    <w:p w14:paraId="5644B0E7" w14:textId="287B4E4D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16001740" w:rsidR="008C1D66" w:rsidRP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3D988573" w14:textId="0EB42E11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A3910"/>
    <w:rsid w:val="000E1B27"/>
    <w:rsid w:val="000F3A24"/>
    <w:rsid w:val="00145018"/>
    <w:rsid w:val="00192A06"/>
    <w:rsid w:val="001A1A10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A5177"/>
    <w:rsid w:val="005B44A6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A6975"/>
    <w:rsid w:val="007B43CD"/>
    <w:rsid w:val="007D56F0"/>
    <w:rsid w:val="00812C6F"/>
    <w:rsid w:val="00862710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CD3CDB"/>
    <w:rsid w:val="00CD6CBB"/>
    <w:rsid w:val="00D737CB"/>
    <w:rsid w:val="00DA6662"/>
    <w:rsid w:val="00DB7430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17</Pages>
  <Words>4866</Words>
  <Characters>27739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35</cp:revision>
  <dcterms:created xsi:type="dcterms:W3CDTF">2022-03-07T17:01:00Z</dcterms:created>
  <dcterms:modified xsi:type="dcterms:W3CDTF">2022-04-27T10:29:00Z</dcterms:modified>
</cp:coreProperties>
</file>