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автор(или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к повышением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proofErr w:type="spellStart"/>
      <w:r w:rsidRPr="005C5392">
        <w:rPr>
          <w:rFonts w:ascii="Times New Roman" w:hAnsi="Times New Roman" w:cs="Times New Roman"/>
          <w:sz w:val="24"/>
          <w:szCs w:val="24"/>
        </w:rPr>
        <w:t>Нац</w:t>
      </w:r>
      <w:proofErr w:type="spellEnd"/>
      <w:r w:rsidRPr="005C5392">
        <w:rPr>
          <w:rFonts w:ascii="Times New Roman" w:hAnsi="Times New Roman" w:cs="Times New Roman"/>
          <w:sz w:val="24"/>
          <w:szCs w:val="24"/>
        </w:rPr>
        <w:t xml:space="preserve">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C279E7" w:rsidP="007A572C">
      <w:pPr>
        <w:rPr>
          <w:rFonts w:ascii="Times New Roman" w:hAnsi="Times New Roman" w:cs="Times New Roman"/>
          <w:b/>
          <w:sz w:val="24"/>
          <w:szCs w:val="24"/>
        </w:rPr>
      </w:pPr>
      <w:r>
        <w:rPr>
          <w:rFonts w:ascii="Times New Roman" w:hAnsi="Times New Roman" w:cs="Times New Roman"/>
          <w:b/>
          <w:sz w:val="24"/>
          <w:szCs w:val="24"/>
        </w:rPr>
        <w:br/>
      </w:r>
      <w:bookmarkStart w:id="0" w:name="_GoBack"/>
      <w:bookmarkEnd w:id="0"/>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3C6C"/>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279E7"/>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E05C"/>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A2FE-4967-4927-8AC0-01A614B9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26524</TotalTime>
  <Pages>1</Pages>
  <Words>28225</Words>
  <Characters>160885</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226</cp:revision>
  <cp:lastPrinted>2023-05-03T08:03:00Z</cp:lastPrinted>
  <dcterms:created xsi:type="dcterms:W3CDTF">2018-10-30T12:45:00Z</dcterms:created>
  <dcterms:modified xsi:type="dcterms:W3CDTF">2023-06-23T05:59:00Z</dcterms:modified>
</cp:coreProperties>
</file>