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«Противостояние полиции и армии - равновесие» который не будет давать отрицательных или положительных эффектов.</w:t>
      </w: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41218C">
        <w:rPr>
          <w:rFonts w:ascii="Times New Roman" w:hAnsi="Times New Roman" w:cs="Times New Roman"/>
          <w:sz w:val="24"/>
          <w:szCs w:val="24"/>
        </w:rPr>
        <w:t>.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 xml:space="preserve"> не является министром.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Возвращение </w:t>
      </w:r>
      <w:proofErr w:type="spellStart"/>
      <w:r w:rsidR="009B11C8"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 может привести к его становлению премьер министром.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Прайя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9B11C8" w:rsidRPr="008C364D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-100 полит власти, +1 военный </w:t>
      </w:r>
      <w:r>
        <w:rPr>
          <w:rFonts w:ascii="Times New Roman" w:hAnsi="Times New Roman" w:cs="Times New Roman"/>
          <w:sz w:val="24"/>
          <w:szCs w:val="24"/>
        </w:rPr>
        <w:t xml:space="preserve">завод вне карты, будут доступна британская бронетехника (не танки, авто) </w:t>
      </w:r>
      <w:r>
        <w:rPr>
          <w:rFonts w:ascii="Times New Roman" w:hAnsi="Times New Roman" w:cs="Times New Roman"/>
          <w:sz w:val="24"/>
          <w:szCs w:val="24"/>
        </w:rPr>
        <w:t>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 произойдёт событие «</w:t>
      </w:r>
      <w:r>
        <w:rPr>
          <w:rFonts w:ascii="Times New Roman" w:hAnsi="Times New Roman" w:cs="Times New Roman"/>
          <w:sz w:val="24"/>
          <w:szCs w:val="24"/>
        </w:rPr>
        <w:t>Британская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техника выиграла</w:t>
      </w:r>
      <w:r>
        <w:rPr>
          <w:rFonts w:ascii="Times New Roman" w:hAnsi="Times New Roman" w:cs="Times New Roman"/>
          <w:sz w:val="24"/>
          <w:szCs w:val="24"/>
        </w:rPr>
        <w:t xml:space="preserve">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</w:t>
      </w:r>
      <w:r>
        <w:rPr>
          <w:rFonts w:ascii="Times New Roman" w:hAnsi="Times New Roman" w:cs="Times New Roman"/>
          <w:sz w:val="24"/>
          <w:szCs w:val="24"/>
        </w:rPr>
        <w:t xml:space="preserve">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i/>
          <w:sz w:val="24"/>
          <w:szCs w:val="24"/>
        </w:rPr>
        <w:t>германской</w:t>
      </w:r>
      <w:r>
        <w:rPr>
          <w:rFonts w:ascii="Times New Roman" w:hAnsi="Times New Roman" w:cs="Times New Roman"/>
          <w:i/>
          <w:sz w:val="24"/>
          <w:szCs w:val="24"/>
        </w:rPr>
        <w:t xml:space="preserve">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>
        <w:rPr>
          <w:rFonts w:ascii="Times New Roman" w:hAnsi="Times New Roman" w:cs="Times New Roman"/>
          <w:sz w:val="24"/>
          <w:szCs w:val="24"/>
        </w:rPr>
        <w:t>Германией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>
        <w:rPr>
          <w:rFonts w:ascii="Times New Roman" w:hAnsi="Times New Roman" w:cs="Times New Roman"/>
          <w:sz w:val="24"/>
          <w:szCs w:val="24"/>
        </w:rPr>
        <w:t>Германией</w:t>
      </w:r>
      <w:r>
        <w:rPr>
          <w:rFonts w:ascii="Times New Roman" w:hAnsi="Times New Roman" w:cs="Times New Roman"/>
          <w:sz w:val="24"/>
          <w:szCs w:val="24"/>
        </w:rPr>
        <w:t xml:space="preserve">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>
        <w:rPr>
          <w:rFonts w:ascii="Times New Roman" w:hAnsi="Times New Roman" w:cs="Times New Roman"/>
          <w:sz w:val="24"/>
          <w:szCs w:val="24"/>
        </w:rPr>
        <w:t>Германская</w:t>
      </w:r>
      <w:r>
        <w:rPr>
          <w:rFonts w:ascii="Times New Roman" w:hAnsi="Times New Roman" w:cs="Times New Roman"/>
          <w:sz w:val="24"/>
          <w:szCs w:val="24"/>
        </w:rPr>
        <w:t xml:space="preserve">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 UI">
    <w:altName w:val="Arial Unicode MS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264C"/>
    <w:rsid w:val="006833EF"/>
    <w:rsid w:val="0068418D"/>
    <w:rsid w:val="00685AC8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92D"/>
    <w:rsid w:val="00AD4DB2"/>
    <w:rsid w:val="00AD539C"/>
    <w:rsid w:val="00AD5E19"/>
    <w:rsid w:val="00AD7941"/>
    <w:rsid w:val="00AE1AC2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049F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271F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AF188-4679-42D8-B133-062AF357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14658</TotalTime>
  <Pages>28</Pages>
  <Words>7400</Words>
  <Characters>42185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Mihail</cp:lastModifiedBy>
  <cp:revision>83</cp:revision>
  <dcterms:created xsi:type="dcterms:W3CDTF">2018-10-30T12:45:00Z</dcterms:created>
  <dcterms:modified xsi:type="dcterms:W3CDTF">2021-07-31T10:09:00Z</dcterms:modified>
</cp:coreProperties>
</file>