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по 16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="00F34AF6">
        <w:rPr>
          <w:rFonts w:ascii="Times New Roman" w:hAnsi="Times New Roman" w:cs="Times New Roman"/>
          <w:sz w:val="24"/>
          <w:szCs w:val="24"/>
        </w:rPr>
        <w:t>там</w:t>
      </w:r>
      <w:proofErr w:type="gramEnd"/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 w:rsidRPr="005B4F7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</w:t>
      </w:r>
      <w:r>
        <w:rPr>
          <w:rFonts w:ascii="Times New Roman" w:hAnsi="Times New Roman" w:cs="Times New Roman"/>
          <w:sz w:val="24"/>
          <w:szCs w:val="24"/>
        </w:rPr>
        <w:t>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 xml:space="preserve">+1х 100% к темпам изучения </w:t>
      </w:r>
      <w:r w:rsidR="00B10F27">
        <w:rPr>
          <w:rFonts w:ascii="Times New Roman" w:hAnsi="Times New Roman" w:cs="Times New Roman"/>
          <w:sz w:val="24"/>
          <w:szCs w:val="24"/>
        </w:rPr>
        <w:t>ремонтной бригады</w:t>
      </w:r>
      <w:r w:rsidR="00B10F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lastRenderedPageBreak/>
        <w:t>+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фабрика</w:t>
      </w:r>
      <w:r>
        <w:rPr>
          <w:rFonts w:ascii="Times New Roman" w:hAnsi="Times New Roman" w:cs="Times New Roman"/>
          <w:sz w:val="24"/>
          <w:szCs w:val="24"/>
        </w:rPr>
        <w:t>. +</w:t>
      </w:r>
      <w:r>
        <w:rPr>
          <w:rFonts w:ascii="Times New Roman" w:hAnsi="Times New Roman" w:cs="Times New Roman"/>
          <w:sz w:val="24"/>
          <w:szCs w:val="24"/>
        </w:rPr>
        <w:t>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НД «Экспорт риса»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нефти</w:t>
      </w:r>
      <w:r>
        <w:rPr>
          <w:rFonts w:ascii="Times New Roman" w:hAnsi="Times New Roman" w:cs="Times New Roman"/>
          <w:sz w:val="24"/>
          <w:szCs w:val="24"/>
        </w:rPr>
        <w:t xml:space="preserve">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«Экспорт </w:t>
      </w:r>
      <w:r>
        <w:rPr>
          <w:rFonts w:ascii="Times New Roman" w:hAnsi="Times New Roman" w:cs="Times New Roman"/>
          <w:sz w:val="24"/>
          <w:szCs w:val="24"/>
        </w:rPr>
        <w:t>табака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/>
          <w:sz w:val="24"/>
          <w:szCs w:val="24"/>
        </w:rPr>
        <w:t>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542F85" w:rsidRPr="00542F85" w:rsidRDefault="00542F85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42F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фабрик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  <w:bookmarkStart w:id="0" w:name="_GoBack"/>
      <w:bookmarkEnd w:id="0"/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81EFF"/>
    <w:rsid w:val="00191D79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689D"/>
    <w:rsid w:val="002C0E33"/>
    <w:rsid w:val="002C58FD"/>
    <w:rsid w:val="002C745B"/>
    <w:rsid w:val="002D0A60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6341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86A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5F65"/>
    <w:rsid w:val="005F6A4B"/>
    <w:rsid w:val="006057B3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0B7C"/>
    <w:rsid w:val="008C10FD"/>
    <w:rsid w:val="008C13D2"/>
    <w:rsid w:val="008C18F4"/>
    <w:rsid w:val="008C2AC5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C04"/>
    <w:rsid w:val="00B04964"/>
    <w:rsid w:val="00B060B7"/>
    <w:rsid w:val="00B0629C"/>
    <w:rsid w:val="00B1079A"/>
    <w:rsid w:val="00B10F27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486"/>
    <w:rsid w:val="00B5283C"/>
    <w:rsid w:val="00B531E7"/>
    <w:rsid w:val="00B55B95"/>
    <w:rsid w:val="00B56387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58B"/>
    <w:rsid w:val="00E1385D"/>
    <w:rsid w:val="00E1389D"/>
    <w:rsid w:val="00E234F5"/>
    <w:rsid w:val="00E3340A"/>
    <w:rsid w:val="00E34AFF"/>
    <w:rsid w:val="00E40252"/>
    <w:rsid w:val="00E40EA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257E"/>
    <w:rsid w:val="00F34AF6"/>
    <w:rsid w:val="00F367E2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2C49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4A5D8-DB7F-4B63-8EFE-E4744319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13616</TotalTime>
  <Pages>13</Pages>
  <Words>3437</Words>
  <Characters>19592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50</cp:revision>
  <dcterms:created xsi:type="dcterms:W3CDTF">2018-10-30T12:45:00Z</dcterms:created>
  <dcterms:modified xsi:type="dcterms:W3CDTF">2021-06-24T18:51:00Z</dcterms:modified>
</cp:coreProperties>
</file>