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xml:space="preserve">, +100 дней к миссии «Приближение нового </w:t>
      </w:r>
      <w:proofErr w:type="gramStart"/>
      <w:r w:rsidR="00265400" w:rsidRPr="00BC26BD">
        <w:rPr>
          <w:rFonts w:ascii="Times New Roman" w:hAnsi="Times New Roman" w:cs="Times New Roman"/>
          <w:sz w:val="24"/>
          <w:szCs w:val="24"/>
          <w:highlight w:val="yellow"/>
        </w:rPr>
        <w:t>кризиса»(</w:t>
      </w:r>
      <w:proofErr w:type="gramEnd"/>
      <w:r w:rsidR="00265400" w:rsidRPr="00BC26BD">
        <w:rPr>
          <w:rFonts w:ascii="Times New Roman" w:hAnsi="Times New Roman" w:cs="Times New Roman"/>
          <w:sz w:val="24"/>
          <w:szCs w:val="24"/>
          <w:highlight w:val="yellow"/>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lastRenderedPageBreak/>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lastRenderedPageBreak/>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lastRenderedPageBreak/>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sidRPr="001D52D6">
        <w:rPr>
          <w:rFonts w:ascii="Times New Roman" w:hAnsi="Times New Roman" w:cs="Times New Roman"/>
          <w:sz w:val="24"/>
          <w:szCs w:val="24"/>
          <w:highlight w:val="yellow"/>
        </w:rPr>
        <w:lastRenderedPageBreak/>
        <w:t xml:space="preserve">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w:t>
      </w:r>
      <w:proofErr w:type="gramEnd"/>
      <w:r w:rsidR="00F70830">
        <w:rPr>
          <w:rFonts w:ascii="Times New Roman" w:hAnsi="Times New Roman" w:cs="Times New Roman"/>
          <w:sz w:val="24"/>
          <w:szCs w:val="24"/>
        </w:rPr>
        <w:t xml:space="preserve">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lastRenderedPageBreak/>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w:t>
      </w:r>
      <w:r w:rsidRPr="001D1F1F">
        <w:rPr>
          <w:rFonts w:ascii="Times New Roman" w:hAnsi="Times New Roman" w:cs="Times New Roman"/>
          <w:sz w:val="24"/>
          <w:szCs w:val="24"/>
          <w:highlight w:val="yellow"/>
        </w:rPr>
        <w:lastRenderedPageBreak/>
        <w:t xml:space="preserve">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lastRenderedPageBreak/>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xml:space="preserve">, член «Конституционного фронта», либерал-консервативного крыла народной партии. </w:t>
      </w:r>
      <w:r w:rsidR="007B256A">
        <w:rPr>
          <w:rFonts w:ascii="Times New Roman" w:hAnsi="Times New Roman" w:cs="Times New Roman"/>
          <w:sz w:val="24"/>
          <w:szCs w:val="24"/>
        </w:rPr>
        <w:lastRenderedPageBreak/>
        <w:t>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lastRenderedPageBreak/>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174474CD"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proofErr w:type="spellStart"/>
      <w:r w:rsidR="00643A3D">
        <w:rPr>
          <w:rFonts w:ascii="Times New Roman" w:hAnsi="Times New Roman" w:cs="Times New Roman"/>
          <w:sz w:val="24"/>
          <w:szCs w:val="24"/>
        </w:rPr>
        <w:t>Пибун</w:t>
      </w:r>
      <w:proofErr w:type="spellEnd"/>
      <w:r w:rsidR="00643A3D">
        <w:rPr>
          <w:rFonts w:ascii="Times New Roman" w:hAnsi="Times New Roman" w:cs="Times New Roman"/>
          <w:sz w:val="24"/>
          <w:szCs w:val="24"/>
        </w:rPr>
        <w:t xml:space="preserve"> установил собственное правительство</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Далеко</w:t>
      </w:r>
      <w:proofErr w:type="gramEnd"/>
      <w:r>
        <w:rPr>
          <w:rFonts w:ascii="Times New Roman" w:hAnsi="Times New Roman" w:cs="Times New Roman"/>
          <w:sz w:val="24"/>
          <w:szCs w:val="24"/>
        </w:rPr>
        <w:t xml:space="preserve">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чтобы судить тех, кто предположительно участвовал в «восстани</w:t>
      </w:r>
      <w:bookmarkStart w:id="0" w:name="_GoBack"/>
      <w:bookmarkEnd w:id="0"/>
      <w:r w:rsidRPr="00640235">
        <w:rPr>
          <w:rFonts w:ascii="Times New Roman" w:hAnsi="Times New Roman" w:cs="Times New Roman"/>
          <w:sz w:val="24"/>
          <w:szCs w:val="24"/>
        </w:rPr>
        <w:t xml:space="preserve">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lastRenderedPageBreak/>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lastRenderedPageBreak/>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lastRenderedPageBreak/>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lastRenderedPageBreak/>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w:t>
      </w:r>
      <w:r>
        <w:rPr>
          <w:rFonts w:ascii="Times New Roman" w:hAnsi="Times New Roman" w:cs="Times New Roman"/>
          <w:sz w:val="24"/>
          <w:szCs w:val="24"/>
        </w:rPr>
        <w:lastRenderedPageBreak/>
        <w:t xml:space="preserve">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r>
      <w:r w:rsidR="009169B7">
        <w:rPr>
          <w:rFonts w:ascii="Times New Roman" w:hAnsi="Times New Roman" w:cs="Times New Roman"/>
          <w:sz w:val="24"/>
          <w:szCs w:val="24"/>
        </w:rPr>
        <w:lastRenderedPageBreak/>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lastRenderedPageBreak/>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w:t>
      </w:r>
      <w:r>
        <w:rPr>
          <w:rFonts w:ascii="Times New Roman" w:hAnsi="Times New Roman" w:cs="Times New Roman"/>
          <w:sz w:val="24"/>
          <w:szCs w:val="24"/>
        </w:rPr>
        <w:lastRenderedPageBreak/>
        <w:t xml:space="preserve">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lastRenderedPageBreak/>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55D"/>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1F1F"/>
    <w:rsid w:val="001D2A34"/>
    <w:rsid w:val="001D52D6"/>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D67"/>
    <w:rsid w:val="002970DC"/>
    <w:rsid w:val="002A1881"/>
    <w:rsid w:val="002A216B"/>
    <w:rsid w:val="002A21A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957"/>
    <w:rsid w:val="00356E85"/>
    <w:rsid w:val="00365440"/>
    <w:rsid w:val="00366EA4"/>
    <w:rsid w:val="00367161"/>
    <w:rsid w:val="00374157"/>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45CF3"/>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9B9"/>
    <w:rsid w:val="005C654F"/>
    <w:rsid w:val="005D20CE"/>
    <w:rsid w:val="005D4B7B"/>
    <w:rsid w:val="005D4E92"/>
    <w:rsid w:val="005D4F38"/>
    <w:rsid w:val="005D66F7"/>
    <w:rsid w:val="005E2CDC"/>
    <w:rsid w:val="005E3329"/>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77E"/>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CFD"/>
    <w:rsid w:val="00705B04"/>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D02CB"/>
    <w:rsid w:val="007D1D30"/>
    <w:rsid w:val="007D20AA"/>
    <w:rsid w:val="007D2C44"/>
    <w:rsid w:val="007D35D7"/>
    <w:rsid w:val="007E0EB4"/>
    <w:rsid w:val="007E15BB"/>
    <w:rsid w:val="007E3C0C"/>
    <w:rsid w:val="007E6782"/>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17E6C"/>
    <w:rsid w:val="00920C72"/>
    <w:rsid w:val="009245DB"/>
    <w:rsid w:val="00925DEA"/>
    <w:rsid w:val="00926E00"/>
    <w:rsid w:val="00927DB4"/>
    <w:rsid w:val="00931C21"/>
    <w:rsid w:val="009320E5"/>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C1371"/>
    <w:rsid w:val="009C1C1B"/>
    <w:rsid w:val="009C492B"/>
    <w:rsid w:val="009C5BC7"/>
    <w:rsid w:val="009C68FA"/>
    <w:rsid w:val="009C731C"/>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A7EF8"/>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0575"/>
    <w:rsid w:val="00AF07A9"/>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1B8"/>
    <w:rsid w:val="00E0177E"/>
    <w:rsid w:val="00E02F2B"/>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543"/>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533C"/>
    <w:rsid w:val="00F17BBB"/>
    <w:rsid w:val="00F17FB2"/>
    <w:rsid w:val="00F17FED"/>
    <w:rsid w:val="00F211B7"/>
    <w:rsid w:val="00F21416"/>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36321-33E6-46D5-8A28-AAE775DAB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22598</TotalTime>
  <Pages>85</Pages>
  <Words>23434</Words>
  <Characters>133579</Characters>
  <Application>Microsoft Office Word</Application>
  <DocSecurity>0</DocSecurity>
  <Lines>1113</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224</cp:revision>
  <dcterms:created xsi:type="dcterms:W3CDTF">2018-10-30T12:45:00Z</dcterms:created>
  <dcterms:modified xsi:type="dcterms:W3CDTF">2022-11-10T11:49:00Z</dcterms:modified>
</cp:coreProperties>
</file>