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 Укрепившись в нашей стране, они заняли нишу ростовщиков, рабочих и 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министра»</w:t>
      </w:r>
      <w:r w:rsidR="00EA5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395">
        <w:rPr>
          <w:rFonts w:ascii="Times New Roman" w:hAnsi="Times New Roman" w:cs="Times New Roman"/>
          <w:sz w:val="24"/>
          <w:szCs w:val="24"/>
        </w:rPr>
        <w:t>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P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рывка, пусть это решение и несколько дестабилизирует ситуацию в стране.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 xml:space="preserve">Нашу экономику во многом ограничивают Франция и Великобритания, которые превратили соседние страны в колонии. Это так же наложило на нас заметные </w:t>
      </w:r>
      <w:r w:rsidR="008C0B7C">
        <w:rPr>
          <w:rFonts w:ascii="Times New Roman" w:hAnsi="Times New Roman" w:cs="Times New Roman"/>
          <w:sz w:val="24"/>
          <w:szCs w:val="24"/>
        </w:rPr>
        <w:lastRenderedPageBreak/>
        <w:t>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P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фабрики и военный завод, +25 отношения с Францией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P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</w:t>
      </w:r>
      <w:r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США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lastRenderedPageBreak/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</w:t>
      </w:r>
      <w:r>
        <w:rPr>
          <w:rFonts w:ascii="Times New Roman" w:hAnsi="Times New Roman" w:cs="Times New Roman"/>
          <w:sz w:val="24"/>
          <w:szCs w:val="24"/>
        </w:rPr>
        <w:t>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P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фабрики, +25 отношения с Данией, Швецией и Норвегией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P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военных завода, +25 отношения с </w:t>
      </w:r>
      <w:r>
        <w:rPr>
          <w:rFonts w:ascii="Times New Roman" w:hAnsi="Times New Roman" w:cs="Times New Roman"/>
          <w:sz w:val="24"/>
          <w:szCs w:val="24"/>
        </w:rPr>
        <w:t>Италией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Германией.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7"/>
  </w:num>
  <w:num w:numId="5">
    <w:abstractNumId w:val="10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6"/>
  </w:num>
  <w:num w:numId="12">
    <w:abstractNumId w:val="13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0"/>
  </w:num>
  <w:num w:numId="19">
    <w:abstractNumId w:val="18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B89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0FE1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0B83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B97D-465F-4A3A-9E34-B75C4D27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13151</TotalTime>
  <Pages>6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33</cp:revision>
  <dcterms:created xsi:type="dcterms:W3CDTF">2018-10-30T12:45:00Z</dcterms:created>
  <dcterms:modified xsi:type="dcterms:W3CDTF">2021-06-22T08:00:00Z</dcterms:modified>
</cp:coreProperties>
</file>