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xml:space="preserve">, +100 дней к миссии «Приближение нового </w:t>
      </w:r>
      <w:proofErr w:type="gramStart"/>
      <w:r w:rsidR="00265400" w:rsidRPr="00BC26BD">
        <w:rPr>
          <w:rFonts w:ascii="Times New Roman" w:hAnsi="Times New Roman" w:cs="Times New Roman"/>
          <w:sz w:val="24"/>
          <w:szCs w:val="24"/>
          <w:highlight w:val="yellow"/>
        </w:rPr>
        <w:t>кризиса»(</w:t>
      </w:r>
      <w:proofErr w:type="gramEnd"/>
      <w:r w:rsidR="00265400" w:rsidRPr="00BC26BD">
        <w:rPr>
          <w:rFonts w:ascii="Times New Roman" w:hAnsi="Times New Roman" w:cs="Times New Roman"/>
          <w:sz w:val="24"/>
          <w:szCs w:val="24"/>
          <w:highlight w:val="yellow"/>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lastRenderedPageBreak/>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lastRenderedPageBreak/>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sidRPr="001D52D6">
        <w:rPr>
          <w:rFonts w:ascii="Times New Roman" w:hAnsi="Times New Roman" w:cs="Times New Roman"/>
          <w:sz w:val="24"/>
          <w:szCs w:val="24"/>
          <w:highlight w:val="yellow"/>
        </w:rPr>
        <w:lastRenderedPageBreak/>
        <w:t xml:space="preserve">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w:t>
      </w:r>
      <w:proofErr w:type="gramEnd"/>
      <w:r w:rsidR="00F70830">
        <w:rPr>
          <w:rFonts w:ascii="Times New Roman" w:hAnsi="Times New Roman" w:cs="Times New Roman"/>
          <w:sz w:val="24"/>
          <w:szCs w:val="24"/>
        </w:rPr>
        <w:t xml:space="preserve">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lastRenderedPageBreak/>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564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w:t>
      </w:r>
      <w:r w:rsidRPr="001D1F1F">
        <w:rPr>
          <w:rFonts w:ascii="Times New Roman" w:hAnsi="Times New Roman" w:cs="Times New Roman"/>
          <w:sz w:val="24"/>
          <w:szCs w:val="24"/>
          <w:highlight w:val="yellow"/>
        </w:rPr>
        <w:lastRenderedPageBreak/>
        <w:t xml:space="preserve">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w:t>
      </w:r>
      <w:r w:rsidR="007B256A">
        <w:rPr>
          <w:rFonts w:ascii="Times New Roman" w:hAnsi="Times New Roman" w:cs="Times New Roman"/>
          <w:sz w:val="24"/>
          <w:szCs w:val="24"/>
        </w:rPr>
        <w:lastRenderedPageBreak/>
        <w:t>«Конституционного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lastRenderedPageBreak/>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w:t>
      </w:r>
      <w:bookmarkStart w:id="0" w:name="_GoBack"/>
      <w:bookmarkEnd w:id="0"/>
      <w:r w:rsidRPr="00EA3543">
        <w:rPr>
          <w:rFonts w:ascii="Times New Roman" w:hAnsi="Times New Roman" w:cs="Times New Roman"/>
          <w:sz w:val="24"/>
          <w:szCs w:val="24"/>
          <w:highlight w:val="yellow"/>
        </w:rPr>
        <w:t>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lastRenderedPageBreak/>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lastRenderedPageBreak/>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lastRenderedPageBreak/>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w:t>
      </w:r>
      <w:r>
        <w:rPr>
          <w:rFonts w:ascii="Times New Roman" w:hAnsi="Times New Roman" w:cs="Times New Roman"/>
          <w:sz w:val="24"/>
          <w:szCs w:val="24"/>
        </w:rPr>
        <w:lastRenderedPageBreak/>
        <w:t xml:space="preserve">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r>
      <w:r w:rsidR="009169B7">
        <w:rPr>
          <w:rFonts w:ascii="Times New Roman" w:hAnsi="Times New Roman" w:cs="Times New Roman"/>
          <w:sz w:val="24"/>
          <w:szCs w:val="24"/>
        </w:rPr>
        <w:lastRenderedPageBreak/>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lastRenderedPageBreak/>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w:t>
      </w:r>
      <w:r>
        <w:rPr>
          <w:rFonts w:ascii="Times New Roman" w:hAnsi="Times New Roman" w:cs="Times New Roman"/>
          <w:sz w:val="24"/>
          <w:szCs w:val="24"/>
        </w:rPr>
        <w:lastRenderedPageBreak/>
        <w:t xml:space="preserve">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lastRenderedPageBreak/>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1F1F"/>
    <w:rsid w:val="001D2A34"/>
    <w:rsid w:val="001D52D6"/>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D67"/>
    <w:rsid w:val="002970DC"/>
    <w:rsid w:val="002A1881"/>
    <w:rsid w:val="002A216B"/>
    <w:rsid w:val="002A21A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957"/>
    <w:rsid w:val="00356E85"/>
    <w:rsid w:val="00365440"/>
    <w:rsid w:val="00366EA4"/>
    <w:rsid w:val="00367161"/>
    <w:rsid w:val="00374157"/>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E3329"/>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1647"/>
    <w:rsid w:val="006229AC"/>
    <w:rsid w:val="0062746F"/>
    <w:rsid w:val="0062766E"/>
    <w:rsid w:val="006277DE"/>
    <w:rsid w:val="00630FA2"/>
    <w:rsid w:val="006348F7"/>
    <w:rsid w:val="006361E0"/>
    <w:rsid w:val="00636FDD"/>
    <w:rsid w:val="00640235"/>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77E"/>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CFD"/>
    <w:rsid w:val="00705B04"/>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D02CB"/>
    <w:rsid w:val="007D1D30"/>
    <w:rsid w:val="007D20AA"/>
    <w:rsid w:val="007D2C44"/>
    <w:rsid w:val="007D35D7"/>
    <w:rsid w:val="007E0EB4"/>
    <w:rsid w:val="007E15BB"/>
    <w:rsid w:val="007E3C0C"/>
    <w:rsid w:val="007E6782"/>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DEA"/>
    <w:rsid w:val="00926E00"/>
    <w:rsid w:val="00927DB4"/>
    <w:rsid w:val="00931C21"/>
    <w:rsid w:val="009320E5"/>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A7EF8"/>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0575"/>
    <w:rsid w:val="00AF07A9"/>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1B8"/>
    <w:rsid w:val="00E0177E"/>
    <w:rsid w:val="00E02F2B"/>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543"/>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533C"/>
    <w:rsid w:val="00F17BBB"/>
    <w:rsid w:val="00F17FB2"/>
    <w:rsid w:val="00F17FED"/>
    <w:rsid w:val="00F211B7"/>
    <w:rsid w:val="00F21416"/>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2F96E-6FF8-43C8-AF17-C18E793F9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22395</TotalTime>
  <Pages>85</Pages>
  <Words>23428</Words>
  <Characters>133546</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219</cp:revision>
  <dcterms:created xsi:type="dcterms:W3CDTF">2018-10-30T12:45:00Z</dcterms:created>
  <dcterms:modified xsi:type="dcterms:W3CDTF">2022-10-21T06:26:00Z</dcterms:modified>
</cp:coreProperties>
</file>