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14:paraId="16BA426E" w14:textId="77777777"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стейта.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244161F7"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58048A" w14:textId="77777777" w:rsidR="00EE0AA5" w:rsidRDefault="00EE0AA5" w:rsidP="00EE0AA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9B3539">
        <w:rPr>
          <w:rFonts w:ascii="Times New Roman" w:hAnsi="Times New Roman" w:cs="Times New Roman"/>
          <w:sz w:val="24"/>
          <w:szCs w:val="24"/>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7FDAE9E0"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C4B31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14:paraId="0E8BA345"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E034537" w14:textId="77777777" w:rsidR="00506A8F" w:rsidRDefault="00506A8F" w:rsidP="00506A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14:paraId="7E831CD4" w14:textId="77777777"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9F0E68" w:rsidRDefault="00430BD8" w:rsidP="00A45561">
      <w:pPr>
        <w:spacing w:line="256" w:lineRule="auto"/>
        <w:rPr>
          <w:rFonts w:ascii="Times New Roman" w:hAnsi="Times New Roman" w:cs="Times New Roman"/>
          <w:sz w:val="24"/>
          <w:szCs w:val="24"/>
          <w:highlight w:val="yellow"/>
          <w:lang w:val="en-US"/>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1AB80FF"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B808995" w14:textId="77777777"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14:paraId="00059286"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0D2DE4B" w14:textId="77777777"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14:paraId="6DD3FF2C"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8F132CB" w14:textId="77777777"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14:paraId="583680AB" w14:textId="77777777"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Железная шахта в Канчанабури</w:t>
      </w:r>
      <w:r w:rsidRPr="00BD6F25">
        <w:rPr>
          <w:rFonts w:ascii="Times New Roman" w:hAnsi="Times New Roman" w:cs="Times New Roman"/>
          <w:i/>
          <w:sz w:val="24"/>
          <w:szCs w:val="24"/>
        </w:rPr>
        <w:t>».</w:t>
      </w:r>
    </w:p>
    <w:p w14:paraId="49659867"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99496C3"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14:paraId="6A24D67B"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451968" w14:textId="77777777"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5544AA" w:rsidRDefault="008F70DC" w:rsidP="00EE0AA5">
      <w:pPr>
        <w:rPr>
          <w:rFonts w:ascii="Times New Roman" w:hAnsi="Times New Roman" w:cs="Times New Roman"/>
          <w:sz w:val="24"/>
          <w:szCs w:val="24"/>
          <w:lang w:val="en-US"/>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14:paraId="367A240F"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C63349" w14:textId="1E7BEFEC"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w:t>
      </w:r>
      <w:r w:rsidR="004F04F4">
        <w:rPr>
          <w:rFonts w:ascii="Times New Roman" w:hAnsi="Times New Roman" w:cs="Times New Roman"/>
          <w:sz w:val="24"/>
          <w:szCs w:val="24"/>
        </w:rPr>
        <w:t>г</w:t>
      </w:r>
      <w:r>
        <w:rPr>
          <w:rFonts w:ascii="Times New Roman" w:hAnsi="Times New Roman" w:cs="Times New Roman"/>
          <w:sz w:val="24"/>
          <w:szCs w:val="24"/>
        </w:rPr>
        <w:t>е</w:t>
      </w:r>
      <w:r w:rsidR="004F04F4">
        <w:rPr>
          <w:rFonts w:ascii="Times New Roman" w:hAnsi="Times New Roman" w:cs="Times New Roman"/>
          <w:sz w:val="24"/>
          <w:szCs w:val="24"/>
        </w:rPr>
        <w:t xml:space="preserve"> позволят нам </w:t>
      </w:r>
      <w:r w:rsidR="00A72222">
        <w:rPr>
          <w:rFonts w:ascii="Times New Roman" w:hAnsi="Times New Roman" w:cs="Times New Roman"/>
          <w:sz w:val="24"/>
          <w:szCs w:val="24"/>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14:paraId="3B3907FF"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F4999B"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Pr>
          <w:rFonts w:ascii="Times New Roman" w:hAnsi="Times New Roman" w:cs="Times New Roman"/>
          <w:sz w:val="24"/>
          <w:szCs w:val="24"/>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14:paraId="66BC3A19"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E0DABBE"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14:paraId="25AB0E6E"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55619C" w14:textId="77777777"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14:paraId="1C8E7ABC" w14:textId="77777777"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14:paraId="651E61E0" w14:textId="77777777"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599DC283" w14:textId="77777777"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14:paraId="00A373D9"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00F1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14:paraId="2C70D016"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7EEBA754"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14:paraId="317F4714" w14:textId="77777777"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14:paraId="54E3498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889D1B"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14:paraId="49FFDF36"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-100 полит власти, +1 военный завод вне карты, будут доступны японские самолёты по лицензиям.</w:t>
      </w:r>
    </w:p>
    <w:p w14:paraId="0E080B27"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65A08027"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14:paraId="72E3FC6F"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F581AC0"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14:paraId="6206FBDC" w14:textId="77777777"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14:paraId="40F90508" w14:textId="77777777"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77777777"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14:paraId="169C56EF"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6BFC334" w14:textId="77777777"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14:paraId="05B05419" w14:textId="77777777"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14:paraId="41B902FD" w14:textId="77777777"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14:paraId="71B4852A" w14:textId="77777777"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14:paraId="7CB7944B"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9C0EBDF"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14:paraId="69258FC5" w14:textId="77777777"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14:paraId="61095686" w14:textId="77777777"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14:paraId="46A6B2E6"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29FF25" w14:textId="77777777"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Сай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14:paraId="5A2DDCE5" w14:textId="77777777"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14:paraId="2C802EB6" w14:textId="77777777" w:rsidR="00901838" w:rsidRDefault="00901838" w:rsidP="00EE0AA5">
      <w:pPr>
        <w:rPr>
          <w:rFonts w:ascii="Times New Roman" w:hAnsi="Times New Roman" w:cs="Times New Roman"/>
          <w:sz w:val="24"/>
          <w:szCs w:val="24"/>
        </w:rPr>
      </w:pPr>
    </w:p>
    <w:p w14:paraId="4C8CB6B6" w14:textId="77777777"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14:paraId="4D4A3F9B"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476EED5" w14:textId="77777777"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14:paraId="51B52CD5" w14:textId="77777777"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14:paraId="5BD0F8D5" w14:textId="77777777" w:rsidR="00901838" w:rsidRDefault="00901838" w:rsidP="00EE0AA5">
      <w:pPr>
        <w:rPr>
          <w:rFonts w:ascii="Times New Roman" w:hAnsi="Times New Roman" w:cs="Times New Roman"/>
          <w:sz w:val="24"/>
          <w:szCs w:val="24"/>
        </w:rPr>
      </w:pPr>
    </w:p>
    <w:p w14:paraId="7AE6FCC2" w14:textId="77777777"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14:paraId="0A7BA893"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FEB9E3" w14:textId="77777777"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14:paraId="7B2E12ED"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14:paraId="319909A8" w14:textId="77777777"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w:t>
      </w:r>
      <w:bookmarkStart w:id="0" w:name="_GoBack"/>
      <w:bookmarkEnd w:id="0"/>
      <w:r w:rsidR="00C14FE6">
        <w:rPr>
          <w:rFonts w:ascii="Times New Roman" w:hAnsi="Times New Roman" w:cs="Times New Roman"/>
          <w:sz w:val="24"/>
          <w:szCs w:val="24"/>
        </w:rPr>
        <w:t>%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w:t>
      </w:r>
      <w:r w:rsidR="00E41116">
        <w:rPr>
          <w:rFonts w:ascii="Times New Roman" w:hAnsi="Times New Roman" w:cs="Times New Roman"/>
          <w:sz w:val="24"/>
          <w:szCs w:val="24"/>
        </w:rPr>
        <w:lastRenderedPageBreak/>
        <w:t xml:space="preserve">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lastRenderedPageBreak/>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B8E89-55D9-4121-AC68-72159BD64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20487</TotalTime>
  <Pages>1</Pages>
  <Words>20975</Words>
  <Characters>135925</Characters>
  <Application>Microsoft Office Word</Application>
  <DocSecurity>0</DocSecurity>
  <Lines>3161</Lines>
  <Paragraphs>1824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195</cp:revision>
  <dcterms:created xsi:type="dcterms:W3CDTF">2018-10-30T12:45:00Z</dcterms:created>
  <dcterms:modified xsi:type="dcterms:W3CDTF">2022-08-31T11:40:00Z</dcterms:modified>
</cp:coreProperties>
</file>