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rsidR="005C30FD" w:rsidRDefault="005C30FD" w:rsidP="004E7C26">
      <w:pPr>
        <w:rPr>
          <w:rFonts w:ascii="Times New Roman" w:hAnsi="Times New Roman" w:cs="Times New Roman"/>
          <w:color w:val="2E74B5" w:themeColor="accent1" w:themeShade="BF"/>
          <w:sz w:val="24"/>
          <w:szCs w:val="24"/>
        </w:rPr>
      </w:pPr>
    </w:p>
    <w:p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C73A24" w:rsidRDefault="00C73A24" w:rsidP="004E7C26">
      <w:pPr>
        <w:rPr>
          <w:rFonts w:ascii="Times New Roman" w:hAnsi="Times New Roman" w:cs="Times New Roman"/>
          <w:color w:val="2E74B5" w:themeColor="accent1" w:themeShade="BF"/>
          <w:sz w:val="24"/>
          <w:szCs w:val="24"/>
        </w:rPr>
      </w:pPr>
    </w:p>
    <w:p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rsidR="00C73A24" w:rsidRDefault="00C73A24" w:rsidP="004E7C26">
      <w:pPr>
        <w:rPr>
          <w:rFonts w:ascii="Times New Roman" w:hAnsi="Times New Roman" w:cs="Times New Roman"/>
          <w:color w:val="2E74B5" w:themeColor="accent1" w:themeShade="BF"/>
          <w:sz w:val="24"/>
          <w:szCs w:val="24"/>
        </w:rPr>
      </w:pPr>
    </w:p>
    <w:p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rsidR="00C73A24" w:rsidRDefault="00C73A24" w:rsidP="004E7C26">
      <w:pPr>
        <w:rPr>
          <w:rFonts w:ascii="Times New Roman" w:hAnsi="Times New Roman" w:cs="Times New Roman"/>
          <w:color w:val="2E74B5" w:themeColor="accent1" w:themeShade="BF"/>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начать урбанизацию, постепенно отходя от аграрного прошлого.</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rsidR="008E44E9" w:rsidRDefault="008E44E9" w:rsidP="008E44E9">
      <w:pPr>
        <w:rPr>
          <w:rFonts w:ascii="Times New Roman" w:hAnsi="Times New Roman" w:cs="Times New Roman"/>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rsidR="008E44E9" w:rsidRPr="0022205E" w:rsidRDefault="008E44E9" w:rsidP="008E44E9">
      <w:pPr>
        <w:rPr>
          <w:rFonts w:ascii="Times New Roman" w:hAnsi="Times New Roman" w:cs="Times New Roman"/>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C3068B" w:rsidRDefault="00C3068B" w:rsidP="008E44E9">
      <w:pPr>
        <w:rPr>
          <w:rFonts w:ascii="Times New Roman" w:hAnsi="Times New Roman" w:cs="Times New Roman"/>
          <w:sz w:val="24"/>
          <w:szCs w:val="24"/>
        </w:rPr>
      </w:pPr>
    </w:p>
    <w:p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rsidR="00C3068B" w:rsidRPr="003D6726" w:rsidRDefault="00C3068B" w:rsidP="00C3068B">
      <w:pPr>
        <w:rPr>
          <w:rFonts w:ascii="Times New Roman" w:hAnsi="Times New Roman" w:cs="Times New Roman"/>
          <w:sz w:val="24"/>
          <w:szCs w:val="24"/>
        </w:rPr>
      </w:pPr>
    </w:p>
    <w:p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rsidR="00C3068B" w:rsidRPr="008E44E9" w:rsidRDefault="00C3068B" w:rsidP="008E44E9">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w:t>
      </w:r>
      <w:r>
        <w:rPr>
          <w:rFonts w:ascii="Times New Roman" w:hAnsi="Times New Roman" w:cs="Times New Roman"/>
          <w:i/>
          <w:sz w:val="24"/>
          <w:szCs w:val="24"/>
        </w:rPr>
        <w:t xml:space="preserve"> СССР</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Буддистская линия была нашей ошибкой, которую мы должны исправить, и пустить богатство храмов на нужды нашего государства.</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Pr>
          <w:rFonts w:ascii="Times New Roman" w:hAnsi="Times New Roman" w:cs="Times New Roman"/>
          <w:sz w:val="24"/>
          <w:szCs w:val="24"/>
        </w:rPr>
        <w:t>НД «Буддийская социалистическая линия»</w:t>
      </w:r>
      <w:r>
        <w:rPr>
          <w:rFonts w:ascii="Times New Roman" w:hAnsi="Times New Roman" w:cs="Times New Roman"/>
          <w:sz w:val="24"/>
          <w:szCs w:val="24"/>
        </w:rPr>
        <w:t xml:space="preserve">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rsidR="003408CA" w:rsidRDefault="003408CA" w:rsidP="003408CA">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rsidR="003408CA" w:rsidRPr="003408CA" w:rsidRDefault="003408CA" w:rsidP="003408CA">
      <w:pPr>
        <w:rPr>
          <w:rFonts w:ascii="Times New Roman" w:hAnsi="Times New Roman" w:cs="Times New Roman"/>
          <w:sz w:val="24"/>
          <w:szCs w:val="24"/>
        </w:rPr>
      </w:pPr>
    </w:p>
    <w:p w:rsidR="003408CA" w:rsidRPr="0022205E" w:rsidRDefault="003408CA" w:rsidP="003408CA">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Связаться с </w:t>
      </w:r>
      <w:r>
        <w:rPr>
          <w:rFonts w:ascii="Times New Roman" w:hAnsi="Times New Roman" w:cs="Times New Roman"/>
          <w:i/>
          <w:sz w:val="24"/>
          <w:szCs w:val="24"/>
        </w:rPr>
        <w:t>коммунистами Китая</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w:t>
      </w:r>
      <w:bookmarkStart w:id="0" w:name="_GoBack"/>
      <w:bookmarkEnd w:id="0"/>
      <w:r>
        <w:rPr>
          <w:rFonts w:ascii="Times New Roman" w:hAnsi="Times New Roman" w:cs="Times New Roman"/>
          <w:sz w:val="24"/>
          <w:szCs w:val="24"/>
        </w:rPr>
        <w:t xml:space="preserve"> – существует, коммунистический, возглавляет альянс.</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lastRenderedPageBreak/>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Pr="001B4E68" w:rsidRDefault="00C73A24" w:rsidP="004E7C26">
      <w:pPr>
        <w:rPr>
          <w:rFonts w:ascii="Times New Roman" w:hAnsi="Times New Roman" w:cs="Times New Roman"/>
          <w:color w:val="2E74B5" w:themeColor="accent1" w:themeShade="BF"/>
          <w:sz w:val="24"/>
          <w:szCs w:val="24"/>
        </w:rPr>
      </w:pPr>
    </w:p>
    <w:sectPr w:rsidR="00C73A24"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6566"/>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7C19"/>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C13B-4E6A-42FA-B515-8432738F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18998</TotalTime>
  <Pages>76</Pages>
  <Words>21111</Words>
  <Characters>120337</Characters>
  <Application>Microsoft Office Word</Application>
  <DocSecurity>0</DocSecurity>
  <Lines>1002</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177</cp:revision>
  <dcterms:created xsi:type="dcterms:W3CDTF">2018-10-30T12:45:00Z</dcterms:created>
  <dcterms:modified xsi:type="dcterms:W3CDTF">2022-03-17T11:57:00Z</dcterms:modified>
</cp:coreProperties>
</file>