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0C9" w:rsidRDefault="00283F1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20C9" w:rsidRDefault="00283F14">
                            <w:pPr>
                              <w:contextualSpacing/>
                            </w:pPr>
                            <w:r>
                              <w:rPr>
                                <w:noProof/>
                                <w:position w:val="-6"/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Id8" w:tooltip="Doc Translator - www.onlinedoctranslator.com" w:history="1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</w:rPr>
                                <w:t xml:space="preserve">Перевод: португальский - русский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</w:rPr>
                          <w:t xml:space="preserve">Перевод: португальский - русский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720C9" w:rsidRDefault="00283F14">
      <w:pPr>
        <w:pStyle w:val="10"/>
        <w:keepNext/>
        <w:keepLines/>
        <w:framePr w:w="2386" w:h="298" w:wrap="none" w:hAnchor="page" w:x="812" w:y="11"/>
      </w:pPr>
      <w:bookmarkStart w:id="0" w:name="bookmark0"/>
      <w:r>
        <w:t xml:space="preserve">Жоао </w:t>
      </w:r>
      <w:r>
        <w:t>Арсенио Нуньес*</w:t>
      </w:r>
      <w:bookmarkEnd w:id="0"/>
    </w:p>
    <w:p w:rsidR="00A720C9" w:rsidRDefault="00283F14">
      <w:pPr>
        <w:pStyle w:val="40"/>
        <w:framePr w:w="3312" w:h="182" w:wrap="none" w:hAnchor="page" w:x="3980" w:y="1"/>
        <w:rPr>
          <w:sz w:val="12"/>
          <w:szCs w:val="12"/>
        </w:rPr>
      </w:pPr>
      <w:r>
        <w:rPr>
          <w:i/>
          <w:iCs/>
          <w:sz w:val="12"/>
          <w:szCs w:val="12"/>
        </w:rPr>
        <w:t>Социальный анализ,</w:t>
      </w:r>
      <w:r>
        <w:rPr>
          <w:sz w:val="12"/>
          <w:szCs w:val="12"/>
        </w:rPr>
        <w:t>об. XVн (67-68), 1981-3.«-4.&lt;&gt;, 715-731</w:t>
      </w:r>
    </w:p>
    <w:p w:rsidR="00A720C9" w:rsidRDefault="00A720C9">
      <w:pPr>
        <w:spacing w:after="306" w:line="1" w:lineRule="exact"/>
      </w:pPr>
    </w:p>
    <w:p w:rsidR="00A720C9" w:rsidRDefault="00A720C9">
      <w:pPr>
        <w:spacing w:line="1" w:lineRule="exact"/>
        <w:sectPr w:rsidR="00A720C9">
          <w:footerReference w:type="default" r:id="rId9"/>
          <w:pgSz w:w="9082" w:h="13982"/>
          <w:pgMar w:top="1013" w:right="1056" w:bottom="1974" w:left="811" w:header="585" w:footer="3" w:gutter="0"/>
          <w:pgNumType w:start="715"/>
          <w:cols w:space="720"/>
          <w:noEndnote/>
          <w:docGrid w:linePitch="360"/>
        </w:sectPr>
      </w:pPr>
    </w:p>
    <w:p w:rsidR="00A720C9" w:rsidRDefault="00A720C9">
      <w:pPr>
        <w:spacing w:before="59" w:after="59" w:line="240" w:lineRule="exact"/>
        <w:rPr>
          <w:sz w:val="19"/>
          <w:szCs w:val="19"/>
        </w:rPr>
      </w:pPr>
    </w:p>
    <w:p w:rsidR="00A720C9" w:rsidRDefault="00A720C9">
      <w:pPr>
        <w:spacing w:line="1" w:lineRule="exact"/>
        <w:sectPr w:rsidR="00A720C9">
          <w:type w:val="continuous"/>
          <w:pgSz w:w="9082" w:h="13982"/>
          <w:pgMar w:top="820" w:right="0" w:bottom="1831" w:left="0" w:header="0" w:footer="3" w:gutter="0"/>
          <w:cols w:space="720"/>
          <w:noEndnote/>
          <w:docGrid w:linePitch="360"/>
        </w:sectPr>
      </w:pPr>
    </w:p>
    <w:p w:rsidR="00A720C9" w:rsidRDefault="00283F14">
      <w:pPr>
        <w:pStyle w:val="30"/>
      </w:pPr>
      <w:r>
        <w:t xml:space="preserve">О некоторых аспектах </w:t>
      </w:r>
      <w:r>
        <w:t>политической эволюции Коммунистической партии Португалии после реорганизации 1929 г. (1931-1933 гг.)**</w:t>
      </w:r>
    </w:p>
    <w:p w:rsidR="00A720C9" w:rsidRDefault="00283F14">
      <w:pPr>
        <w:pStyle w:val="11"/>
        <w:spacing w:after="360" w:line="223" w:lineRule="auto"/>
        <w:ind w:firstLine="380"/>
        <w:jc w:val="both"/>
      </w:pPr>
      <w:r>
        <w:t>1. Реорганизация 1929 г. занимает ключевое место в истории ПКП. Происходившее, с одной стороны, в разгар фашистского процесса в Португалии, оно стало озн</w:t>
      </w:r>
      <w:r>
        <w:t>ачать конституцию той коммунистической партии, которая на последующие десятилетия станет основным ядром антифашистской оппозиции: в этом отношении она сыграла основополагающую роль в продолжении фашизма.</w:t>
      </w:r>
    </w:p>
    <w:p w:rsidR="00A720C9" w:rsidRDefault="00283F14">
      <w:pPr>
        <w:pStyle w:val="20"/>
        <w:numPr>
          <w:ilvl w:val="0"/>
          <w:numId w:val="1"/>
        </w:numPr>
        <w:tabs>
          <w:tab w:val="left" w:pos="538"/>
        </w:tabs>
        <w:spacing w:after="0" w:line="202" w:lineRule="auto"/>
        <w:ind w:left="0" w:firstLine="340"/>
        <w:jc w:val="both"/>
      </w:pPr>
      <w:r>
        <w:t>Высший институт труда и бизнеса.</w:t>
      </w:r>
    </w:p>
    <w:p w:rsidR="00A720C9" w:rsidRDefault="00283F14">
      <w:pPr>
        <w:pStyle w:val="20"/>
        <w:numPr>
          <w:ilvl w:val="0"/>
          <w:numId w:val="1"/>
        </w:numPr>
        <w:tabs>
          <w:tab w:val="left" w:pos="543"/>
        </w:tabs>
        <w:spacing w:after="80" w:line="202" w:lineRule="auto"/>
        <w:ind w:left="0" w:firstLine="380"/>
        <w:jc w:val="both"/>
      </w:pPr>
      <w:r>
        <w:t>* Этот текст не явл</w:t>
      </w:r>
      <w:r>
        <w:t>яется ни историей, ни обобщением истории ПКП в 1931-33 годах:</w:t>
      </w:r>
    </w:p>
    <w:p w:rsidR="00A720C9" w:rsidRDefault="00283F14">
      <w:pPr>
        <w:pStyle w:val="20"/>
        <w:numPr>
          <w:ilvl w:val="0"/>
          <w:numId w:val="2"/>
        </w:numPr>
        <w:tabs>
          <w:tab w:val="left" w:pos="650"/>
        </w:tabs>
        <w:spacing w:after="0"/>
        <w:ind w:left="640" w:right="600" w:hanging="260"/>
        <w:jc w:val="both"/>
      </w:pPr>
      <w:r>
        <w:t xml:space="preserve">Потому что она оставляет в стороне существенные стороны деятельности партии, прежде всего профсоюзную деятельность, которая, возможно (таково, по крайней мере, мнение Бенту Гонсалвеша) является </w:t>
      </w:r>
      <w:r>
        <w:t>самой важной стороной и самым прочным вкладом реорганизации с 1929 по португальское рабочее движение; кроме того, он ничего не объясняет об организации партии, ничего не говорит о родственных организациях, таких как Socorro Vermelho, не анализирует ее соци</w:t>
      </w:r>
      <w:r>
        <w:t>альный состав и т. д.;</w:t>
      </w:r>
    </w:p>
    <w:p w:rsidR="00A720C9" w:rsidRDefault="00283F14">
      <w:pPr>
        <w:pStyle w:val="20"/>
        <w:numPr>
          <w:ilvl w:val="0"/>
          <w:numId w:val="2"/>
        </w:numPr>
        <w:tabs>
          <w:tab w:val="left" w:pos="619"/>
        </w:tabs>
        <w:spacing w:after="0"/>
        <w:ind w:left="0" w:firstLine="340"/>
        <w:jc w:val="both"/>
      </w:pPr>
      <w:r>
        <w:t>Потому что он очевидным образом практически «пропускает» 1932 год;</w:t>
      </w:r>
    </w:p>
    <w:p w:rsidR="00A720C9" w:rsidRDefault="00283F14">
      <w:pPr>
        <w:pStyle w:val="20"/>
        <w:numPr>
          <w:ilvl w:val="0"/>
          <w:numId w:val="2"/>
        </w:numPr>
        <w:tabs>
          <w:tab w:val="left" w:pos="645"/>
        </w:tabs>
        <w:spacing w:after="80"/>
        <w:ind w:left="640" w:hanging="260"/>
        <w:jc w:val="both"/>
      </w:pPr>
      <w:r>
        <w:t>Потому что он не анализирует контекст португальской социальной и политической истории, в котором действует партия, за исключением случайного.</w:t>
      </w:r>
    </w:p>
    <w:p w:rsidR="00A720C9" w:rsidRDefault="00283F14">
      <w:pPr>
        <w:pStyle w:val="20"/>
        <w:spacing w:after="0" w:line="202" w:lineRule="auto"/>
        <w:ind w:left="0" w:right="600" w:firstLine="380"/>
        <w:jc w:val="both"/>
      </w:pPr>
      <w:r>
        <w:t>Была предпринята попытка</w:t>
      </w:r>
      <w:r>
        <w:t xml:space="preserve"> просто на основе некоторых малоизвестных до сегодняшнего дня документов дать частичную характеристику и поставить проблему действия и последствий реорганизации 1929 г. Это обычно рассматривается как приобретение тщательно разработанной и однородной полити</w:t>
      </w:r>
      <w:r>
        <w:t>ческое сознание — марксизм-ленинизм — для коммунистической партии и, в перспективе, для португальского рабочего движения. Не ставя под сомнение, что все-таки это было так, мы попытались привести некоторые элементы, чтобы показать, насколько процесс противо</w:t>
      </w:r>
      <w:r>
        <w:t>речив.</w:t>
      </w:r>
      <w:r>
        <w:softHyphen/>
      </w:r>
    </w:p>
    <w:p w:rsidR="00A720C9" w:rsidRDefault="00283F14">
      <w:pPr>
        <w:pStyle w:val="20"/>
        <w:spacing w:after="0" w:line="202" w:lineRule="auto"/>
        <w:ind w:left="0" w:right="600" w:firstLine="380"/>
        <w:jc w:val="both"/>
      </w:pPr>
      <w:r>
        <w:t>Основной вопрос, в сущности, тот же, что всегда волновал Бенту Гонсалвеша, а именно: сохранение в португальском рабочем движении, в том числе и коммунистическом, идеологий и практик мелкобуржуазной традиции, подобных тем, которые господствовали в н</w:t>
      </w:r>
      <w:r>
        <w:t>ем в период Первой республики., и процесс ее преодоления.</w:t>
      </w:r>
    </w:p>
    <w:p w:rsidR="00A720C9" w:rsidRDefault="00283F14">
      <w:pPr>
        <w:pStyle w:val="20"/>
        <w:spacing w:after="0" w:line="202" w:lineRule="auto"/>
        <w:ind w:left="0" w:right="600" w:firstLine="380"/>
        <w:jc w:val="both"/>
      </w:pPr>
      <w:r>
        <w:t>Минимально точное определение этой проблемы требует гораздо большего количества информации не только об истории ПКП, но и вообще об истории португальского общества. Этот недостаток знаний не охватыв</w:t>
      </w:r>
      <w:r>
        <w:t>ается этим текстом, поэтому его следует рассматривать скорее как гипотезу, чем что-либо еще.</w:t>
      </w:r>
      <w:r>
        <w:softHyphen/>
      </w:r>
    </w:p>
    <w:p w:rsidR="00A720C9" w:rsidRDefault="00283F14">
      <w:pPr>
        <w:pStyle w:val="20"/>
        <w:spacing w:after="220" w:line="202" w:lineRule="auto"/>
        <w:ind w:left="0" w:right="600" w:firstLine="380"/>
        <w:jc w:val="both"/>
        <w:sectPr w:rsidR="00A720C9">
          <w:type w:val="continuous"/>
          <w:pgSz w:w="9082" w:h="13982"/>
          <w:pgMar w:top="820" w:right="959" w:bottom="1831" w:left="942" w:header="0" w:footer="3" w:gutter="0"/>
          <w:cols w:space="720"/>
          <w:noEndnote/>
          <w:docGrid w:linePitch="360"/>
          <w15:footnoteColumns w:val="1"/>
        </w:sectPr>
      </w:pPr>
      <w:r>
        <w:t xml:space="preserve">Наконец, хотим обратить внимание на то, что в тексте принципиально две части — одна, более документальная, соответствующая 1931 году, другая, </w:t>
      </w:r>
      <w:r>
        <w:lastRenderedPageBreak/>
        <w:t>ограничивающаяся размещением в основе некоторых документов «элементов» эволюция. Не будет преувеличением подчеркну</w:t>
      </w:r>
      <w:r>
        <w:t>ть, что эта последняя часть (пункты с 6 по 8) предназначена только для того, чтобы сформулировать гипотезу, над которой мы собираемся работать.</w:t>
      </w:r>
    </w:p>
    <w:p w:rsidR="00A720C9" w:rsidRDefault="00283F14">
      <w:pPr>
        <w:pStyle w:val="11"/>
        <w:spacing w:line="223" w:lineRule="auto"/>
        <w:ind w:left="680" w:firstLine="0"/>
        <w:jc w:val="both"/>
      </w:pPr>
      <w:r>
        <w:lastRenderedPageBreak/>
        <w:t>историческая ничтожность и чувство идентичности нынешнего PCP. С другой стороны, португальское выражение реакции</w:t>
      </w:r>
      <w:r>
        <w:t xml:space="preserve"> рабочего движения на условия мирового кризиса тесно связано с новой фазой, в которую затем вступило коммунистическое движение на международном уровне: фазой этих «железных годы», по выражению Тольятти, которые предшествуют и объединяют Вторую мировую войн</w:t>
      </w:r>
      <w:r>
        <w:t>у.</w:t>
      </w:r>
      <w:r>
        <w:softHyphen/>
      </w:r>
    </w:p>
    <w:p w:rsidR="00A720C9" w:rsidRDefault="00283F14">
      <w:pPr>
        <w:pStyle w:val="11"/>
        <w:spacing w:line="223" w:lineRule="auto"/>
        <w:ind w:left="680"/>
        <w:jc w:val="both"/>
      </w:pPr>
      <w:r>
        <w:t>Если не принимать во внимание сводные указания, которые Бенту Гонсалвеш приводит в «Двух словах», то для историка все еще мало элементов, позволяющих точно определить условия, в которых происходила реорганизация, и непосредственные результаты, к которы</w:t>
      </w:r>
      <w:r>
        <w:t>м она привела в 1929 и 1929 гг. 1930. Партия тогда все еще имела уменьшенное количество элементов (которых Бенту Гонсалвеш насчитывал 130 в конце прошлого года, в основном расположенных в Лиссабоне). Ее деятельность в прессе сводится к публикации «О пролет</w:t>
      </w:r>
      <w:r>
        <w:t>аре», которая, несмотря на то, что содержит много информации о профсоюзной деятельности, с точки зрения ее политического выражения имеет все ограничения газеты, подвергаемой цензуре.</w:t>
      </w:r>
    </w:p>
    <w:p w:rsidR="00A720C9" w:rsidRDefault="00283F14">
      <w:pPr>
        <w:pStyle w:val="11"/>
        <w:spacing w:after="200" w:line="223" w:lineRule="auto"/>
        <w:ind w:left="680"/>
        <w:jc w:val="both"/>
      </w:pPr>
      <w:r>
        <w:t>С 1931 г. появились более благоприятные условия для ознакомления с деятел</w:t>
      </w:r>
      <w:r>
        <w:t xml:space="preserve">ьностью и установками партии. Вдобавок к его численному росту (к концу 1931 г. оно имело уже около 700 филиалов), отражающему и позволяющему усилить политическое влияние, добавляется регулярная публикация его нелегальных органов, главным образом Avante! и </w:t>
      </w:r>
      <w:r>
        <w:t>O Jovem (центральный орган Федерации португальской коммунистической молодежи). Таким образом, становится легче следовать своей политической линии и практическому воплощению этой линии в событиях, на которые оказывает влияние партия.</w:t>
      </w:r>
    </w:p>
    <w:p w:rsidR="00A720C9" w:rsidRDefault="00283F14">
      <w:pPr>
        <w:pStyle w:val="11"/>
        <w:spacing w:line="221" w:lineRule="auto"/>
        <w:ind w:left="680"/>
        <w:jc w:val="both"/>
        <w:sectPr w:rsidR="00A720C9">
          <w:footerReference w:type="default" r:id="rId10"/>
          <w:pgSz w:w="9082" w:h="13982"/>
          <w:pgMar w:top="820" w:right="959" w:bottom="1831" w:left="942" w:header="392" w:footer="1403" w:gutter="0"/>
          <w:pgNumType w:start="2"/>
          <w:cols w:space="720"/>
          <w:noEndnote/>
          <w:docGrid w:linePitch="360"/>
          <w15:footnoteColumns w:val="1"/>
        </w:sectPr>
      </w:pPr>
      <w:r>
        <w:t>2. ПКП 1931 г. предстает перед нами прежде всего как партия, по существу ориентированная на агитацию. Этот приоритет агитации четко определен в статье № 2 Avante!</w:t>
      </w:r>
      <w:r>
        <w:softHyphen/>
      </w:r>
      <w:r>
        <w:rPr>
          <w:i/>
          <w:iCs/>
          <w:vertAlign w:val="superscript"/>
        </w:rPr>
        <w:footnoteReference w:id="1"/>
      </w:r>
      <w:r>
        <w:rPr>
          <w:i/>
          <w:iCs/>
          <w:vertAlign w:val="superscript"/>
        </w:rPr>
        <w:t xml:space="preserve"> </w:t>
      </w:r>
      <w:r>
        <w:rPr>
          <w:i/>
          <w:iCs/>
          <w:vertAlign w:val="superscript"/>
        </w:rPr>
        <w:footnoteReference w:id="2"/>
      </w:r>
      <w:r>
        <w:rPr>
          <w:i/>
          <w:iCs/>
          <w:vertAlign w:val="superscript"/>
        </w:rPr>
        <w:t xml:space="preserve"> </w:t>
      </w:r>
      <w:r>
        <w:rPr>
          <w:i/>
          <w:iCs/>
          <w:vertAlign w:val="superscript"/>
        </w:rPr>
        <w:footnoteReference w:id="3"/>
      </w:r>
      <w:r>
        <w:rPr>
          <w:i/>
          <w:iCs/>
          <w:vertAlign w:val="superscript"/>
        </w:rPr>
        <w:t xml:space="preserve"> </w:t>
      </w:r>
      <w:r>
        <w:rPr>
          <w:i/>
          <w:iCs/>
          <w:vertAlign w:val="superscript"/>
        </w:rPr>
        <w:footnoteReference w:id="4"/>
      </w:r>
      <w:r>
        <w:rPr>
          <w:i/>
          <w:iCs/>
          <w:vertAlign w:val="superscript"/>
        </w:rPr>
        <w:t xml:space="preserve"> </w:t>
      </w:r>
      <w:r>
        <w:rPr>
          <w:i/>
          <w:iCs/>
          <w:vertAlign w:val="superscript"/>
        </w:rPr>
        <w:footnoteReference w:id="5"/>
      </w:r>
      <w:r>
        <w:rPr>
          <w:i/>
          <w:iCs/>
          <w:vertAlign w:val="superscript"/>
        </w:rPr>
        <w:t xml:space="preserve"> </w:t>
      </w:r>
      <w:r>
        <w:rPr>
          <w:i/>
          <w:iCs/>
          <w:vertAlign w:val="superscript"/>
        </w:rPr>
        <w:footnoteReference w:id="6"/>
      </w:r>
      <w:r>
        <w:rPr>
          <w:i/>
          <w:iCs/>
          <w:vertAlign w:val="superscript"/>
        </w:rPr>
        <w:t xml:space="preserve"> </w:t>
      </w:r>
      <w:r>
        <w:rPr>
          <w:i/>
          <w:iCs/>
          <w:vertAlign w:val="superscript"/>
        </w:rPr>
        <w:footnoteReference w:id="7"/>
      </w:r>
      <w:r>
        <w:rPr>
          <w:i/>
          <w:iCs/>
          <w:vertAlign w:val="superscript"/>
        </w:rPr>
        <w:t xml:space="preserve"> </w:t>
      </w:r>
      <w:r>
        <w:rPr>
          <w:i/>
          <w:iCs/>
          <w:vertAlign w:val="superscript"/>
        </w:rPr>
        <w:footnoteReference w:id="8"/>
      </w:r>
      <w:r>
        <w:t>материализуется она в том значении, которое парт</w:t>
      </w:r>
      <w:r>
        <w:t xml:space="preserve">ийная печать вообще придает всем эпизодам уличных демонстраций и беспорядков — прежде всего, когда они способствуют физическому столкновению между народными массами и репрессивным аппаратом. Так обстоит дело, например, с демонстрациями 1 мая того же года, </w:t>
      </w:r>
      <w:r>
        <w:t>рассматриваемыми Avante! «блестящая страница борьбы пролетариата против буржуазии». Как день агитации 1 мая 1931 г.</w:t>
      </w:r>
    </w:p>
    <w:p w:rsidR="00A720C9" w:rsidRDefault="00283F14">
      <w:pPr>
        <w:pStyle w:val="11"/>
        <w:spacing w:line="221" w:lineRule="auto"/>
        <w:ind w:left="680" w:firstLine="0"/>
        <w:jc w:val="both"/>
        <w:sectPr w:rsidR="00A720C9">
          <w:footerReference w:type="default" r:id="rId11"/>
          <w:pgSz w:w="9082" w:h="13982"/>
          <w:pgMar w:top="820" w:right="959" w:bottom="1831" w:left="942" w:header="392" w:footer="3" w:gutter="0"/>
          <w:pgNumType w:start="717"/>
          <w:cols w:space="720"/>
          <w:noEndnote/>
          <w:docGrid w:linePitch="360"/>
          <w15:footnoteColumns w:val="1"/>
        </w:sectPr>
      </w:pPr>
      <w:r>
        <w:lastRenderedPageBreak/>
        <w:t xml:space="preserve">принял необычайный размах как из-за своего участия в забастовках и демонстрациях </w:t>
      </w:r>
      <w:r>
        <w:t>в тот день, так и из-за ожесточенных столкновений с репрессивными силами, в результате которых только в Лиссабоне четыре человека погибли и два десятка получили ранения.</w:t>
      </w:r>
      <w:r>
        <w:rPr>
          <w:vertAlign w:val="superscript"/>
        </w:rPr>
        <w:footnoteReference w:id="9"/>
      </w:r>
      <w:r>
        <w:t>. Уже ранее, в ознаменование Международного дня безработных, партия планировала провес</w:t>
      </w:r>
      <w:r>
        <w:t>ти акции протеста против безработицы 25 февраля, которые полиции удалось, однако, разогнать.</w:t>
      </w:r>
      <w:r>
        <w:softHyphen/>
      </w:r>
      <w:r>
        <w:softHyphen/>
      </w:r>
      <w:r>
        <w:softHyphen/>
      </w:r>
      <w:r>
        <w:rPr>
          <w:vertAlign w:val="superscript"/>
        </w:rPr>
        <w:footnoteReference w:id="10"/>
      </w:r>
      <w:r>
        <w:t>. Нам также известно о подготовке к проведению Международного дня молодежи в Португалии, который был отменен из-за вспышки республиканского восстания 26 августа</w:t>
      </w:r>
      <w:r>
        <w:t>.</w:t>
      </w:r>
      <w:r>
        <w:softHyphen/>
      </w:r>
      <w:r>
        <w:rPr>
          <w:vertAlign w:val="superscript"/>
        </w:rPr>
        <w:footnoteReference w:id="11"/>
      </w:r>
      <w:r>
        <w:t>.</w:t>
      </w:r>
      <w:r>
        <w:rPr>
          <w:vertAlign w:val="superscript"/>
        </w:rPr>
        <w:footnoteReference w:id="12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3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4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5"/>
      </w:r>
    </w:p>
    <w:p w:rsidR="00A720C9" w:rsidRDefault="00283F14">
      <w:pPr>
        <w:pStyle w:val="11"/>
        <w:spacing w:line="223" w:lineRule="auto"/>
        <w:ind w:left="660"/>
        <w:jc w:val="both"/>
      </w:pPr>
      <w:r>
        <w:lastRenderedPageBreak/>
        <w:t>Важным аспектом этой массовой агитации является применение вооруженного насилия. С этой точки зрения 1 мая считается полным успехом, тогда как именно его отсутствие было бы главным недостатком 25 февраля8. По словам тогдашнего партийного деятел</w:t>
      </w:r>
      <w:r>
        <w:t>я и активного участника событий, защитника и практика метода, это была «идея, скопированная с французской партии, к которой мы были так близки в литературе» 7. Это одна из аспекты деятельности партии, которые в Дуаш Палаврас Бенту Гонсалвеш (депортированны</w:t>
      </w:r>
      <w:r>
        <w:t>й между 1930 и 1933 годами, поэтому не несущий ответственности за свою ориентацию в то время) оценит ее более негативно, считая ее типичным для существования в коммунистических рядах анархиста и путчистский менталитет.</w:t>
      </w:r>
    </w:p>
    <w:p w:rsidR="00A720C9" w:rsidRDefault="00283F14">
      <w:pPr>
        <w:pStyle w:val="11"/>
        <w:spacing w:after="360" w:line="223" w:lineRule="auto"/>
        <w:ind w:left="660"/>
        <w:jc w:val="both"/>
      </w:pPr>
      <w:r>
        <w:t>Другой аспект приоритета агитации отр</w:t>
      </w:r>
      <w:r>
        <w:t>ажается во множестве и разнообразии публикаций, газет и брошюр, издаваемых партией и Федерацией молодежи, фактически с огромным усилием добровольчества и активности 8. 2 Avante!, «Ситуация</w:t>
      </w:r>
    </w:p>
    <w:p w:rsidR="00A720C9" w:rsidRDefault="00283F14">
      <w:pPr>
        <w:pStyle w:val="20"/>
        <w:spacing w:after="0"/>
        <w:ind w:firstLine="20"/>
        <w:jc w:val="both"/>
      </w:pPr>
      <w:r>
        <w:t xml:space="preserve">разработан план самозащиты от первого полицейского нападения и </w:t>
      </w:r>
      <w:r>
        <w:t>подготовлены материалы (бомбы и несколько ружей)», как написано в последнем письме.</w:t>
      </w:r>
    </w:p>
    <w:p w:rsidR="00A720C9" w:rsidRDefault="00283F14">
      <w:pPr>
        <w:pStyle w:val="20"/>
        <w:spacing w:after="0"/>
        <w:jc w:val="both"/>
      </w:pPr>
      <w:r>
        <w:t>Следует отметить, что Бемар Фройнд («Рене») — чех 1907 или 1908 года рождения, приехавший в Португалию в середине 1929 года, где работал иностранным корреспондентом в комме</w:t>
      </w:r>
      <w:r>
        <w:t>рческой компании. Мы не знаем, приехал ли он в Португалию с миссией Коммунистического Интернационала (или МКЮ), или только после того, как он поселился здесь, он вступил в контакт с португальскими коммунистами.</w:t>
      </w:r>
    </w:p>
    <w:p w:rsidR="00A720C9" w:rsidRDefault="00283F14">
      <w:pPr>
        <w:pStyle w:val="20"/>
        <w:spacing w:after="0"/>
        <w:jc w:val="both"/>
      </w:pPr>
      <w:r>
        <w:t>В 1931 году «Рене» можно считать одним из гла</w:t>
      </w:r>
      <w:r>
        <w:t>вных руководителей ФЕОП, так как он представлял ее в партийном секретариате. Арестован в январе 1932 г., вскоре после этого выслан из страны.</w:t>
      </w:r>
    </w:p>
    <w:p w:rsidR="00A720C9" w:rsidRDefault="00283F14">
      <w:pPr>
        <w:pStyle w:val="20"/>
        <w:spacing w:after="0"/>
        <w:jc w:val="both"/>
      </w:pPr>
      <w:r>
        <w:t>Б. Фройнд находился в Португалии в сопровождении своей жены Вихны, которая также была активисткой ПКП и была высла</w:t>
      </w:r>
      <w:r>
        <w:t>на из страны одновременно с ним.</w:t>
      </w:r>
      <w:r>
        <w:softHyphen/>
      </w:r>
    </w:p>
    <w:p w:rsidR="00A720C9" w:rsidRDefault="00283F14">
      <w:pPr>
        <w:pStyle w:val="20"/>
        <w:spacing w:after="0"/>
        <w:jc w:val="both"/>
      </w:pPr>
      <w:r>
        <w:t>Присутствие иностранных активистов в руководстве коммунистических партий или их молодежных организаций было в то время нормальным фактом, в соответствии с этикой и законностью Коминтерна (1919-43 гг.), лишь секциями которо</w:t>
      </w:r>
      <w:r>
        <w:t>го были национальные партии. Это действительно один из основополагающих мотивов и гордость коммунистического движения в противовес шовинизму, проявленному социал-демократическими партиями перед лицом первой мировой войны. Также в ФКП, в связи с модернизаци</w:t>
      </w:r>
      <w:r>
        <w:t>ей линии, действовавшей с 1930 г., в 1931 г. была создана международная «руководящая коллегия», которую возглавил Евгений Фрид, кстати, тоже чех (см. Philippe Robrieux, Histoire Intérieure du Коммунистическая партия, т. I, изд. Фаярд, стр. 382).</w:t>
      </w:r>
      <w:r>
        <w:softHyphen/>
      </w:r>
    </w:p>
    <w:p w:rsidR="00A720C9" w:rsidRDefault="00283F14">
      <w:pPr>
        <w:pStyle w:val="20"/>
        <w:spacing w:after="0"/>
        <w:ind w:left="0" w:firstLine="1000"/>
        <w:jc w:val="both"/>
      </w:pPr>
      <w:r>
        <w:t xml:space="preserve">• Видеть </w:t>
      </w:r>
      <w:r>
        <w:t>«1 мая в Лиссабоне», в Avante!, № 5, от 6 июня 1931 г.</w:t>
      </w:r>
    </w:p>
    <w:p w:rsidR="00A720C9" w:rsidRDefault="00283F14">
      <w:pPr>
        <w:pStyle w:val="20"/>
        <w:spacing w:after="0"/>
        <w:ind w:left="0" w:firstLine="1000"/>
        <w:jc w:val="both"/>
      </w:pPr>
      <w:r>
        <w:t>Устные показания Мануэля Альпедриньи от 3 ноября 1980 года.</w:t>
      </w:r>
    </w:p>
    <w:p w:rsidR="00A720C9" w:rsidRDefault="00283F14">
      <w:pPr>
        <w:pStyle w:val="20"/>
        <w:spacing w:after="0"/>
        <w:jc w:val="both"/>
      </w:pPr>
      <w:r>
        <w:t xml:space="preserve">Интересное описание менталитета и практик, господствовавших в то время в ФКП, можно найти в недавней книге, процитированной выше Робрие, гл. </w:t>
      </w:r>
      <w:r>
        <w:t>видел, стр. 311 и след., особенно стр. 339-345. Робрие цитирует многозначительное выражение «революционная гимнастика», использовавшееся тогда в Интернационале для обозначения этой концепции и практики постоянной тренировки в противостоянии массам с репрес</w:t>
      </w:r>
      <w:r>
        <w:t>сиями, как того усилия, которого они требовали, в письме «Рене» от имени «Вы вступили в партию революции на следующий день, вы жили в партии революции на следующий день, и «партия» с каждым днем ​​должна была вести себя все более и более так, как если бы о</w:t>
      </w:r>
      <w:r>
        <w:t>на готовила французскую революцию, мировая революция», пишет он Робрие на с. 345.</w:t>
      </w:r>
      <w:r>
        <w:softHyphen/>
      </w:r>
    </w:p>
    <w:p w:rsidR="00A720C9" w:rsidRDefault="00283F14">
      <w:pPr>
        <w:pStyle w:val="20"/>
        <w:spacing w:after="60"/>
        <w:jc w:val="both"/>
      </w:pPr>
      <w:r>
        <w:rPr>
          <w:vertAlign w:val="superscript"/>
        </w:rPr>
        <w:t>8</w:t>
      </w:r>
      <w:r>
        <w:t>Письмо «Рене» от имени FJCP, написанное на немецком языке и адресованное представителю МС в Берлине 30 декабря 1931 г., объясняет ненадежные технические условия для выпуска</w:t>
      </w:r>
      <w:r>
        <w:t xml:space="preserve"> этих публикаций, а также усилия, которые они потребовали. .:</w:t>
      </w:r>
    </w:p>
    <w:p w:rsidR="00A720C9" w:rsidRDefault="00283F14">
      <w:pPr>
        <w:pStyle w:val="20"/>
        <w:spacing w:after="40"/>
        <w:ind w:left="0" w:firstLine="1360"/>
        <w:jc w:val="both"/>
        <w:sectPr w:rsidR="00A720C9">
          <w:footerReference w:type="default" r:id="rId12"/>
          <w:pgSz w:w="9082" w:h="13982"/>
          <w:pgMar w:top="820" w:right="959" w:bottom="1831" w:left="942" w:header="392" w:footer="1403" w:gutter="0"/>
          <w:pgNumType w:start="4"/>
          <w:cols w:space="720"/>
          <w:noEndnote/>
          <w:docGrid w:linePitch="360"/>
          <w15:footnoteColumns w:val="1"/>
        </w:sectPr>
      </w:pPr>
      <w:r>
        <w:t>[...] Сегодня 2 выпуска [Jovem, № 13] напечатаны для издательства [Verlag der Jugendintationale в Берлине, которое служило центром связей МС с национальными секциям</w:t>
      </w:r>
      <w:r>
        <w:t>и]. 2000 номеров по 10 страниц вычерчены из него вручную на «грайфовой» машине; мы работали восемь 718 дней по 11 часов в день, и это только потому, что у нас нет денег</w:t>
      </w:r>
    </w:p>
    <w:p w:rsidR="00A720C9" w:rsidRDefault="00283F14">
      <w:pPr>
        <w:pStyle w:val="11"/>
        <w:spacing w:before="520" w:after="200" w:line="221" w:lineRule="auto"/>
        <w:ind w:firstLine="0"/>
        <w:jc w:val="both"/>
      </w:pPr>
      <w:r w:rsidRPr="00E542B4">
        <w:rPr>
          <w:i/>
          <w:iCs/>
          <w:highlight w:val="yellow"/>
        </w:rPr>
        <w:lastRenderedPageBreak/>
        <w:t>Это</w:t>
      </w:r>
      <w:r w:rsidRPr="00E542B4">
        <w:rPr>
          <w:highlight w:val="yellow"/>
        </w:rPr>
        <w:t>задачи нашей партии», считает, что центральный орган не может иметь ничего, кроме фу</w:t>
      </w:r>
      <w:r w:rsidRPr="00E542B4">
        <w:rPr>
          <w:highlight w:val="yellow"/>
        </w:rPr>
        <w:t>нкции политической координации, предоставляя периферийным органам возможность редактировать свои собственные издания. Надо бы еще обобщить «систему листовок, хотя бы и напечатанных и предназначенных главным образом для большевистского анализа текущих дел т</w:t>
      </w:r>
      <w:r w:rsidRPr="00E542B4">
        <w:rPr>
          <w:highlight w:val="yellow"/>
        </w:rPr>
        <w:t xml:space="preserve">ого или иного завода». И, в соответствии с этими директивами, мы фактически увидим появление различных регулярных органов ячеек или периферийных организаций, особенно FJCP: это случай Fateixa, газеты молодых коммунистов Arsenal da Marinha, Prà Люта, орган </w:t>
      </w:r>
      <w:r w:rsidRPr="00E542B4">
        <w:rPr>
          <w:highlight w:val="yellow"/>
        </w:rPr>
        <w:t>зоны 1 ФЕКП, или Молодой пролетарий (молодые коммунисты из армейского арсенала). Кроме того, есть публикации профсоюзных групп, которыми руководит партия, таких как O Metalúrgico из Группы защиты металлургического союза или Aprendiz Vermelho, комитета учен</w:t>
      </w:r>
      <w:r w:rsidRPr="00E542B4">
        <w:rPr>
          <w:highlight w:val="yellow"/>
        </w:rPr>
        <w:t>иков Arsenal da Marinha, а также множество различных «страниц», публикуемых нерегулярно из-за инцидентов или случайных проблем. Имея часто лишь одну-две страницы, посвященные разоблачению конкретных случаев злоупотреблений со стороны работодателей, условий</w:t>
      </w:r>
      <w:r w:rsidRPr="00E542B4">
        <w:rPr>
          <w:highlight w:val="yellow"/>
        </w:rPr>
        <w:t xml:space="preserve"> труда или описанию рабочих протестов, попытка установить непосредственную связь между мельчайшими эпизодами классовой борьбы и формулировкой политические лозунги, против</w:t>
      </w:r>
      <w:bookmarkStart w:id="1" w:name="_GoBack"/>
      <w:bookmarkEnd w:id="1"/>
      <w:r>
        <w:t xml:space="preserve"> капитализма, в защиту СССР: разоблачение служит не столько целям организации и мобили</w:t>
      </w:r>
      <w:r>
        <w:t xml:space="preserve">зации с точными политическими последствиями, сколько выполняет само по себе воспитательную функцию и «возбуждение» к антикапиталистической борьбе. вызванные случайными инцидентами или проблемами. Имея часто лишь одну-две страницы, посвященные разоблачению </w:t>
      </w:r>
      <w:r>
        <w:t>конкретных случаев злоупотреблений со стороны работодателей, условий труда или описанию рабочих протестов, попытка установить непосредственную связь между мельчайшими эпизодами классовой борьбы и формулировкой политические лозунги, против капитализма, в за</w:t>
      </w:r>
      <w:r>
        <w:t>щиту СССР: разоблачение служит не столько цели организации и мобилизации с точными политическими последствиями, сколько выполняет само по себе воспитательную функцию и «возбуждение» к антикапиталистической борьбе. вызванные случайными инцидентами или пробл</w:t>
      </w:r>
      <w:r>
        <w:t>емами. Имея часто лишь одну-две страницы, посвященные разоблачению конкретных случаев злоупотреблений со стороны работодателей, условий труда или описанию рабочих протестов, попытка установить непосредственную связь между мельчайшими эпизодами классовой бо</w:t>
      </w:r>
      <w:r>
        <w:t>рьбы и формулировкой политические лозунги, против капитализма, в защиту СССР: разоблачение служит не столько цели организации и мобилизации с точными политическими последствиями, сколько выполняет само по себе воспитательную функцию и «возбуждение» к антик</w:t>
      </w:r>
      <w:r>
        <w:t>апиталистической борьбе.</w:t>
      </w:r>
    </w:p>
    <w:p w:rsidR="00A720C9" w:rsidRDefault="00283F14">
      <w:pPr>
        <w:pStyle w:val="11"/>
        <w:numPr>
          <w:ilvl w:val="0"/>
          <w:numId w:val="3"/>
        </w:numPr>
        <w:tabs>
          <w:tab w:val="left" w:pos="595"/>
        </w:tabs>
        <w:spacing w:line="221" w:lineRule="auto"/>
        <w:ind w:firstLine="340"/>
        <w:jc w:val="both"/>
      </w:pPr>
      <w:r>
        <w:t>Какова политическая перспектива, которая, с точки зрения стратегии, направляет деятельность партии?</w:t>
      </w:r>
    </w:p>
    <w:p w:rsidR="00A720C9" w:rsidRDefault="00283F14">
      <w:pPr>
        <w:pStyle w:val="11"/>
        <w:spacing w:after="340" w:line="221" w:lineRule="auto"/>
        <w:ind w:firstLine="340"/>
        <w:jc w:val="both"/>
      </w:pPr>
      <w:r>
        <w:t>Один из первых известных нам документов о FJCP, озаглавленный «Федерация коммунистической молодежи» (португальская секция Коммунист</w:t>
      </w:r>
      <w:r>
        <w:t xml:space="preserve">ического Интернационала молодежи) и который, по-видимому, представляет собой ее первую публичную презентацию как организации, отвечает на этот вопрос с меридиональной ясностью, определяя ее как авангард рабочих молодежи, который организует его «вместе и с </w:t>
      </w:r>
      <w:r>
        <w:t>теми же целями, что и Коммунистическая партия, для борьбы с буржуазией во всех ее секторах, от самых реакционных и провозглашенных фашистских и милитаристских диктатур до социалистов и анархо-синдикалистов, наших самых ярые враги и самые решительные сторон</w:t>
      </w:r>
      <w:r>
        <w:t>ники капитала». Что касается программы экономических и социальных преобразований, то речь идет о борьбе «за обобществление всех средств производства и обмена, за превращение частной собственности в собственность коллективную.</w:t>
      </w:r>
    </w:p>
    <w:p w:rsidR="00A720C9" w:rsidRDefault="00283F14">
      <w:pPr>
        <w:pStyle w:val="20"/>
        <w:spacing w:after="60"/>
        <w:ind w:left="300" w:firstLine="40"/>
        <w:jc w:val="both"/>
      </w:pPr>
      <w:r>
        <w:lastRenderedPageBreak/>
        <w:t>купить Debego или Gestetner. (</w:t>
      </w:r>
      <w:r>
        <w:t>Debego стоит здесь 120 долларов США, остальные дороже.) Но Greif также был одолжен консульством; нам пришлось отправить его обратно, и у нас нет ничего, чтобы опубликовать наши следующие материалы [...], так что остановитесь здесь; у стариков [то есть у па</w:t>
      </w:r>
      <w:r>
        <w:t>ртии, в отличие от молодежи из ФЕКП] есть гестетнер, который, однако, уже работает около 10 часов в день, и они никак не могут одолжить нам его. Не мог бы ты дать нам специальный кредит на Дебего?</w:t>
      </w:r>
    </w:p>
    <w:p w:rsidR="00A720C9" w:rsidRDefault="00283F14">
      <w:pPr>
        <w:pStyle w:val="20"/>
        <w:spacing w:after="140" w:line="214" w:lineRule="auto"/>
        <w:ind w:left="0" w:firstLine="340"/>
        <w:jc w:val="both"/>
        <w:sectPr w:rsidR="00A720C9">
          <w:footerReference w:type="default" r:id="rId13"/>
          <w:pgSz w:w="9082" w:h="13982"/>
          <w:pgMar w:top="652" w:right="944" w:bottom="2029" w:left="932" w:header="224" w:footer="3" w:gutter="0"/>
          <w:pgNumType w:start="719"/>
          <w:cols w:space="720"/>
          <w:noEndnote/>
          <w:docGrid w:linePitch="360"/>
          <w15:footnoteColumns w:val="1"/>
        </w:sectPr>
      </w:pPr>
      <w:r>
        <w:t>В другом месте письма указаны издания некоторых изданий: так, «Юности» № 10 было сделано тиражом 600 экземпляров, издания письма Интернационала было взято 850, манифеста для JIJ, 1750.</w:t>
      </w:r>
    </w:p>
    <w:p w:rsidR="00A720C9" w:rsidRDefault="00283F14">
      <w:pPr>
        <w:pStyle w:val="11"/>
        <w:spacing w:after="200" w:line="223" w:lineRule="auto"/>
        <w:ind w:left="680" w:firstLine="320"/>
        <w:jc w:val="both"/>
      </w:pPr>
      <w:r>
        <w:lastRenderedPageBreak/>
        <w:t xml:space="preserve">Любая проблематика определения преходящих целей или создания временных </w:t>
      </w:r>
      <w:r>
        <w:t xml:space="preserve">союзов с целью получения той или иной ограниченной политической выгоды в свете этого манифеста бессмысленна. Революционная политика истощается в провозглашении своих целей и в завоевании путем убеждения — чем и должна действовать агитационная деятельность </w:t>
      </w:r>
      <w:r>
        <w:t>— рабочего большинства для этих целей. В том же русле рассуждений двигаются и некоторые другие тексты, опубликованные в «Аванте!», как, например, в № 5 за июнь 1931 г. под названием «Коммунистическая партия перед общественным мнением. Терроризм и революцио</w:t>
      </w:r>
      <w:r>
        <w:t>нные действия». Начав с определения PCP, параллельно с другими разделами CI, как «партии подлинного класса», заключает, что не существует и не может быть «самого ничтожного сотрудничества с какой-либо другой политической партией, которое порождало бы вырож</w:t>
      </w:r>
      <w:r>
        <w:t>дение ее чисто классовых и революционных принципов». Отмежевавшись от конспиративной практики и выступая против организации «армии труда», партия отказывается от участия в борьбе республиканской буржуазии против диктатуры и уточняет:</w:t>
      </w:r>
    </w:p>
    <w:p w:rsidR="00A720C9" w:rsidRDefault="00283F14">
      <w:pPr>
        <w:pStyle w:val="11"/>
        <w:spacing w:after="200" w:line="223" w:lineRule="auto"/>
        <w:ind w:left="980" w:firstLine="320"/>
        <w:jc w:val="both"/>
      </w:pPr>
      <w:r>
        <w:t>Фашизм для нас не пред</w:t>
      </w:r>
      <w:r>
        <w:t xml:space="preserve">ставляет большей опасности, чем любая другая опасность, исходящая от буржуазии. Борьба с фашизмом для нас ничем не отличается от борьбы с буржуазией вообще. Если фашизм — не что иное, как дитя капитализма, борьба с последним подразумевает борьбу с первым. </w:t>
      </w:r>
      <w:r>
        <w:t>Представляет ли фашизм высшую буржуазию, реакцию? Нас это не интересует [...] Борьба с фашизмом, следовательно, есть борьба с буржуазией, реакционной или либеральной.</w:t>
      </w:r>
    </w:p>
    <w:p w:rsidR="00A720C9" w:rsidRDefault="00283F14">
      <w:pPr>
        <w:pStyle w:val="11"/>
        <w:spacing w:line="223" w:lineRule="auto"/>
        <w:ind w:left="680" w:firstLine="320"/>
        <w:jc w:val="both"/>
      </w:pPr>
      <w:r>
        <w:t>Что касается социал-демократии, то она считается в соответствии с анализами и резолюциями</w:t>
      </w:r>
      <w:r>
        <w:t xml:space="preserve"> Коммунистического Интернационала 1929–1933 годов (соответственно X и XIII пленумов его Исполнительного комитета) главным препятствием на пути развития революционного движения. Отсюда знаменитое обозначение «социал-фашизм», которое широко используется в ст</w:t>
      </w:r>
      <w:r>
        <w:t>атье в № Portugal». Эта статья идет, кроме того, гораздо дальше самых радикальных формулировок СК в дисквалификации социал-демократии и под девизом «кто не за нас, тот против нас» призывает к исключению рабочих, поддерживающих социал-демократию рабочих орг</w:t>
      </w:r>
      <w:r>
        <w:t>анизаций ("срочно выгнать их из ваших организаций").</w:t>
      </w:r>
      <w:r>
        <w:softHyphen/>
      </w:r>
    </w:p>
    <w:p w:rsidR="00A720C9" w:rsidRDefault="00283F14">
      <w:pPr>
        <w:pStyle w:val="11"/>
        <w:spacing w:line="221" w:lineRule="auto"/>
        <w:ind w:left="680" w:firstLine="320"/>
        <w:jc w:val="both"/>
      </w:pPr>
      <w:r>
        <w:t>Однако в анализе Интернационала различие между социал-демократическим низом и социал-демократической верхушкой является постоянным и существенным, хотя на известном этапе понятие или низшие лидеры парти</w:t>
      </w:r>
      <w:r>
        <w:t>й и профсоюзов сами реформисты включаются в концепцию фашизации социал-демократии. В любом случае, концепция Коминтерна в этот период оставалась концепцией реализации «единого рабочего фронта», которая должна осуществляться через привлечение социалистическ</w:t>
      </w:r>
      <w:r>
        <w:t>их рабочих к революционной точке зрения, отрывая их от их «единого фронта». социал-фашистских «лидеров».</w:t>
      </w:r>
      <w:r>
        <w:softHyphen/>
      </w:r>
    </w:p>
    <w:p w:rsidR="00A720C9" w:rsidRDefault="00283F14">
      <w:pPr>
        <w:pStyle w:val="11"/>
        <w:spacing w:after="200" w:line="221" w:lineRule="auto"/>
        <w:ind w:firstLine="1000"/>
        <w:jc w:val="both"/>
        <w:sectPr w:rsidR="00A720C9">
          <w:footerReference w:type="default" r:id="rId14"/>
          <w:pgSz w:w="9082" w:h="13982"/>
          <w:pgMar w:top="652" w:right="944" w:bottom="2029" w:left="932" w:header="224" w:footer="1601" w:gutter="0"/>
          <w:pgNumType w:start="6"/>
          <w:cols w:space="720"/>
          <w:noEndnote/>
          <w:docGrid w:linePitch="360"/>
          <w15:footnoteColumns w:val="1"/>
        </w:sectPr>
      </w:pPr>
      <w:r>
        <w:t>Мы находим пример этой проблемы в Португалии в дискуссиях, которые произошли вокруг раскола в Liga da Mocidade Socialist</w:t>
      </w:r>
      <w:r>
        <w:t>a, что привело к публикации в № 720 «Лучше поздно, чем никогда» под названием «Восстание членов Социалистической лиги молодежи». против их</w:t>
      </w:r>
    </w:p>
    <w:p w:rsidR="00A720C9" w:rsidRDefault="00283F14">
      <w:pPr>
        <w:pStyle w:val="11"/>
        <w:spacing w:after="220" w:line="223" w:lineRule="auto"/>
        <w:ind w:firstLine="0"/>
        <w:jc w:val="both"/>
      </w:pPr>
      <w:r>
        <w:lastRenderedPageBreak/>
        <w:t>реформистские лидеры». Эта тема анализировалась также на заседаниях партийного и молодежного секретариатов в период с</w:t>
      </w:r>
      <w:r>
        <w:t xml:space="preserve"> декабря 1931 по январь 1932 г. «Аванте!» в Германии, а теперь и в Испании» как отражение эволюции объективных условий, толкающих трудящиеся массы к коммунизму. . Поскольку социалистические организации существуют «исключительно по решению их лидеров», стат</w:t>
      </w:r>
      <w:r>
        <w:t>ья завершается призывом к членам ЛМС довести свое противостояние руководящим органам до последних последствий и «прийти к коммунизму».</w:t>
      </w:r>
    </w:p>
    <w:p w:rsidR="00A720C9" w:rsidRDefault="00283F14">
      <w:pPr>
        <w:pStyle w:val="11"/>
        <w:numPr>
          <w:ilvl w:val="0"/>
          <w:numId w:val="3"/>
        </w:numPr>
        <w:tabs>
          <w:tab w:val="left" w:pos="595"/>
        </w:tabs>
        <w:spacing w:line="223" w:lineRule="auto"/>
        <w:jc w:val="both"/>
      </w:pPr>
      <w:r>
        <w:t>Эти политические ориентиры, выраженные в некоторых текстах португальской коммунистической прессы в 1931 г., представляютс</w:t>
      </w:r>
      <w:r>
        <w:t>я (и, с буквальной точки зрения, являются) португальским переводом стратегии «класс против класса», которая между VI (1928 г.) и VII (1935) Конгрессы ИК вершили судьбы международного коммунистического движения.</w:t>
      </w:r>
    </w:p>
    <w:p w:rsidR="00A720C9" w:rsidRDefault="00283F14">
      <w:pPr>
        <w:pStyle w:val="11"/>
        <w:spacing w:line="223" w:lineRule="auto"/>
        <w:jc w:val="both"/>
      </w:pPr>
      <w:r>
        <w:t>Анализ и критика этого периода в истории КИ в</w:t>
      </w:r>
      <w:r>
        <w:t xml:space="preserve"> настоящее время широко проводится через историографию самых разных политических вдохновений.</w:t>
      </w:r>
      <w:r>
        <w:softHyphen/>
      </w:r>
      <w:r>
        <w:rPr>
          <w:vertAlign w:val="superscript"/>
        </w:rPr>
        <w:footnoteReference w:id="16"/>
      </w:r>
      <w:r>
        <w:t>. Такая стратегия основывалась на конкретном анализе мирового экономического кризиса и на гипотезе о его последствиях, которые видели в перспективе поляризацию б</w:t>
      </w:r>
      <w:r>
        <w:t>уржуазных обществ между меньшинством, вынужденным прибегать к нарастающим формам применения насилия для сохранения своей власти (фашизм) и пролетарское или пролетарское большинство неизбежно подталкивалось к коммунизму.</w:t>
      </w:r>
    </w:p>
    <w:p w:rsidR="00A720C9" w:rsidRDefault="00283F14">
      <w:pPr>
        <w:pStyle w:val="11"/>
        <w:spacing w:line="223" w:lineRule="auto"/>
        <w:jc w:val="both"/>
      </w:pPr>
      <w:r>
        <w:t>Если в обществе, подобном немецкому,</w:t>
      </w:r>
      <w:r>
        <w:t xml:space="preserve"> где такое мышление имело привилегированное место замысла и применения, то провал такой стратегии был главным образом связан с тем, что она исходила из ложного предположения о возможностях непосредственного «перевода» экономическая - на политическом уровне</w:t>
      </w:r>
      <w:r>
        <w:t xml:space="preserve"> (то есть тот факт, что большинство немецкого рабочего класса оставалось организованным в социал-демократическую партию и профсоюзы), в Португалии, где влияние социал-демократии в рабочем классе было очень ограниченным , проблема ставится иначе. Она заключ</w:t>
      </w:r>
      <w:r>
        <w:t>ается, прежде всего, в том, что промышленный пролетариат составляет меньшую часть населения и гораздо более разнороден по своему материальному составу.</w:t>
      </w:r>
    </w:p>
    <w:p w:rsidR="00A720C9" w:rsidRDefault="00283F14">
      <w:pPr>
        <w:pStyle w:val="11"/>
        <w:spacing w:line="223" w:lineRule="auto"/>
        <w:jc w:val="both"/>
        <w:sectPr w:rsidR="00A720C9">
          <w:footerReference w:type="default" r:id="rId15"/>
          <w:pgSz w:w="9082" w:h="13982"/>
          <w:pgMar w:top="1020" w:right="914" w:bottom="1626" w:left="962" w:header="592" w:footer="3" w:gutter="0"/>
          <w:pgNumType w:start="721"/>
          <w:cols w:space="720"/>
          <w:noEndnote/>
          <w:docGrid w:linePitch="360"/>
          <w15:footnoteColumns w:val="1"/>
        </w:sectPr>
      </w:pPr>
      <w:r>
        <w:t>В связи с этим интересно отметить, что если п</w:t>
      </w:r>
      <w:r>
        <w:t>артийные декларации и манифесты настаивают на пролетарском характере разрабатываемого ею выступления и настойчиво повторяют лозунг «класс против класса», то в действительности имеет место постоянное смешение между борьбой рабочих и движения различных мелко</w:t>
      </w:r>
      <w:r>
        <w:t>буржуазных слоев. Агитация 1 мая 1931 года непонятна, если мы изолируем ее от преобладавшей в то время политической обстановки, характеризуемой, в частности, последствиями восстания на Мадейре, а также забастовками и студенческой борьбой, которые за нескол</w:t>
      </w:r>
      <w:r>
        <w:t>ько дней до этого имели место. взбудоражил университеты Лиссабона и Порту и несколько средних школ Лиссабона.</w:t>
      </w:r>
      <w:r>
        <w:softHyphen/>
      </w:r>
      <w:r>
        <w:rPr>
          <w:vertAlign w:val="superscript"/>
        </w:rPr>
        <w:footnoteReference w:id="17"/>
      </w:r>
      <w:r>
        <w:t>. Именно по вопросу о студенческих волнениях,</w:t>
      </w:r>
    </w:p>
    <w:p w:rsidR="00A720C9" w:rsidRDefault="00283F14">
      <w:pPr>
        <w:pStyle w:val="11"/>
        <w:spacing w:line="223" w:lineRule="auto"/>
        <w:ind w:firstLine="0"/>
        <w:jc w:val="both"/>
      </w:pPr>
      <w:r>
        <w:lastRenderedPageBreak/>
        <w:t>В переписке FJCP с МС, приложенной к письму «Рене» в Париж от 20 декабря 1930 г., можно найти интер</w:t>
      </w:r>
      <w:r>
        <w:t>есный «Rapport sur la grève dans l'Ecole Commerciale Ferreira Borges». Инциденты, описанные в этом отчете, изначально не имели большого значения, поскольку отправной точкой был учитель французского языка «qui a 1'habitude de traiter les jeunes d'une manièr</w:t>
      </w:r>
      <w:r>
        <w:t>e très Grossière». Интересно описание того, как конфликт быстро перерастает в проведение митингов в школьном саду, разгоняемых ННР, согласно отчету «ò coups de carabines». Забастовка продолжается 4 дня, стачком возглавляют молодые коммунисты;</w:t>
      </w:r>
    </w:p>
    <w:p w:rsidR="00A720C9" w:rsidRDefault="00283F14">
      <w:pPr>
        <w:pStyle w:val="11"/>
        <w:spacing w:after="220" w:line="223" w:lineRule="auto"/>
        <w:ind w:left="680" w:firstLine="320"/>
        <w:jc w:val="both"/>
      </w:pPr>
      <w:r>
        <w:t>Согласно этом</w:t>
      </w:r>
      <w:r>
        <w:t xml:space="preserve">у отчету, организация FJCP еще не была в состоянии полностью взять на себя руководство событиями, а именно в смысле распространения забастовки на другие школы, но движение было поводом для начала всеобщей внедрение в студенческую среду и координацию между </w:t>
      </w:r>
      <w:r>
        <w:t>различными ячейками. И заканчивается отчет такими выводами:</w:t>
      </w:r>
    </w:p>
    <w:p w:rsidR="00A720C9" w:rsidRDefault="00283F14">
      <w:pPr>
        <w:pStyle w:val="11"/>
        <w:spacing w:after="220" w:line="221" w:lineRule="auto"/>
        <w:ind w:left="980" w:firstLine="320"/>
        <w:jc w:val="both"/>
      </w:pPr>
      <w:r>
        <w:t>При этом почти во всех школах, не только производственных (рабочая молодежь), но и коммерческих, посещаемых прежде всего детьми мелкой буржуазии, можно отметить известную радикализацию, которая вы</w:t>
      </w:r>
      <w:r>
        <w:t>ражается: ненависть к диктатуре Кармоны, радикальный республиканизм, симпатии к СССР и рабочему движению, интерес к марксизму-ленинизму и т.д. Именно среди этой молодежи начинают работать «Друзья СССР», организованные теперь нашей Федерацией.</w:t>
      </w:r>
      <w:r>
        <w:softHyphen/>
      </w:r>
    </w:p>
    <w:p w:rsidR="00A720C9" w:rsidRDefault="00283F14">
      <w:pPr>
        <w:pStyle w:val="11"/>
        <w:spacing w:after="380" w:line="221" w:lineRule="auto"/>
        <w:ind w:left="680" w:firstLine="320"/>
        <w:jc w:val="both"/>
      </w:pPr>
      <w:r>
        <w:t>Еще из письм</w:t>
      </w:r>
      <w:r>
        <w:t>а FJCP в МС в Париже, подписанного «Рене» и датированного 11 января 1931 года, мы знаем об инициативе школьного комитета FJCP по созданию Единой федерации студентов в Лиссабоне. , основанная на правовых основах и стремящаяся охватить «все промышленные, выс</w:t>
      </w:r>
      <w:r>
        <w:t>шие учебные заведения, коммерческие, университетские и</w:t>
      </w:r>
      <w:r>
        <w:softHyphen/>
      </w:r>
    </w:p>
    <w:p w:rsidR="00A720C9" w:rsidRDefault="00283F14">
      <w:pPr>
        <w:pStyle w:val="20"/>
        <w:spacing w:after="0" w:line="202" w:lineRule="auto"/>
        <w:ind w:left="680" w:firstLine="20"/>
        <w:jc w:val="both"/>
      </w:pPr>
      <w:r>
        <w:t>На следующий день появляется ГНР верхом, чтобы обеспечить вход штрейкбрехеров. Изнутри школы, после поднятия красного флага, «подрывные крики долой диктатуру и ура социальной революции и Советской Рос</w:t>
      </w:r>
      <w:r>
        <w:t>сии». В этот момент полиция потребовала, чтобы директор факультета Эгаш Мониш приказал открыть ворота и, учитывая его отказ, «вошел в здание, раздав несколько досок».</w:t>
      </w:r>
    </w:p>
    <w:p w:rsidR="00A720C9" w:rsidRDefault="00283F14">
      <w:pPr>
        <w:pStyle w:val="20"/>
        <w:spacing w:after="0" w:line="202" w:lineRule="auto"/>
        <w:ind w:left="680" w:firstLine="320"/>
        <w:jc w:val="both"/>
      </w:pPr>
      <w:r>
        <w:t>В последующие дни забастовка распространилась на большинство факультетов и несколько сред</w:t>
      </w:r>
      <w:r>
        <w:t>них школ Лиссабона, а также на Университет Порту. Красный флаг также поднят здесь, в Instituto Superior de Comércio. Вмешательство полиции привело к падению балкона, в результате чего несколько человек получили ранения и один студент погиб.</w:t>
      </w:r>
    </w:p>
    <w:p w:rsidR="00A720C9" w:rsidRDefault="00283F14">
      <w:pPr>
        <w:pStyle w:val="20"/>
        <w:spacing w:after="220" w:line="202" w:lineRule="auto"/>
        <w:ind w:left="0" w:firstLine="1000"/>
        <w:jc w:val="both"/>
        <w:sectPr w:rsidR="00A720C9">
          <w:footerReference w:type="default" r:id="rId16"/>
          <w:pgSz w:w="9082" w:h="13982"/>
          <w:pgMar w:top="1020" w:right="914" w:bottom="1626" w:left="962" w:header="592" w:footer="1198" w:gutter="0"/>
          <w:pgNumType w:start="8"/>
          <w:cols w:space="720"/>
          <w:noEndnote/>
          <w:docGrid w:linePitch="360"/>
          <w15:footnoteColumns w:val="1"/>
        </w:sectPr>
      </w:pPr>
      <w:r>
        <w:t>Diário de Notícias также публикует 3 мая с указанием, что Министерство образования направило его в печать, манифест, подписанный «Академической фракцией ПК и JCP и Союзом академических ядер, сочувствующих коммунизму и Союз Советский», о подлинности которых</w:t>
      </w:r>
      <w:r>
        <w:t xml:space="preserve"> надо сделать оговорку, так как других указаний на существование такой «Фракции» или таких «Ядер» у нас нет. Он развивает яростную критику республиканских студентов и завершается призывом к созданию «Союза Республик Иберийских Советов». Попутно констатируе</w:t>
      </w:r>
      <w:r>
        <w:t>тся, что «в настоящее время в Академии 722 мы являемся единственной организованной силой».</w:t>
      </w:r>
    </w:p>
    <w:p w:rsidR="00A720C9" w:rsidRDefault="00283F14">
      <w:pPr>
        <w:pStyle w:val="11"/>
        <w:spacing w:line="221" w:lineRule="auto"/>
        <w:ind w:firstLine="0"/>
        <w:jc w:val="both"/>
      </w:pPr>
      <w:r>
        <w:lastRenderedPageBreak/>
        <w:t>ции», но мы не знаем, имела ли такая инициатива какое-либо практическое воплощение».</w:t>
      </w:r>
      <w:r>
        <w:softHyphen/>
      </w:r>
    </w:p>
    <w:p w:rsidR="00A720C9" w:rsidRDefault="00283F14">
      <w:pPr>
        <w:pStyle w:val="11"/>
        <w:spacing w:line="221" w:lineRule="auto"/>
        <w:jc w:val="both"/>
      </w:pPr>
      <w:r>
        <w:t>В «Двух словах» Бенту Гонсалвеш в короткой главе расскажет об изменениях, проис</w:t>
      </w:r>
      <w:r>
        <w:t>ходящих в студенческой среде в этот период, связав их с процессом реорганизации партии: «Желание свергнуть диктатуру, ясно выраженное большинством португальцев людей, а вопрос о «ревиральо» в повестке дня перетащил студентов в новую группировку», — пишет о</w:t>
      </w:r>
      <w:r>
        <w:t>н, цитируя газеты «Убердаде» и «Игуальдаде» как симптом новых тенденций, которые были выражены среди студентов.</w:t>
      </w:r>
      <w:r>
        <w:rPr>
          <w:vertAlign w:val="superscript"/>
        </w:rPr>
        <w:footnoteReference w:id="18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9"/>
      </w:r>
      <w:r>
        <w:t xml:space="preserve">. Мы знаем, что по крайней мере один из членов партийного секретариата между 1930 и 1932 годами, Мануэль Альпедринья, был связан с основанием </w:t>
      </w:r>
      <w:r>
        <w:t>в 1927 году Убердаде.</w:t>
      </w:r>
      <w:r>
        <w:softHyphen/>
      </w:r>
    </w:p>
    <w:p w:rsidR="00A720C9" w:rsidRDefault="00283F14">
      <w:pPr>
        <w:pStyle w:val="11"/>
        <w:spacing w:line="221" w:lineRule="auto"/>
        <w:jc w:val="both"/>
      </w:pPr>
      <w:r>
        <w:t>Расширение влияния и организации коммунистической партии, таким образом, предстает как неотъемлемая часть более широкого и идеологически весьма разнородного процесса, существенным компонентом которого является радикализация мелкой бу</w:t>
      </w:r>
      <w:r>
        <w:t>ржуазии. Вывод приведенного выше доклада является в этом отношении лапидарным: радикальный республиканизм уживается с симпатией к СССР и ненавистью к диктатуре Кармоны — это шаг на пути к рабочему движению и марксизму-ленинизму.</w:t>
      </w:r>
      <w:r>
        <w:rPr>
          <w:vertAlign w:val="superscript"/>
        </w:rPr>
        <w:footnoteReference w:id="20"/>
      </w:r>
      <w:r>
        <w:t>.</w:t>
      </w:r>
    </w:p>
    <w:p w:rsidR="00A720C9" w:rsidRDefault="00283F14">
      <w:pPr>
        <w:pStyle w:val="11"/>
        <w:spacing w:after="200" w:line="221" w:lineRule="auto"/>
        <w:jc w:val="both"/>
        <w:sectPr w:rsidR="00A720C9">
          <w:footerReference w:type="default" r:id="rId17"/>
          <w:pgSz w:w="9082" w:h="13982"/>
          <w:pgMar w:top="1042" w:right="919" w:bottom="1605" w:left="967" w:header="614" w:footer="3" w:gutter="0"/>
          <w:pgNumType w:start="723"/>
          <w:cols w:space="720"/>
          <w:noEndnote/>
          <w:docGrid w:linePitch="360"/>
          <w15:footnoteColumns w:val="1"/>
        </w:sectPr>
      </w:pPr>
      <w:r>
        <w:t>Другой аспект этого включения партии в процесс радикализации интеллектуальной мелкой буржуазии заключается в создании ядра интеллектуальных рабочих или ядра сочувствующих интеллектуалов, к которому, сре</w:t>
      </w:r>
      <w:r>
        <w:t>ди прочих, принадлежали Бенту Хесус Караса и Хосе Родригес Мигеис.</w:t>
      </w:r>
      <w:r>
        <w:softHyphen/>
      </w:r>
      <w:r>
        <w:rPr>
          <w:vertAlign w:val="superscript"/>
        </w:rPr>
        <w:footnoteReference w:id="21"/>
      </w:r>
      <w:r>
        <w:t>. Интересно, что Мануэль Рибейро на этом этапе, уже после своего обращения в католицизм, также вступил в контакт с партией, чтобы присоединиться к Núcleo.</w:t>
      </w:r>
      <w:r>
        <w:rPr>
          <w:vertAlign w:val="superscript"/>
        </w:rPr>
        <w:footnoteReference w:id="22"/>
      </w:r>
      <w:r>
        <w:t>. Более того, имелось намерение л</w:t>
      </w:r>
      <w:r>
        <w:t>егализовать эту инициативу и, согласно протоколу заседания НТИ от 10 декабря</w:t>
      </w:r>
    </w:p>
    <w:p w:rsidR="00A720C9" w:rsidRDefault="00283F14">
      <w:pPr>
        <w:pStyle w:val="11"/>
        <w:spacing w:after="200" w:line="221" w:lineRule="auto"/>
        <w:ind w:firstLine="0"/>
        <w:jc w:val="both"/>
      </w:pPr>
      <w:r>
        <w:lastRenderedPageBreak/>
        <w:t>В 1931 году гражданское правительство Лиссабона получило проект устава гильдии интеллектуальных работников.</w:t>
      </w:r>
    </w:p>
    <w:p w:rsidR="00A720C9" w:rsidRDefault="00283F14">
      <w:pPr>
        <w:pStyle w:val="11"/>
        <w:numPr>
          <w:ilvl w:val="0"/>
          <w:numId w:val="3"/>
        </w:numPr>
        <w:tabs>
          <w:tab w:val="left" w:pos="1275"/>
        </w:tabs>
        <w:spacing w:line="221" w:lineRule="auto"/>
        <w:ind w:left="680"/>
        <w:jc w:val="both"/>
      </w:pPr>
      <w:r>
        <w:rPr>
          <w:i/>
          <w:iCs/>
        </w:rPr>
        <w:t>«Chassez le naturel, il revient au galop».</w:t>
      </w:r>
      <w:r>
        <w:t>История отношений ПКП с мелко</w:t>
      </w:r>
      <w:r>
        <w:t>й буржуазией и различные разновидности мелкобуржуазной идеологии, поведения и менталитета в их политическом выражении представляются в этом 1931 году живой и полной иллюстрацией знаменитой максимы.</w:t>
      </w:r>
    </w:p>
    <w:p w:rsidR="00A720C9" w:rsidRDefault="00283F14">
      <w:pPr>
        <w:pStyle w:val="11"/>
        <w:spacing w:line="221" w:lineRule="auto"/>
        <w:ind w:left="680"/>
        <w:jc w:val="both"/>
      </w:pPr>
      <w:r>
        <w:t>Мы уже имели случай упомянуть, как в своем программном опр</w:t>
      </w:r>
      <w:r>
        <w:t>еделении партия отказывается от всяких контактов с слоями республиканской буржуазии и настаивает на том, что ее революционно-классовые цели могут быть осуществлены только в полной самостоятельности действий, несовместимой ни с какими соглашениями и обязате</w:t>
      </w:r>
      <w:r>
        <w:t>льств с другими политическими силами. Более того, республиканская буржуазия и фашистская реакция рассматриваются как равноправные враги, отличающиеся лишь методами борьбы с пролетарским движением, победа которого обеспечена, поскольку она вписана в самые з</w:t>
      </w:r>
      <w:r>
        <w:t xml:space="preserve">аконы развития капиталистического кризиса, движения, которое будет продолжаться, таким образом, «даже в среде наиболее концентрированного фашизма». С другой стороны, Опыт рабочего движения времен Первой республики показал, как поддержка народа и участие в </w:t>
      </w:r>
      <w:r>
        <w:t>различных восстаниях всегда в конце концов оборачивались обманом или предательством требований рабочих. В «Двух словах» Бенту Гонсалвеш справедливо отмечает отделение от путчистской традиции как одно из достоинств реорганизации 1929 г. и одно из историческ</w:t>
      </w:r>
      <w:r>
        <w:t>их достижений партии для португальского рабочего движения, критикуя только тот факт, что оно не было полностью достигнуто, т.е. .</w:t>
      </w:r>
      <w:r>
        <w:softHyphen/>
      </w:r>
      <w:r>
        <w:softHyphen/>
      </w:r>
      <w:r>
        <w:softHyphen/>
      </w:r>
    </w:p>
    <w:p w:rsidR="00A720C9" w:rsidRDefault="00283F14">
      <w:pPr>
        <w:pStyle w:val="11"/>
        <w:spacing w:line="221" w:lineRule="auto"/>
        <w:ind w:left="680"/>
        <w:jc w:val="both"/>
      </w:pPr>
      <w:r>
        <w:t>Однако в реальности своего поведения партия не может абстрагироваться от среды, в которой она действует и из которой черпае</w:t>
      </w:r>
      <w:r>
        <w:t>т силы и сторонников: среды, характеризующейся недовольством и бунтом самых разных слоев населения, в контексте радикализации мелкой буржуазии, в которой коммунизм и образ СССР предстают как крайнее и особенно последовательное отношение, но в конечном счет</w:t>
      </w:r>
      <w:r>
        <w:t>е дополняющее, в общих рамках ненависти к диктатуре.</w:t>
      </w:r>
      <w:r>
        <w:softHyphen/>
      </w:r>
    </w:p>
    <w:p w:rsidR="00A720C9" w:rsidRDefault="00283F14">
      <w:pPr>
        <w:pStyle w:val="11"/>
        <w:spacing w:after="200" w:line="221" w:lineRule="auto"/>
        <w:ind w:left="680"/>
        <w:jc w:val="both"/>
      </w:pPr>
      <w:r>
        <w:t>Вопрос о взаимоотношениях с «бунтовским» антифашизмом должен был быть поставлен перед партией весьма конкретно в связи с подготовкой переворота 26 августа 1931 г. Вопрос был проанализирован на заседании</w:t>
      </w:r>
      <w:r>
        <w:t xml:space="preserve"> партийного секретариата. 24 августа, в котором «проводится общее рассмотрение отношения некоторых членов к участию в буржуазном заговоре». «Рауль Маркес» предлагает, и, по-видимому, принимается, направить письмо в Лиссабонский региональный комитет партии,</w:t>
      </w:r>
      <w:r>
        <w:t xml:space="preserve"> «напоминая ему, что следует избегать участия членских организаций в этом заговоре». Таким образом, решение, по-видимому, состоит в том, чтобы, если верить протоколу и в соответствии с доктринальными принципами партии, отказаться от любого участия в восста</w:t>
      </w:r>
      <w:r>
        <w:t>нии. Интересно, однако, отметить, что на самом заседании Секретариата высказывались более тонкие мнения:</w:t>
      </w:r>
      <w:r>
        <w:softHyphen/>
      </w:r>
    </w:p>
    <w:p w:rsidR="00A720C9" w:rsidRDefault="00283F14">
      <w:pPr>
        <w:pStyle w:val="11"/>
        <w:spacing w:after="200" w:line="226" w:lineRule="auto"/>
        <w:ind w:left="960"/>
        <w:jc w:val="both"/>
      </w:pPr>
      <w:r>
        <w:t xml:space="preserve">«Аурелио» говорит, что массы бросаются в бой в очередной буржуазной революции. То же самое делает и «Жозе Бейран». Что было бы удобно, так это </w:t>
      </w:r>
      <w:r>
        <w:t>организовать массы, чтобы направить революцию в интересах самих масс.</w:t>
      </w:r>
      <w:r>
        <w:softHyphen/>
      </w:r>
    </w:p>
    <w:p w:rsidR="00A720C9" w:rsidRDefault="00283F14">
      <w:pPr>
        <w:pStyle w:val="20"/>
        <w:spacing w:after="200" w:line="240" w:lineRule="auto"/>
        <w:ind w:left="0" w:firstLine="500"/>
        <w:jc w:val="both"/>
        <w:sectPr w:rsidR="00A720C9">
          <w:footerReference w:type="default" r:id="rId18"/>
          <w:pgSz w:w="9082" w:h="13982"/>
          <w:pgMar w:top="1042" w:right="919" w:bottom="1605" w:left="967" w:header="614" w:footer="1177" w:gutter="0"/>
          <w:pgNumType w:start="10"/>
          <w:cols w:space="720"/>
          <w:noEndnote/>
          <w:docGrid w:linePitch="360"/>
          <w15:footnoteColumns w:val="1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25829378" behindDoc="0" locked="0" layoutInCell="1" allowOverlap="1">
                <wp:simplePos x="0" y="0"/>
                <wp:positionH relativeFrom="page">
                  <wp:posOffset>601980</wp:posOffset>
                </wp:positionH>
                <wp:positionV relativeFrom="paragraph">
                  <wp:posOffset>12700</wp:posOffset>
                </wp:positionV>
                <wp:extent cx="222250" cy="143510"/>
                <wp:effectExtent l="0" t="0" r="0" b="0"/>
                <wp:wrapSquare wrapText="bothSides"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1435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720C9" w:rsidRDefault="00283F14">
                            <w:pPr>
                              <w:pStyle w:val="20"/>
                              <w:spacing w:after="0" w:line="240" w:lineRule="auto"/>
                              <w:ind w:left="0" w:firstLine="0"/>
                            </w:pPr>
                            <w:r>
                              <w:rPr>
                                <w:i/>
                                <w:iCs/>
                              </w:rPr>
                              <w:t>724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47.399999999999999pt;margin-top:1.pt;width:17.5pt;height:11.300000000000001pt;z-index:-125829375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pt-PT" w:eastAsia="pt-PT" w:bidi="pt-PT"/>
                        </w:rPr>
                        <w:t>724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i/>
          <w:iCs/>
          <w:vertAlign w:val="superscript"/>
        </w:rPr>
        <w:t>М</w:t>
      </w:r>
      <w:r>
        <w:rPr>
          <w:i/>
          <w:iCs/>
        </w:rPr>
        <w:t>Соч. цитировать,</w:t>
      </w:r>
      <w:r>
        <w:t>стр. 133-140 и 146-149</w:t>
      </w:r>
    </w:p>
    <w:p w:rsidR="00A720C9" w:rsidRDefault="00283F14">
      <w:pPr>
        <w:pStyle w:val="11"/>
        <w:spacing w:before="540" w:line="221" w:lineRule="auto"/>
        <w:ind w:left="680" w:firstLine="320"/>
        <w:jc w:val="both"/>
      </w:pPr>
      <w:r>
        <w:lastRenderedPageBreak/>
        <w:t>С другой стороны, «Рене» упоминает о существовании группы, связанной с заговором, «которая утверждает, что д</w:t>
      </w:r>
      <w:r>
        <w:t>ействует от имени ISV» (то есть Красного Синдикал Интернационала, Интернационала профсоюзов с коммунистическим уклоном). .</w:t>
      </w:r>
      <w:r>
        <w:softHyphen/>
      </w:r>
    </w:p>
    <w:p w:rsidR="00A720C9" w:rsidRDefault="00283F14">
      <w:pPr>
        <w:pStyle w:val="11"/>
        <w:spacing w:after="320" w:line="221" w:lineRule="auto"/>
        <w:ind w:left="680" w:firstLine="320"/>
        <w:jc w:val="both"/>
      </w:pPr>
      <w:r>
        <w:t>Рекомендация, предложенная Хосе де Соузой, не будет иметь большого практического действия, иначе письмо в Обком не пришло вовремя, п</w:t>
      </w:r>
      <w:r>
        <w:t>отому что восстание вспыхнуло утром 26 августа. В ночь с 25-го на 26-е дома был арестован секретарь обкома Лиссабона, а вместе с ним было изъято все дело партийной организации в регионе, что впоследствии сделало возможным одно из первых крупных наступлений</w:t>
      </w:r>
      <w:r>
        <w:t>. полицейских репрессий; в ту же ночь арестовывают еще около десятка боевиков. В письме «Рене» к «Жюлю» от 6 сентября 1931 г. также имеется прямое указание на арест уже во время подавления восстания «около пятидесяти [партийных] сочувствующих, пытавшихся п</w:t>
      </w:r>
      <w:r>
        <w:t>рисоединиться к военному перевороту». ». Все заключенные, как республиканцы, так и коммунисты, были депортированы на Тимор.</w:t>
      </w:r>
    </w:p>
    <w:p w:rsidR="00A720C9" w:rsidRDefault="00283F14">
      <w:pPr>
        <w:pStyle w:val="20"/>
        <w:numPr>
          <w:ilvl w:val="0"/>
          <w:numId w:val="4"/>
        </w:numPr>
        <w:tabs>
          <w:tab w:val="left" w:pos="1238"/>
        </w:tabs>
        <w:spacing w:after="0"/>
        <w:ind w:left="680" w:firstLine="320"/>
        <w:jc w:val="both"/>
      </w:pPr>
      <w:r>
        <w:t>Некоторые интересные факты о личности Антонио Бандейры Кабриты можно найти в книге Грасио Рибейро Депортадос, изд. автора, 1972, в о</w:t>
      </w:r>
      <w:r>
        <w:t>сновном на стр. 244-245.</w:t>
      </w:r>
    </w:p>
    <w:p w:rsidR="00A720C9" w:rsidRDefault="00283F14">
      <w:pPr>
        <w:pStyle w:val="20"/>
        <w:numPr>
          <w:ilvl w:val="0"/>
          <w:numId w:val="4"/>
        </w:numPr>
        <w:tabs>
          <w:tab w:val="left" w:pos="1238"/>
        </w:tabs>
        <w:spacing w:after="0"/>
        <w:ind w:left="680" w:firstLine="320"/>
        <w:jc w:val="both"/>
      </w:pPr>
      <w:r>
        <w:t xml:space="preserve">В неопубликованной рукописи политических воспоминаний, написанной в 1945 году, коммунист Мануэль душ Сантуш также рассказывает о своем участии в этом движении и упоминает, как в лиссабонской тюрьме, где заключенные концентрируются </w:t>
      </w:r>
      <w:r>
        <w:t>перед депортацией, в массовом порядке поется «Интернасьонал» — что это еще один показатель большого участия рабочих активистов в восстании.</w:t>
      </w:r>
    </w:p>
    <w:p w:rsidR="00A720C9" w:rsidRDefault="00283F14">
      <w:pPr>
        <w:pStyle w:val="20"/>
        <w:spacing w:after="60"/>
        <w:ind w:left="680" w:firstLine="320"/>
        <w:jc w:val="both"/>
      </w:pPr>
      <w:r>
        <w:t>Сама жизнь Мануэля душ Сантуша, описанная в этой интересной рукописи, является примером того типа менталитета и прак</w:t>
      </w:r>
      <w:r>
        <w:t>тик, которые были широко распространены среди молодых коммунистов в то время (и организации молодежи, как это произошло в то время в других странах). партий, таких как, например, французская, имеет такое же значение и укоренение, по крайней мере, в Лиссабо</w:t>
      </w:r>
      <w:r>
        <w:t>не, как и «взрослая» партия), еще раз подчеркивая преемственность между радикальным активизмом и переходом к коммунизму. Житель Алькантары — одного из популярных районов с наибольшим присутствием коммунистов — оставшийся без отца с двухлетнего возраста, сы</w:t>
      </w:r>
      <w:r>
        <w:t>н бывшей швеи и имеющий отчимом полицейского, Мануэль душ Сантуш переживает свой первый эпизод политической борьбы в 13 лет, в уличных боях революции 7 февраля 1927 года, в которых отчим принимал участие среди повстанческих отрядов. В возрасте 15 лет, буду</w:t>
      </w:r>
      <w:r>
        <w:t>чи учеником столяра, он соприкоснулся с политическими дискуссиями в мастерской и стал усердно посещать торжества и демонстрации, которые по разным причинам имели место. На похоронах Магальяйна Лимы, Великого Магистра масонства, он принимает «крещение кровь</w:t>
      </w:r>
      <w:r>
        <w:t>ю». «Вскоре он был очень известен в республиканских центрах, в студенческих объединениях и во многих местах, где складывалась заметная атмосфера, невосприимчивая к диктатуре», — пишет он. Далее идет участие или инициатива многократных уличных демонстраций,</w:t>
      </w:r>
      <w:r>
        <w:t xml:space="preserve"> в основном направленных против национал-юнионистов, участие в республиканских митингах, где более радикальные крики «Да здравствует Красная Россия» и «Да здравствует коммунизм», или еще в националистических сессиях спровоцировать беспорядок. На одной из д</w:t>
      </w:r>
      <w:r>
        <w:t>емонстраций 5 окт.</w:t>
      </w:r>
      <w:r>
        <w:softHyphen/>
      </w:r>
      <w:r>
        <w:softHyphen/>
      </w:r>
    </w:p>
    <w:p w:rsidR="00A720C9" w:rsidRDefault="00283F14">
      <w:pPr>
        <w:pStyle w:val="20"/>
        <w:spacing w:after="60" w:line="194" w:lineRule="auto"/>
        <w:ind w:left="1000" w:firstLine="340"/>
        <w:jc w:val="both"/>
      </w:pPr>
      <w:r>
        <w:t>■[...] огромная толпа, лихорадочная, сплоченная, окружившая красный, пылающий флаг, кричащая жителям Лиссабона, рабочим, о своей новой борьбе. Это я несу ее на руках.[...] Толпа вопит: «Да здравствует СССР! Да здравствует Сталин! Да зд</w:t>
      </w:r>
      <w:r>
        <w:t>равствует Коммунистический Интернационал!»</w:t>
      </w:r>
    </w:p>
    <w:p w:rsidR="00A720C9" w:rsidRDefault="00283F14">
      <w:pPr>
        <w:pStyle w:val="20"/>
        <w:spacing w:after="60" w:line="218" w:lineRule="auto"/>
        <w:ind w:left="680" w:firstLine="320"/>
        <w:jc w:val="both"/>
        <w:sectPr w:rsidR="00A720C9">
          <w:footerReference w:type="default" r:id="rId19"/>
          <w:footnotePr>
            <w:numStart w:val="2"/>
          </w:footnotePr>
          <w:pgSz w:w="9082" w:h="13982"/>
          <w:pgMar w:top="709" w:right="1438" w:bottom="1947" w:left="462" w:header="281" w:footer="3" w:gutter="0"/>
          <w:pgNumType w:start="725"/>
          <w:cols w:space="720"/>
          <w:noEndnote/>
          <w:docGrid w:linePitch="360"/>
          <w15:footnoteColumns w:val="1"/>
        </w:sectPr>
      </w:pPr>
      <w:r>
        <w:t xml:space="preserve">В конце 1929 года Мануэль душ Сантуш познакомился с типографом, который «столкнулся со всеми пороками анархизма, несмотря на то, что был коммунистом и </w:t>
      </w:r>
      <w:r>
        <w:t>был убежден в политической линии реорганизованной тогда партии по отношению к</w:t>
      </w:r>
      <w:r>
        <w:softHyphen/>
      </w:r>
    </w:p>
    <w:p w:rsidR="00A720C9" w:rsidRDefault="00283F14">
      <w:pPr>
        <w:pStyle w:val="11"/>
        <w:spacing w:line="223" w:lineRule="auto"/>
        <w:ind w:left="680"/>
        <w:jc w:val="both"/>
      </w:pPr>
      <w:r>
        <w:lastRenderedPageBreak/>
        <w:t xml:space="preserve">Еще одним аспектом выживания путчистских и анархистских традиций в партийных рядах является проблема терроризма. Настойчивы и повторяются в партийной печати критика и осуждение </w:t>
      </w:r>
      <w:r>
        <w:t>террористических методов, доктринальные разъяснения об их несовместимости с коммунистической концепцией организации и ведения классовой борьбы. А именно статья «Коммунистическая партия перед общественным мнением. Терроризм и революционное действие» («Авант</w:t>
      </w:r>
      <w:r>
        <w:t xml:space="preserve">е!», № 5) развивает идею о тесной связи между терроризмом и заговорщической практикой, характерной для действий групп меньшинств, оспаривающих между собой преимущества власти, в этом смысле по существу буржуазным и против массового доступа, к политической </w:t>
      </w:r>
      <w:r>
        <w:t>борьбе, со стороны эксплуатируемых классов. В статье «Большевизм и терроризм» (Avante!, н.</w:t>
      </w:r>
      <w:r>
        <w:softHyphen/>
      </w:r>
    </w:p>
    <w:p w:rsidR="00A720C9" w:rsidRDefault="00283F14">
      <w:pPr>
        <w:pStyle w:val="11"/>
        <w:spacing w:after="340" w:line="223" w:lineRule="auto"/>
        <w:ind w:left="680"/>
        <w:jc w:val="both"/>
      </w:pPr>
      <w:r>
        <w:t>Обе эти статьи тесно связаны с эпизодом, имевшим место 17 мая, в конце демонстрации националистически настроенных студентов из Коимбры, приехавших в Лиссабон на сес</w:t>
      </w:r>
      <w:r>
        <w:t>сию в поддержку правительства.</w:t>
      </w:r>
    </w:p>
    <w:p w:rsidR="00A720C9" w:rsidRDefault="00283F14">
      <w:pPr>
        <w:pStyle w:val="20"/>
        <w:spacing w:after="80"/>
        <w:ind w:left="680" w:firstLine="0"/>
        <w:jc w:val="both"/>
      </w:pPr>
      <w:r>
        <w:t>тактика и методы борьбы, антагонистичные всему, что до тех пор считалось классическим», как пишет Мануэль душ Сантуш в 1945 г., быстро интегрируется в «ударную бригаду». Из акций, которые он организовывал или в которых приним</w:t>
      </w:r>
      <w:r>
        <w:t>ал участие, он тоже дал нам очень яркую картину:</w:t>
      </w:r>
      <w:r>
        <w:softHyphen/>
      </w:r>
    </w:p>
    <w:p w:rsidR="00A720C9" w:rsidRDefault="00283F14">
      <w:pPr>
        <w:pStyle w:val="20"/>
        <w:spacing w:after="80"/>
        <w:ind w:left="1020" w:firstLine="340"/>
        <w:jc w:val="both"/>
      </w:pPr>
      <w:r>
        <w:t>[...] уличные демонстрации, школьные драки, беспорядки в мастерских, частичные забастовки, драки против членов Лиги «28 мая»; борьба с буйными «легионерами Отечества» и штурм штаба этих безумцев; борьба и с</w:t>
      </w:r>
      <w:r>
        <w:t>толкновения против фашистских групп Ролао Прето, национал-юнионистов; борется с «авангардистами». Чудовищные проявления английского флота в Тежу; грозные демонстрации за создание Испанской республики и последующие акции в поддержку испанских демократов. Де</w:t>
      </w:r>
      <w:r>
        <w:t>монстрации против войны и фашизма; массовые протесты у иностранных посольств в знак солидарности с Китаем; наконец, все, что служило предлогом враждебности к диктатуре, как, например, демонстрации против отправки экспедиционного корпуса для борьбы с револю</w:t>
      </w:r>
      <w:r>
        <w:t>ционерами на Мадейре в то время, когда они маршировали по улицам Байши ■[..</w:t>
      </w:r>
      <w:r>
        <w:softHyphen/>
      </w:r>
    </w:p>
    <w:p w:rsidR="00A720C9" w:rsidRDefault="00283F14">
      <w:pPr>
        <w:pStyle w:val="20"/>
        <w:spacing w:after="0" w:line="202" w:lineRule="auto"/>
        <w:ind w:left="680" w:firstLine="340"/>
        <w:jc w:val="both"/>
      </w:pPr>
      <w:r>
        <w:t>Взятый в плен, как мы упоминали, 26 августа 1931 г., М. душ Сантуш был вновь арестован, уже возглавляя ФЕКП, в период с 1 сентября по 1 декабря 1932 г.</w:t>
      </w:r>
      <w:r>
        <w:softHyphen/>
      </w:r>
    </w:p>
    <w:p w:rsidR="00A720C9" w:rsidRDefault="00283F14">
      <w:pPr>
        <w:pStyle w:val="20"/>
        <w:spacing w:after="0" w:line="202" w:lineRule="auto"/>
        <w:ind w:left="680" w:firstLine="340"/>
        <w:jc w:val="both"/>
      </w:pPr>
      <w:r>
        <w:t xml:space="preserve">В начале 1933 года именно </w:t>
      </w:r>
      <w:r>
        <w:t>Мануэль душ Сантуш возглавил молниеносный митинг протеста против увольнения городских рабочих перед зданием городского совета в Алькантаре. Преследуемый в последующие дни, он был схвачен на улице во время собрания ячейки FJCP. Пытаясь сопротивляться, он вы</w:t>
      </w:r>
      <w:r>
        <w:t>нужден убить одного из своих похитителей, что принесет ему длительный тюремный срок, который он будет отбывать до 1945 года. Он умирает от туберкулеза в 1949 году.</w:t>
      </w:r>
    </w:p>
    <w:p w:rsidR="00A720C9" w:rsidRDefault="00283F14">
      <w:pPr>
        <w:pStyle w:val="20"/>
        <w:spacing w:after="80" w:line="202" w:lineRule="auto"/>
        <w:ind w:left="0" w:firstLine="1020"/>
        <w:jc w:val="both"/>
        <w:sectPr w:rsidR="00A720C9">
          <w:footerReference w:type="default" r:id="rId20"/>
          <w:footnotePr>
            <w:numStart w:val="2"/>
          </w:footnotePr>
          <w:pgSz w:w="9082" w:h="13982"/>
          <w:pgMar w:top="709" w:right="1438" w:bottom="1947" w:left="462" w:header="281" w:footer="1519" w:gutter="0"/>
          <w:pgNumType w:start="12"/>
          <w:cols w:space="720"/>
          <w:noEndnote/>
          <w:docGrid w:linePitch="360"/>
          <w15:footnoteColumns w:val="1"/>
        </w:sectPr>
      </w:pPr>
      <w:r>
        <w:t>Этот молниеносный митинг 1933 года представляет собой в изве</w:t>
      </w:r>
      <w:r>
        <w:t>стном смысле лебединую песню не только жизни г-на душ Сантуша как агитатора, но и целого этапа в истории партии. Действительно, Авант! Уже январь 1933 г. указывает на новые стратегические и политические ориентиры и даже говорит о «полном переломе». И именн</w:t>
      </w:r>
      <w:r>
        <w:t>о в феврале 1933 года из депортации возвращается Бенту Гонсалвеш, действия которого во главе партии будут характеризоваться именно решительной борьбой с традицией индивидуалистического действия.</w:t>
      </w:r>
    </w:p>
    <w:p w:rsidR="00A720C9" w:rsidRDefault="00283F14">
      <w:pPr>
        <w:pStyle w:val="11"/>
        <w:spacing w:line="223" w:lineRule="auto"/>
        <w:ind w:left="660" w:firstLine="20"/>
        <w:jc w:val="both"/>
      </w:pPr>
      <w:r>
        <w:lastRenderedPageBreak/>
        <w:t>в Колизее, где на демонстрантов было сброшено несколько бомб,</w:t>
      </w:r>
      <w:r>
        <w:t xml:space="preserve"> в результате чего несколько человек получили ранения19.</w:t>
      </w:r>
    </w:p>
    <w:p w:rsidR="00A720C9" w:rsidRDefault="00283F14">
      <w:pPr>
        <w:pStyle w:val="11"/>
        <w:spacing w:line="223" w:lineRule="auto"/>
        <w:ind w:left="660" w:firstLine="340"/>
        <w:jc w:val="both"/>
      </w:pPr>
      <w:r>
        <w:t>Проблема возникла бы снова, и в более серьезной форме, в 1932 году, когда 24 апреля большая группа участников репетировала в Монсанто использование бомб, которые должны были быть использованы в демон</w:t>
      </w:r>
      <w:r>
        <w:t>страции 1 мая. . Гора окружена полицией, и большая часть группы арестована, что станет источником новой волны жестоких и всеобщих репрессий, которые в том же году практически демонтируют аппарат Партии 20.</w:t>
      </w:r>
    </w:p>
    <w:p w:rsidR="00A720C9" w:rsidRDefault="00283F14">
      <w:pPr>
        <w:pStyle w:val="11"/>
        <w:spacing w:after="200" w:line="223" w:lineRule="auto"/>
        <w:ind w:left="660" w:firstLine="340"/>
        <w:jc w:val="both"/>
      </w:pPr>
      <w:r>
        <w:t xml:space="preserve">Тем не менее, «террористический соблазн» не будет </w:t>
      </w:r>
      <w:r>
        <w:t>очищен от тела коммунистических боевиков. В печати есть упоминания о «терактах против второстепенных и сменных лакеев информации, как утверждают многие товарищи, желания которых идут вразрез с нашей организационной настойчивостью».</w:t>
      </w:r>
      <w:r>
        <w:rPr>
          <w:vertAlign w:val="superscript"/>
        </w:rPr>
        <w:footnoteReference w:id="23"/>
      </w:r>
      <w:r>
        <w:t>, или к «терроризму сред</w:t>
      </w:r>
      <w:r>
        <w:t>и нас, как намерена казнить довольно многочисленная часть товарищей, желания которых мы едва подавили»</w:t>
      </w:r>
      <w:r>
        <w:softHyphen/>
      </w:r>
      <w:r>
        <w:rPr>
          <w:vertAlign w:val="superscript"/>
        </w:rPr>
        <w:footnoteReference w:id="24"/>
      </w:r>
      <w:r>
        <w:t>. С другой стороны, известно, что, согласно анализу Бенту Гонсалвеша, провал движения 18 января 1934 г. во многом был связан с сохранением этого ментали</w:t>
      </w:r>
      <w:r>
        <w:t>тета не только среди анархистов, но и в рядах Сама вечеринка.</w:t>
      </w:r>
    </w:p>
    <w:p w:rsidR="00A720C9" w:rsidRDefault="00283F14">
      <w:pPr>
        <w:pStyle w:val="11"/>
        <w:spacing w:after="440" w:line="221" w:lineRule="auto"/>
        <w:ind w:left="660" w:firstLine="340"/>
        <w:jc w:val="both"/>
      </w:pPr>
      <w:r>
        <w:t>6. Глубоко потрясенный последовательными волнами репрессий и политической эволюцией 1932 г., а именно арестом «Рене» и других членов руководства Партии и молодежи в январе, а затем роспуском пол</w:t>
      </w:r>
      <w:r>
        <w:t>ицией агитация, намеченная на 29 февраля (Международный день безработных), с последствиями дела «Монсанто» и, наконец, с подавлением агитации 4 сентября, посвященной Международному дню молодежи, — партия переживает серьезный кризис, который воплотится, нап</w:t>
      </w:r>
      <w:r>
        <w:t>ример, в затянувшейся подвеске Avante! Еще до ее появления, в январе 1933 г. (№ 9), с середины 1932 г. партийная и молодежная печать представила нам некоторые новые элементы, характерные для попытки откликнуться на подвижки в процессе</w:t>
      </w:r>
      <w:r>
        <w:softHyphen/>
      </w:r>
    </w:p>
    <w:p w:rsidR="00A720C9" w:rsidRDefault="00283F14">
      <w:pPr>
        <w:pStyle w:val="20"/>
        <w:numPr>
          <w:ilvl w:val="0"/>
          <w:numId w:val="5"/>
        </w:numPr>
        <w:tabs>
          <w:tab w:val="left" w:pos="1222"/>
        </w:tabs>
        <w:spacing w:after="0"/>
        <w:ind w:firstLine="340"/>
        <w:jc w:val="both"/>
      </w:pPr>
      <w:r>
        <w:t>Это дело привело к н</w:t>
      </w:r>
      <w:r>
        <w:t>ескольким арестам и дальнейшим депортациям, в том числе воинственного члена Лиссабонского регионального комитета ПКП Грасиу Рибейро. Его тут же исключили из партии, одновременно с Аванте! от 6 июня 1931 г. (стр. 7: «Коммунистическая партия перед общественн</w:t>
      </w:r>
      <w:r>
        <w:t>ым мнением») выражает антитеррористическую позицию ПКП. В вышеупомянутой работе Deportados Грасио Рибейро пытался в 1972 году оправдать свое поведение, приписывая ответственность за события решениям других боевиков (см., а именно, стр. 85).</w:t>
      </w:r>
    </w:p>
    <w:p w:rsidR="00A720C9" w:rsidRDefault="00283F14">
      <w:pPr>
        <w:pStyle w:val="20"/>
        <w:numPr>
          <w:ilvl w:val="0"/>
          <w:numId w:val="5"/>
        </w:numPr>
        <w:tabs>
          <w:tab w:val="left" w:pos="1222"/>
        </w:tabs>
        <w:spacing w:after="80"/>
        <w:ind w:firstLine="340"/>
        <w:jc w:val="both"/>
      </w:pPr>
      <w:r>
        <w:t xml:space="preserve">Именно на этот </w:t>
      </w:r>
      <w:r>
        <w:t>эпизод ссылается Бенту Гонсалвеш, когда в «Двух словах» (стр. 145), защищая стратегию «усиленной политизации экономической борьбы», которая была стратегией партии и Коминтерна, он добавляет:</w:t>
      </w:r>
    </w:p>
    <w:p w:rsidR="00A720C9" w:rsidRDefault="00283F14">
      <w:pPr>
        <w:pStyle w:val="20"/>
        <w:spacing w:after="200" w:line="197" w:lineRule="auto"/>
        <w:ind w:left="980"/>
        <w:jc w:val="both"/>
        <w:sectPr w:rsidR="00A720C9">
          <w:footerReference w:type="default" r:id="rId21"/>
          <w:footnotePr>
            <w:numStart w:val="2"/>
          </w:footnotePr>
          <w:pgSz w:w="9082" w:h="13982"/>
          <w:pgMar w:top="709" w:right="1438" w:bottom="1947" w:left="462" w:header="281" w:footer="3" w:gutter="0"/>
          <w:pgNumType w:start="727"/>
          <w:cols w:space="720"/>
          <w:noEndnote/>
          <w:docGrid w:linePitch="360"/>
          <w15:footnoteColumns w:val="1"/>
        </w:sectPr>
      </w:pPr>
      <w:r>
        <w:t xml:space="preserve">Что </w:t>
      </w:r>
      <w:r>
        <w:t>необходимо различать, так это политизацию, предложенную самими фактами, и действия, которые ведь не имели ничего общего с содержанием ленинской политизации, как, например, Монсанто, молниеносные митинги, можно сказать, проводимые для опыта пистолетов, подр</w:t>
      </w:r>
      <w:r>
        <w:t>ывы бомб по случаю 1 мая и т.д. Наоборот, такие факты были выражением самой неспособности многих членов партии подойти к массам в области политизации.</w:t>
      </w:r>
    </w:p>
    <w:p w:rsidR="00A720C9" w:rsidRDefault="00283F14">
      <w:pPr>
        <w:pStyle w:val="11"/>
        <w:spacing w:line="223" w:lineRule="auto"/>
        <w:ind w:left="660" w:firstLine="0"/>
        <w:jc w:val="both"/>
      </w:pPr>
      <w:r>
        <w:lastRenderedPageBreak/>
        <w:t xml:space="preserve">фашизация. № 19 «O Jovem», июль 1932 г., выражая типичную для политики «класса против класса» концепцию, </w:t>
      </w:r>
      <w:r>
        <w:t>согласно которой фашизм является правильной и необходимой формой капиталистического государства в фазе общего кризиса системы, выделяется за гораздо большее внимание к разоблачению специфически фашистских особенностей государственной политики, а именно в д</w:t>
      </w:r>
      <w:r>
        <w:t>ействиях политической полиции (передовица «Против режима голода, террора и угнетения» и статья «Белый террор»). Короткая заметка «О фашизм и смерть Манеи» (по поводу заявлений Салазара после смерти Д. Мануэля II) даже ставит проблему связи между фашизмом и</w:t>
      </w:r>
      <w:r>
        <w:t xml:space="preserve"> попытками восстановить монархию, «ненавистный и ретроградный режим, гораздо более отвратительным, чем тот, который мы сейчас страдаем», тем самым уже частично отказавшись от суверенного равнодушия, которое еще год назад выражалось по отношению ко всем фор</w:t>
      </w:r>
      <w:r>
        <w:t>мам господства буржуазии. Существенным также является в том же выпуске акцент, сделанный на требованиях и крестьянских движениях, связанных с кризисом в сельском хозяйстве, которому посвящена целая страница, с новостями, полученными в результате борьбы в р</w:t>
      </w:r>
      <w:r>
        <w:t>азличных местах страны.</w:t>
      </w:r>
    </w:p>
    <w:p w:rsidR="00A720C9" w:rsidRDefault="00283F14">
      <w:pPr>
        <w:pStyle w:val="11"/>
        <w:spacing w:after="200" w:line="223" w:lineRule="auto"/>
        <w:ind w:left="660"/>
        <w:jc w:val="both"/>
      </w:pPr>
      <w:r>
        <w:t>Стремясь преодолеть трудности редактирования Avante! и O Jovem, в октябре и ноябре 1932 года были опубликованы два номера совместного органа ПКП и ФЕКП под названием Frente Vermelha. Передовица в № 1 (октябрь 1932 г., стр. 2) содержит интересные наблюдения</w:t>
      </w:r>
      <w:r>
        <w:t xml:space="preserve"> о господствовавшей до сих пор практике агитации и, заявляя о ее достоинствах, указывает на необходимость перехода к новой фазе действий.</w:t>
      </w:r>
      <w:r>
        <w:rPr>
          <w:vertAlign w:val="superscript"/>
        </w:rPr>
        <w:footnoteReference w:id="25"/>
      </w:r>
      <w:r>
        <w:t>, в котором решающее значение имеет способность организовывать и структурировать классовые движения. И перспектива, ук</w:t>
      </w:r>
      <w:r>
        <w:t>азанная на этом пути, — это организация национального забастовочного движения посредством организованного развития «борьбы за экономические и политические претензии и против проклятых репрессий, в которых мы живем». Идентичный реализм характеризует указани</w:t>
      </w:r>
      <w:r>
        <w:t>я, предложенные студенческому движению в параграфе 2:</w:t>
      </w:r>
    </w:p>
    <w:p w:rsidR="00A720C9" w:rsidRDefault="00283F14">
      <w:pPr>
        <w:pStyle w:val="11"/>
        <w:spacing w:after="200" w:line="223" w:lineRule="auto"/>
        <w:ind w:left="960" w:firstLine="280"/>
        <w:jc w:val="both"/>
      </w:pPr>
      <w:r>
        <w:t>Мессианству буржуазных либералов наши товарищи должны противопоставить тактику массовой борьбы вокруг требований, интересующих студенчество и способных мобилизовать его на 100%.</w:t>
      </w:r>
      <w:r>
        <w:softHyphen/>
      </w:r>
    </w:p>
    <w:p w:rsidR="00A720C9" w:rsidRDefault="00283F14">
      <w:pPr>
        <w:pStyle w:val="11"/>
        <w:spacing w:line="221" w:lineRule="auto"/>
        <w:ind w:left="660"/>
        <w:jc w:val="both"/>
      </w:pPr>
      <w:r>
        <w:t>Avante!, вновь появивши</w:t>
      </w:r>
      <w:r>
        <w:t>йся в январе 1933 г. (№ 9), с самого начала отличается подзаголовком статьи на первой полосе — «Ответ ПКП на указы инквизиции об амнистии фашистской диктатуры» — адресованной теперь «массам рабочих, угнетенных и эксплуатируемых женщин пролетариата и мелкой</w:t>
      </w:r>
      <w:r>
        <w:t xml:space="preserve"> буржуазии» (выделено нами). Аналитические и программные новшества в основной части статьи глубоки. С точки зрения, которая, кажется, вдохновлена ​​ленинскими «Двумя тактиками социал-демократии», считается, что «Португалия еще не завершила свою буржуазно-</w:t>
      </w:r>
      <w:r>
        <w:lastRenderedPageBreak/>
        <w:t>д</w:t>
      </w:r>
      <w:r>
        <w:t>емократическую революцию. Без напора рабочих и крестьянских масс она не сможет осуществить его». А это уже путь антифашистской борьбы, в центре которой требование политических свобод («Мы требуем права на забастовку, свободу союзов и политических организац</w:t>
      </w:r>
      <w:r>
        <w:t xml:space="preserve">ий, собраний, печати и пропаганды — для всех без различия!»), что указывается как политическая основа союза пролетариата с мелкой буржуазией. В том же номере статья «Пролетариат и революция» еще более прямо говорит о «полном повороте в борьбе пролетариата </w:t>
      </w:r>
      <w:r>
        <w:t>в пользу своих последних требований, обязывающего себя принять, силою обстоятельств, единый фронт революционная борьба с мелкобуржуазными либеральными слоями против Военно-фашистской диктатуры». В том же тексте дается точная характеристика фашистских аспек</w:t>
      </w:r>
      <w:r>
        <w:t>тов Estado Novo, поскольку они вытекают из обнародованной тогда новой Конституции, точно указывающей в качестве центральной задачи революционного блока «борьбу со всеми процессами фашизации государства». . что указано как политическая основа союза пролетар</w:t>
      </w:r>
      <w:r>
        <w:t>иата с мелкой буржуазией. В том же номере статья «Пролетариат и революция» еще более прямо говорит о «полном повороте в борьбе пролетариата в пользу своих последних требований, обязывающего себя принять, силою обстоятельств, единый фронт революционная борь</w:t>
      </w:r>
      <w:r>
        <w:t>ба с мелкобуржуазными либеральными слоями против Военно-фашистской диктатуры». В том же тексте дается точная характеристика фашистских аспектов Estado Novo, поскольку они вытекают из обнародованной тогда новой Конституции, точно указывающей в качестве цент</w:t>
      </w:r>
      <w:r>
        <w:t>ральной задачи революционного блока «борьбу со всеми процессами фашизации государства». . что указано как политическая основа союза пролетариата с мелкой буржуазией. В том же номере статья «Пролетариат и революция» еще более прямо говорит о «полном поворот</w:t>
      </w:r>
      <w:r>
        <w:t>е в борьбе пролетариата в пользу своих последних требований, обязывающего себя принять, силою обстоятельств, единый фронт революционная борьба с мелкобуржуазными либеральными слоями против Военно-фашистской диктатуры». В том же тексте дается точная характе</w:t>
      </w:r>
      <w:r>
        <w:t>ристика фашистских аспектов Estado Novo, поскольку они вытекают из обнародованной тогда новой Конституции, точно указывающей в качестве центральной задачи революционного блока «борьбу со всеми процессами фашизации государства». . в статье «Пролетариат и ре</w:t>
      </w:r>
      <w:r>
        <w:t>волюция» еще яснее говорится о «полном повороте в борьбе пролетариата в пользу своих последних требований, обязывающего себя принять, силою обстоятельств, единый фронт революционной борьбы с мелкие либерально-буржуазные слои против военной и фашистской дик</w:t>
      </w:r>
      <w:r>
        <w:t>татуры». В том же тексте дается точная характеристика фашистских аспектов Estado Novo, поскольку они вытекают из обнародованной тогда новой Конституции, точно указывающей в качестве центральной задачи революционного блока «борьбу со всеми процессами фашиза</w:t>
      </w:r>
      <w:r>
        <w:t>ции государства». . в статье «Пролетариат и революция» еще яснее говорится о «полном повороте в борьбе пролетариата в пользу своих последних требований, обязывающего себя принять, силою обстоятельств, единый фронт революционной борьбы с мелкие либерально-б</w:t>
      </w:r>
      <w:r>
        <w:t>уржуазные слои против военной и фашистской диктатуры». В том же тексте дается точная характеристика фашистских аспектов Estado Novo, поскольку они вытекают из обнародованной тогда новой Конституции, точно указывающей в качестве центральной задачи революцио</w:t>
      </w:r>
      <w:r>
        <w:t>нного блока «борьбу со всеми процессами фашизации государства». .</w:t>
      </w:r>
    </w:p>
    <w:p w:rsidR="00A720C9" w:rsidRDefault="00283F14">
      <w:pPr>
        <w:pStyle w:val="11"/>
        <w:spacing w:line="221" w:lineRule="auto"/>
        <w:jc w:val="both"/>
      </w:pPr>
      <w:r>
        <w:t xml:space="preserve">С возвращением Бенту Гонсалвеша из депортации в феврале 1933 года активизировались усилия по углублению и распространению новой политической </w:t>
      </w:r>
      <w:r>
        <w:lastRenderedPageBreak/>
        <w:t>линии, с гораздо более конкретным вниманием к кла</w:t>
      </w:r>
      <w:r>
        <w:t>ссовым отношениям в португальском обществе, к развитию политических событий на основе строгого опасение ленинских концепций (что выражается в таких текстах, как «Boletim do Secretariado» и «Comorg» за август 1933 г. или «Ответы Политического секретариата н</w:t>
      </w:r>
      <w:r>
        <w:t>а вопросник местного комитета Коимбры»).</w:t>
      </w:r>
    </w:p>
    <w:p w:rsidR="00A720C9" w:rsidRDefault="00283F14">
      <w:pPr>
        <w:pStyle w:val="11"/>
        <w:spacing w:line="221" w:lineRule="auto"/>
        <w:jc w:val="both"/>
      </w:pPr>
      <w:r>
        <w:t>Работа партии на этом этапе отличается не только с точки зрения более реалистического определения стратегических задач, но и тем, что она систематически ставит работу массовой организации перед простой агитацией или</w:t>
      </w:r>
      <w:r>
        <w:t>, вернее, рассматривает ее просто как середина этого. И в этом отношении фундаментальные заботы, которые уже выражены в этих текстах, в сущности те же самые, что составляют руководящую нить «Двух слов», а именно: привести португальское рабочее движение к п</w:t>
      </w:r>
      <w:r>
        <w:t>реодолению его фундаментальной исторической слабости, отсутствия органической сочленение между идеальными проектами и массовой организацией, что ставит его в подчиненное положение, орудуя либо господствующим блоком, либо элитарными инициативами путчистских</w:t>
      </w:r>
      <w:r>
        <w:t xml:space="preserve"> групп.</w:t>
      </w:r>
    </w:p>
    <w:p w:rsidR="00A720C9" w:rsidRDefault="00283F14">
      <w:pPr>
        <w:pStyle w:val="11"/>
        <w:spacing w:after="220" w:line="221" w:lineRule="auto"/>
        <w:jc w:val="both"/>
      </w:pPr>
      <w:r>
        <w:t xml:space="preserve">В дополнение к определению стратегии реализации партийной организации также указываются возможные структуры массового руководства в работе единого фронта (фабрично-заводские, колхозные и бедняцкие комитеты), а также те, которые связаны с политикой </w:t>
      </w:r>
      <w:r>
        <w:t>борьбы (антифашистские комитеты борьбы). .</w:t>
      </w:r>
    </w:p>
    <w:p w:rsidR="00A720C9" w:rsidRDefault="00283F14">
      <w:pPr>
        <w:pStyle w:val="11"/>
        <w:numPr>
          <w:ilvl w:val="0"/>
          <w:numId w:val="6"/>
        </w:numPr>
        <w:tabs>
          <w:tab w:val="left" w:pos="605"/>
        </w:tabs>
        <w:spacing w:line="223" w:lineRule="auto"/>
        <w:jc w:val="both"/>
      </w:pPr>
      <w:r>
        <w:t>Если сопоставить совокупность этих указаний, вытекающих из печати и партийных документов, с содержанием тезисов и резолюций, принятых в июле 1932 г. на XII пленуме Исполкома Коммунистического Интернационала, то не</w:t>
      </w:r>
      <w:r>
        <w:t>трудно убедиться в глубокой близости мотивы и лозунги.</w:t>
      </w:r>
      <w:r>
        <w:softHyphen/>
      </w:r>
      <w:r>
        <w:softHyphen/>
      </w:r>
    </w:p>
    <w:p w:rsidR="00A720C9" w:rsidRDefault="00283F14">
      <w:pPr>
        <w:pStyle w:val="11"/>
        <w:spacing w:line="223" w:lineRule="auto"/>
        <w:jc w:val="both"/>
      </w:pPr>
      <w:r>
        <w:t>Вообще говоря, 1932 год в Европе является годом углубления экономической и политической классовой борьбы, что к тому же очень прямо отражает тот факт, что последствия кризиса 1929 года достигли в бол</w:t>
      </w:r>
      <w:r>
        <w:t>ьшинстве стран своей самой мрачной точки.</w:t>
      </w:r>
    </w:p>
    <w:p w:rsidR="00A720C9" w:rsidRDefault="00283F14">
      <w:pPr>
        <w:pStyle w:val="11"/>
        <w:spacing w:line="223" w:lineRule="auto"/>
        <w:jc w:val="both"/>
      </w:pPr>
      <w:r>
        <w:t>Обострение кризиса отражается на политическом уровне в заметной поляризации классовых сил, что выражается в одновременном наступлении фашистской и коммунистической партий. Одновременный прогресс, но не равнозначный</w:t>
      </w:r>
      <w:r>
        <w:t>, а именно в Германии, которая продолжает оставаться в центре внимания 729 рабочего движения; В то время как Гитлер набрал более 30% голосов на президентских выборах в марте 1932 г., а НСДАП стала крупнейшей партией в стране на июльских выборах того же год</w:t>
      </w:r>
      <w:r>
        <w:t>а, набрав 13,8 млн голосов, у СПС тогда было 5,4.</w:t>
      </w:r>
      <w:r>
        <w:softHyphen/>
      </w:r>
    </w:p>
    <w:p w:rsidR="00A720C9" w:rsidRDefault="00283F14">
      <w:pPr>
        <w:pStyle w:val="11"/>
        <w:spacing w:line="223" w:lineRule="auto"/>
        <w:ind w:left="600" w:firstLine="380"/>
        <w:jc w:val="both"/>
      </w:pPr>
      <w:r>
        <w:t>Продолжая двигаться в тех же рамках концепций политики «класс против класса», Коминтерн самими событиями вынуждают уделять гораздо более заметное внимание фашистскому феномену. В этом отношении особое знач</w:t>
      </w:r>
      <w:r>
        <w:t>ение имеет проведение Амстердамского конгресса против войны и фашизма, организованного по инициативе таких интеллектуалов, как Ромен Роллан и Барбюс, в котором ФКП сыграла заметную роль. В Германии PCA запустила объединенное движение Antifaschitische Aktio</w:t>
      </w:r>
      <w:r>
        <w:t>n в том же направлении.</w:t>
      </w:r>
      <w:r>
        <w:softHyphen/>
      </w:r>
      <w:r>
        <w:softHyphen/>
      </w:r>
      <w:r>
        <w:rPr>
          <w:vertAlign w:val="superscript"/>
        </w:rPr>
        <w:footnoteReference w:id="26"/>
      </w:r>
      <w:r>
        <w:t>.</w:t>
      </w:r>
    </w:p>
    <w:p w:rsidR="00A720C9" w:rsidRDefault="00283F14">
      <w:pPr>
        <w:pStyle w:val="11"/>
        <w:spacing w:line="223" w:lineRule="auto"/>
        <w:ind w:left="680"/>
        <w:jc w:val="both"/>
      </w:pPr>
      <w:r>
        <w:t xml:space="preserve">XII пленарное заседание CEIC, которое проходит в августе-сентябре в Москве, отражает эту ситуацию. Продолжая считать неизбежной возможность возникновения революционного кризиса в ряде стран, проведение которого могло быть </w:t>
      </w:r>
      <w:r>
        <w:t xml:space="preserve">обеспечено только в той мере, в какой </w:t>
      </w:r>
      <w:r>
        <w:lastRenderedPageBreak/>
        <w:t>коммунистические партии конкретизировали завоевание рабочего большинства за свои позиции, совещание по существу будет иметь дело со средствами для обеспечения этого достижения. Резолюции подчеркивают необходимость на к</w:t>
      </w:r>
      <w:r>
        <w:t xml:space="preserve">аждом шагу организовать борьбу за ограниченные конкретные требования, в первую очередь экономические требования, направленные против стремления свалить последствия кризиса на рабочих, и на этой почве стремятся связать действия различных слоев населения, а </w:t>
      </w:r>
      <w:r>
        <w:t>именно занятых и безработных. С этой борьбой, в свою очередь,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A720C9" w:rsidRDefault="00283F14">
      <w:pPr>
        <w:pStyle w:val="11"/>
        <w:spacing w:after="200" w:line="223" w:lineRule="auto"/>
        <w:ind w:left="680"/>
        <w:jc w:val="both"/>
      </w:pPr>
      <w:r>
        <w:t>В плане организационных методов Пленум ставит вопрос о «пролетарской демократии» (например, при выборах стачкомов) и о необходимости, помимо укрепления революционных профсоюзных меньшинст</w:t>
      </w:r>
      <w:r>
        <w:t>в, усилить работу внутри реформистских союзов, где рабочие классовое большинство на самом деле. За осуществление этого «принципиального поворота в массовой работе коммунистических партий».</w:t>
      </w:r>
      <w:r>
        <w:softHyphen/>
      </w:r>
      <w:r>
        <w:rPr>
          <w:vertAlign w:val="superscript"/>
        </w:rPr>
        <w:footnoteReference w:id="27"/>
      </w:r>
      <w:r>
        <w:t>, на что ссылаются резолюции, считается необходимым преодолеть сек</w:t>
      </w:r>
      <w:r>
        <w:t>тантские тенденции, существующие в ряде партий. Реконструкция с этой целью уже происходила в ФКП с 1930 г., с удалением «молодых людей» из группы Барбе-Селора, а теперь происходит и в ФКП, с устранением Неймана и Реммеле, и в ПК Испании с исключением из пр</w:t>
      </w:r>
      <w:r>
        <w:t>авления Адама-Трилла-Бульехоса.</w:t>
      </w:r>
    </w:p>
    <w:p w:rsidR="00A720C9" w:rsidRDefault="00283F14">
      <w:pPr>
        <w:pStyle w:val="11"/>
        <w:numPr>
          <w:ilvl w:val="0"/>
          <w:numId w:val="6"/>
        </w:numPr>
        <w:tabs>
          <w:tab w:val="left" w:pos="1285"/>
        </w:tabs>
        <w:spacing w:line="221" w:lineRule="auto"/>
        <w:ind w:left="680"/>
        <w:jc w:val="both"/>
      </w:pPr>
      <w:r>
        <w:t xml:space="preserve">Конкретный анализ диалектических отношений между «переломом» в ПКП и «переломом» в КИ потребует глубокого и, прежде всего, документального исследования, для которого пока отсутствуют источники. Тем не менее, мы считаем, что </w:t>
      </w:r>
      <w:r>
        <w:t>элементы, которые мы обобщили, достаточны для подтверждения параллелизма, который не может быть случайным, между политической эволюцией ПКП и эволюцией международного движения. В 1932 году, между прочим, укрепились органические связи между португальской па</w:t>
      </w:r>
      <w:r>
        <w:t>ртией и Интернационалом. С 1931 года член португальской молодежи посещал Ленинскую школу в Москве20 и оставался там до конца 1932 года. С другой стороны, партия будет представлена ​​на заседании XII пленума. Также в том же году на 1-м Всемирном конгрессе I</w:t>
      </w:r>
      <w:r>
        <w:t>nternational Red Socorro будет присутствовать делегат от португальской секции.</w:t>
      </w:r>
      <w:r>
        <w:softHyphen/>
      </w:r>
      <w:r>
        <w:softHyphen/>
      </w:r>
    </w:p>
    <w:p w:rsidR="00A720C9" w:rsidRDefault="00283F14">
      <w:pPr>
        <w:pStyle w:val="11"/>
        <w:spacing w:line="221" w:lineRule="auto"/>
        <w:ind w:left="600"/>
        <w:jc w:val="both"/>
      </w:pPr>
      <w:r>
        <w:t>Путь, который был болезненно, но ясно начат, приведет к «великому перелому» VII съезда Коминтерна в 1935 году и к политике Народного фронта. Путь этот будет пройден, как извес</w:t>
      </w:r>
      <w:r>
        <w:t>тно, иногда нерешительно, часто противоречиво и с большими перерывами в ритме между отдельными частями движения: во Франции он, например, быстрее и откровеннее, чем в Германии. На основании некоторых уже упомянутых документов правомерно рассматривать порту</w:t>
      </w:r>
      <w:r>
        <w:t>гальскую коммунистическую партию именно как одну из тех, в которой этот путь идет более последовательно, и личный вклад Бенту Гонсалвеша не должен показаться странным, если принять во внимание учитывать сходство между текстами, такими как Резолюция о неотл</w:t>
      </w:r>
      <w:r>
        <w:t>ожных организационных задачах, август 1933 г., или Ответ местному комитету Коимбры, октябрь,</w:t>
      </w:r>
      <w:r>
        <w:softHyphen/>
      </w:r>
    </w:p>
    <w:p w:rsidR="00A720C9" w:rsidRDefault="00283F14">
      <w:pPr>
        <w:pStyle w:val="11"/>
        <w:spacing w:after="5000" w:line="221" w:lineRule="auto"/>
        <w:ind w:left="600"/>
        <w:jc w:val="both"/>
      </w:pPr>
      <w:r>
        <w:t>Подтверждение и возможное развитие этой гипотезы об определенной оригинальности в португальской разработке политики народного фронта столь же важно с точки зрения</w:t>
      </w:r>
      <w:r>
        <w:t xml:space="preserve"> изучения политической истории </w:t>
      </w:r>
      <w:r>
        <w:lastRenderedPageBreak/>
        <w:t>португальского рабочего движения, как и с точки зрения истории коммунистического движения. Международное, так часто рассматриваемое лишь с точки зрения однобокой точки зрения государственных интересов СССР в международных отн</w:t>
      </w:r>
      <w:r>
        <w:t>ошениях.</w:t>
      </w:r>
      <w:r>
        <w:softHyphen/>
      </w:r>
      <w:r>
        <w:softHyphen/>
      </w:r>
    </w:p>
    <w:p w:rsidR="00A720C9" w:rsidRDefault="00283F14">
      <w:pPr>
        <w:pStyle w:val="20"/>
        <w:tabs>
          <w:tab w:val="left" w:pos="7416"/>
        </w:tabs>
        <w:spacing w:after="0" w:line="211" w:lineRule="auto"/>
        <w:ind w:left="600" w:firstLine="300"/>
        <w:jc w:val="both"/>
      </w:pPr>
      <w:r>
        <w:rPr>
          <w:vertAlign w:val="superscript"/>
        </w:rPr>
        <w:t>М</w:t>
      </w:r>
      <w:r>
        <w:t>Вопрос о направлении ученика в ленинскую школу затрагивается в упомянутой выше переписке «Рене» с «Жюлем».</w:t>
      </w:r>
      <w:r>
        <w:tab/>
      </w:r>
      <w:r>
        <w:rPr>
          <w:i/>
          <w:iCs/>
        </w:rPr>
        <w:t>731</w:t>
      </w:r>
    </w:p>
    <w:sectPr w:rsidR="00A720C9">
      <w:footerReference w:type="default" r:id="rId22"/>
      <w:footnotePr>
        <w:numStart w:val="2"/>
      </w:footnotePr>
      <w:pgSz w:w="9082" w:h="13982"/>
      <w:pgMar w:top="977" w:right="1071" w:bottom="1670" w:left="835" w:header="549" w:footer="1242" w:gutter="0"/>
      <w:pgNumType w:start="14"/>
      <w:cols w:space="720"/>
      <w:noEndnote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3F14" w:rsidRDefault="00283F14">
      <w:r>
        <w:separator/>
      </w:r>
    </w:p>
  </w:endnote>
  <w:endnote w:type="continuationSeparator" w:id="0">
    <w:p w:rsidR="00283F14" w:rsidRDefault="00283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0C9" w:rsidRDefault="00283F14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4913630</wp:posOffset>
              </wp:positionH>
              <wp:positionV relativeFrom="page">
                <wp:posOffset>7779385</wp:posOffset>
              </wp:positionV>
              <wp:extent cx="182880" cy="97790"/>
              <wp:effectExtent l="0" t="0" r="0" b="0"/>
              <wp:wrapNone/>
              <wp:docPr id="1" name="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" cy="977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A720C9" w:rsidRDefault="00283F14">
                          <w:pPr>
                            <w:pStyle w:val="a6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86.90000000000003pt;margin-top:612.55000000000007pt;width:14.4pt;height:7.7000000000000002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pt-PT" w:eastAsia="pt-PT" w:bidi="pt-PT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0C9" w:rsidRDefault="00A720C9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0C9" w:rsidRDefault="00283F14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4913630</wp:posOffset>
              </wp:positionH>
              <wp:positionV relativeFrom="page">
                <wp:posOffset>7779385</wp:posOffset>
              </wp:positionV>
              <wp:extent cx="182880" cy="97790"/>
              <wp:effectExtent l="0" t="0" r="0" b="0"/>
              <wp:wrapNone/>
              <wp:docPr id="13" name="Shap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" cy="977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A720C9" w:rsidRDefault="00283F14">
                          <w:pPr>
                            <w:pStyle w:val="a6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position:absolute;margin-left:386.90000000000003pt;margin-top:612.55000000000007pt;width:14.4pt;height:7.7000000000000002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pt-PT" w:eastAsia="pt-PT" w:bidi="pt-PT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0C9" w:rsidRDefault="00A720C9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0C9" w:rsidRDefault="00283F14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4913630</wp:posOffset>
              </wp:positionH>
              <wp:positionV relativeFrom="page">
                <wp:posOffset>7779385</wp:posOffset>
              </wp:positionV>
              <wp:extent cx="182880" cy="97790"/>
              <wp:effectExtent l="0" t="0" r="0" b="0"/>
              <wp:wrapNone/>
              <wp:docPr id="15" name="Shap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" cy="977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A720C9" w:rsidRDefault="00283F14">
                          <w:pPr>
                            <w:pStyle w:val="a6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1" type="#_x0000_t202" style="position:absolute;margin-left:386.90000000000003pt;margin-top:612.55000000000007pt;width:14.4pt;height:7.7000000000000002pt;z-index:-1887440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pt-PT" w:eastAsia="pt-PT" w:bidi="pt-PT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0C9" w:rsidRDefault="00A720C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0C9" w:rsidRDefault="00A720C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0C9" w:rsidRDefault="00283F14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4913630</wp:posOffset>
              </wp:positionH>
              <wp:positionV relativeFrom="page">
                <wp:posOffset>7779385</wp:posOffset>
              </wp:positionV>
              <wp:extent cx="182880" cy="97790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" cy="977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A720C9" w:rsidRDefault="00283F14">
                          <w:pPr>
                            <w:pStyle w:val="a6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386.90000000000003pt;margin-top:612.55000000000007pt;width:14.4pt;height:7.7000000000000002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pt-PT" w:eastAsia="pt-PT" w:bidi="pt-PT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0C9" w:rsidRDefault="00A720C9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0C9" w:rsidRDefault="00283F14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4913630</wp:posOffset>
              </wp:positionH>
              <wp:positionV relativeFrom="page">
                <wp:posOffset>7779385</wp:posOffset>
              </wp:positionV>
              <wp:extent cx="182880" cy="97790"/>
              <wp:effectExtent l="0" t="0" r="0" b="0"/>
              <wp:wrapNone/>
              <wp:docPr id="5" name="Shap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" cy="977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A720C9" w:rsidRDefault="00283F14">
                          <w:pPr>
                            <w:pStyle w:val="a6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386.90000000000003pt;margin-top:612.55000000000007pt;width:14.4pt;height:7.7000000000000002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pt-PT" w:eastAsia="pt-PT" w:bidi="pt-PT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0C9" w:rsidRDefault="00A720C9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0C9" w:rsidRDefault="00283F14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4913630</wp:posOffset>
              </wp:positionH>
              <wp:positionV relativeFrom="page">
                <wp:posOffset>7779385</wp:posOffset>
              </wp:positionV>
              <wp:extent cx="182880" cy="97790"/>
              <wp:effectExtent l="0" t="0" r="0" b="0"/>
              <wp:wrapNone/>
              <wp:docPr id="7" name="Shap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" cy="977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A720C9" w:rsidRDefault="00283F14">
                          <w:pPr>
                            <w:pStyle w:val="a6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386.90000000000003pt;margin-top:612.55000000000007pt;width:14.4pt;height:7.7000000000000002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pt-PT" w:eastAsia="pt-PT" w:bidi="pt-PT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0C9" w:rsidRDefault="00A720C9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0C9" w:rsidRDefault="00283F14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4913630</wp:posOffset>
              </wp:positionH>
              <wp:positionV relativeFrom="page">
                <wp:posOffset>7779385</wp:posOffset>
              </wp:positionV>
              <wp:extent cx="182880" cy="97790"/>
              <wp:effectExtent l="0" t="0" r="0" b="0"/>
              <wp:wrapNone/>
              <wp:docPr id="9" name="Shap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" cy="977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A720C9" w:rsidRDefault="00283F14">
                          <w:pPr>
                            <w:pStyle w:val="a6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386.90000000000003pt;margin-top:612.55000000000007pt;width:14.4pt;height:7.7000000000000002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pt-PT" w:eastAsia="pt-PT" w:bidi="pt-PT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3F14" w:rsidRDefault="00283F14">
      <w:r>
        <w:separator/>
      </w:r>
    </w:p>
  </w:footnote>
  <w:footnote w:type="continuationSeparator" w:id="0">
    <w:p w:rsidR="00283F14" w:rsidRDefault="00283F14">
      <w:r>
        <w:continuationSeparator/>
      </w:r>
    </w:p>
  </w:footnote>
  <w:footnote w:id="1">
    <w:p w:rsidR="00A720C9" w:rsidRDefault="00283F14">
      <w:pPr>
        <w:pStyle w:val="a4"/>
        <w:ind w:firstLine="0"/>
        <w:jc w:val="right"/>
      </w:pPr>
      <w:r>
        <w:rPr>
          <w:vertAlign w:val="superscript"/>
        </w:rPr>
        <w:footnoteRef/>
      </w:r>
      <w:r>
        <w:t>Согласно устным показаниям, 3 ноября 1980 г. лидер</w:t>
      </w:r>
    </w:p>
  </w:footnote>
  <w:footnote w:id="2">
    <w:p w:rsidR="00A720C9" w:rsidRDefault="00283F14">
      <w:pPr>
        <w:pStyle w:val="a4"/>
        <w:ind w:firstLine="0"/>
        <w:jc w:val="right"/>
      </w:pPr>
      <w:r>
        <w:t xml:space="preserve">PCP </w:t>
      </w:r>
      <w:r>
        <w:t>в то время, Мануэль Альпедринья. Также во внутреннем отчете представлено</w:t>
      </w:r>
    </w:p>
  </w:footnote>
  <w:footnote w:id="3">
    <w:p w:rsidR="00A720C9" w:rsidRDefault="00283F14">
      <w:pPr>
        <w:pStyle w:val="a4"/>
        <w:ind w:firstLine="0"/>
        <w:jc w:val="right"/>
      </w:pPr>
      <w:r>
        <w:t xml:space="preserve">в </w:t>
      </w:r>
      <w:r>
        <w:t>феврале 1933 г. руководству партии «филиалом № 161» можно прочитать:</w:t>
      </w:r>
    </w:p>
  </w:footnote>
  <w:footnote w:id="4">
    <w:p w:rsidR="00A720C9" w:rsidRDefault="00283F14">
      <w:pPr>
        <w:pStyle w:val="a4"/>
        <w:spacing w:line="199" w:lineRule="auto"/>
        <w:ind w:firstLine="0"/>
        <w:jc w:val="right"/>
      </w:pPr>
      <w:r>
        <w:t xml:space="preserve">К </w:t>
      </w:r>
      <w:r>
        <w:t>концу 1931 года наша организация достигла пика развития</w:t>
      </w:r>
    </w:p>
  </w:footnote>
  <w:footnote w:id="5">
    <w:p w:rsidR="00A720C9" w:rsidRDefault="00283F14">
      <w:pPr>
        <w:pStyle w:val="a4"/>
        <w:spacing w:line="199" w:lineRule="auto"/>
        <w:ind w:firstLine="0"/>
        <w:jc w:val="right"/>
      </w:pPr>
      <w:r>
        <w:t xml:space="preserve">что </w:t>
      </w:r>
      <w:r>
        <w:t>до сегодняшнего дня было в нашей стране. Число сторонников росло с каждым днем.</w:t>
      </w:r>
    </w:p>
  </w:footnote>
  <w:footnote w:id="6">
    <w:p w:rsidR="00A720C9" w:rsidRDefault="00283F14">
      <w:pPr>
        <w:pStyle w:val="a4"/>
        <w:spacing w:line="199" w:lineRule="auto"/>
        <w:ind w:left="1040" w:firstLine="0"/>
        <w:jc w:val="both"/>
      </w:pPr>
      <w:r>
        <w:t xml:space="preserve">день </w:t>
      </w:r>
      <w:r>
        <w:t>обнадеживающим образом, и многие наши</w:t>
      </w:r>
      <w:r>
        <w:t xml:space="preserve"> товарищи предсказывали</w:t>
      </w:r>
    </w:p>
  </w:footnote>
  <w:footnote w:id="7">
    <w:p w:rsidR="00A720C9" w:rsidRDefault="00283F14">
      <w:pPr>
        <w:pStyle w:val="a4"/>
        <w:spacing w:line="199" w:lineRule="auto"/>
        <w:ind w:left="1040" w:firstLine="0"/>
      </w:pPr>
      <w:r>
        <w:t xml:space="preserve">вскоре </w:t>
      </w:r>
      <w:r>
        <w:t>мощная и развитая организация.</w:t>
      </w:r>
    </w:p>
  </w:footnote>
  <w:footnote w:id="8">
    <w:p w:rsidR="00A720C9" w:rsidRDefault="00283F14">
      <w:pPr>
        <w:pStyle w:val="a4"/>
        <w:spacing w:after="80" w:line="206" w:lineRule="auto"/>
        <w:ind w:left="700"/>
        <w:jc w:val="both"/>
      </w:pPr>
      <w:r>
        <w:rPr>
          <w:vertAlign w:val="superscript"/>
        </w:rPr>
        <w:footnoteRef/>
      </w:r>
      <w:r>
        <w:t xml:space="preserve">«Положение </w:t>
      </w:r>
      <w:r>
        <w:t>и задачи нашей партии», в Avante!, № 2, 8 марта 1931 г., с. 4:</w:t>
      </w:r>
    </w:p>
    <w:p w:rsidR="00A720C9" w:rsidRDefault="00283F14">
      <w:pPr>
        <w:pStyle w:val="a4"/>
        <w:spacing w:line="199" w:lineRule="auto"/>
        <w:ind w:left="1020"/>
        <w:jc w:val="both"/>
      </w:pPr>
      <w:r>
        <w:t xml:space="preserve">Эта фаза белого террора, которая, как общее правило фашизма, в нашей стране продолжает быть связана с обострением </w:t>
      </w:r>
      <w:r>
        <w:t xml:space="preserve">противоречий капитализма и классовых антагонизмов, т. е. с обострением народнохозяйственного кризиса и с пробуждением масс к борьбе — параллельно с закалкой нашей партии к руководству пролетариатом в предстоящей борьбе — ставит перед нами ряд тактических, </w:t>
      </w:r>
      <w:r>
        <w:t>пропагандистских, агитационных и организационных задач.</w:t>
      </w:r>
      <w:r>
        <w:softHyphen/>
      </w:r>
    </w:p>
    <w:p w:rsidR="00A720C9" w:rsidRDefault="00283F14">
      <w:pPr>
        <w:pStyle w:val="a4"/>
        <w:tabs>
          <w:tab w:val="left" w:pos="1027"/>
        </w:tabs>
        <w:spacing w:line="199" w:lineRule="auto"/>
        <w:ind w:firstLine="1360"/>
        <w:jc w:val="both"/>
      </w:pPr>
      <w:r>
        <w:t>В числе этих непосредственных задач вопрос о продолжении массовой агитации, не теряя темпа, как бы в пределах 716</w:t>
      </w:r>
      <w:r>
        <w:tab/>
        <w:t>среда наиболее концентрированного фашизма, оказывается на первом месте.</w:t>
      </w:r>
    </w:p>
  </w:footnote>
  <w:footnote w:id="9">
    <w:p w:rsidR="00A720C9" w:rsidRDefault="00283F14">
      <w:pPr>
        <w:pStyle w:val="a4"/>
        <w:ind w:firstLine="0"/>
        <w:jc w:val="right"/>
      </w:pPr>
      <w:r>
        <w:t xml:space="preserve">в </w:t>
      </w:r>
      <w:r>
        <w:t>феврале 193</w:t>
      </w:r>
      <w:r>
        <w:t>3 г. руководству партии «филиалом № 161» можно прочитать:</w:t>
      </w:r>
    </w:p>
  </w:footnote>
  <w:footnote w:id="10">
    <w:p w:rsidR="00A720C9" w:rsidRDefault="00283F14">
      <w:pPr>
        <w:pStyle w:val="a4"/>
        <w:spacing w:line="199" w:lineRule="auto"/>
        <w:ind w:firstLine="0"/>
        <w:jc w:val="right"/>
      </w:pPr>
      <w:r>
        <w:t xml:space="preserve">К </w:t>
      </w:r>
      <w:r>
        <w:t>концу 1931 года наша организация достигла пика развития</w:t>
      </w:r>
    </w:p>
  </w:footnote>
  <w:footnote w:id="11">
    <w:p w:rsidR="00A720C9" w:rsidRDefault="00283F14">
      <w:pPr>
        <w:pStyle w:val="a4"/>
        <w:spacing w:line="199" w:lineRule="auto"/>
        <w:ind w:firstLine="0"/>
        <w:jc w:val="right"/>
      </w:pPr>
      <w:r>
        <w:t xml:space="preserve">что </w:t>
      </w:r>
      <w:r>
        <w:t>до сегодняшнего дня было в нашей стране. Число сторонников росло с каждым днем.</w:t>
      </w:r>
    </w:p>
  </w:footnote>
  <w:footnote w:id="12">
    <w:p w:rsidR="00A720C9" w:rsidRDefault="00283F14">
      <w:pPr>
        <w:pStyle w:val="a4"/>
        <w:spacing w:after="120" w:line="194" w:lineRule="auto"/>
        <w:jc w:val="both"/>
      </w:pPr>
      <w:r>
        <w:rPr>
          <w:vertAlign w:val="superscript"/>
        </w:rPr>
        <w:footnoteRef/>
      </w:r>
      <w:r>
        <w:t xml:space="preserve">Diário </w:t>
      </w:r>
      <w:r>
        <w:t xml:space="preserve">de Notícias от 3 мая 1931 г. дает представление </w:t>
      </w:r>
      <w:r>
        <w:t>о масштабах событий при описании участия в забастовке различных классов рабочих:</w:t>
      </w:r>
    </w:p>
    <w:p w:rsidR="00A720C9" w:rsidRDefault="00283F14">
      <w:pPr>
        <w:pStyle w:val="a4"/>
        <w:spacing w:after="120"/>
        <w:ind w:left="340" w:right="640"/>
        <w:jc w:val="both"/>
      </w:pPr>
      <w:r>
        <w:t>Первое мая отмечалось в Лиссабоне многими рабочими. Водители площади забросили свою работу, поэтому службы такси не было. Многочисленные мастерские и строители, металлурги так</w:t>
      </w:r>
      <w:r>
        <w:t>же не работали.</w:t>
      </w:r>
    </w:p>
    <w:p w:rsidR="00A720C9" w:rsidRDefault="00283F14">
      <w:pPr>
        <w:pStyle w:val="a4"/>
        <w:spacing w:after="120" w:line="199" w:lineRule="auto"/>
        <w:jc w:val="both"/>
      </w:pPr>
      <w:r>
        <w:t>Ссылаясь на демонстрацию, он говорит о присутствии «многих тысяч людей, особенно элементов рабочего класса». Тот же консервативный орган сообщает о демонстрации в Порту (где она также была подавлена ​​кавалерией и артиллерийским огнем, в ре</w:t>
      </w:r>
      <w:r>
        <w:t>зультате чего 17 человек получили ранения) и других, более или менее мирных, в Браге, Виана-ду-Каштелу, Карташо, Обидуше, Алмаде, Тортосендо и Фару. . Трудно определить, в какой степени партия влияла на подготовку и проведение этих демонстраций, хотя в цел</w:t>
      </w:r>
      <w:r>
        <w:t>ом претендовала на эту инициативу. Циркуляр от 20 апреля 1931 года, изданный секретариатом исполкома и адресованный «всей организации на континенте», объявляет о подготовке дня 1 мая «против голода, который страшным образом вторгается в пролетарские дома».</w:t>
      </w:r>
      <w:r>
        <w:t xml:space="preserve"> ", и заключает:</w:t>
      </w:r>
    </w:p>
    <w:p w:rsidR="00A720C9" w:rsidRDefault="00283F14">
      <w:pPr>
        <w:pStyle w:val="a4"/>
        <w:spacing w:after="120" w:line="199" w:lineRule="auto"/>
        <w:ind w:left="340" w:right="640"/>
        <w:jc w:val="both"/>
      </w:pPr>
      <w:r>
        <w:t>Политический секретариат ПКП решил поставить в качестве непосредственных лозунгов всей организации всеобщую забастовку в этот день, которая будет использована для того, чтобы спровоцировать максимально возможное количество массовых революц</w:t>
      </w:r>
      <w:r>
        <w:t>ионных демонстраций, класс против класса [...]</w:t>
      </w:r>
      <w:r>
        <w:softHyphen/>
      </w:r>
    </w:p>
  </w:footnote>
  <w:footnote w:id="13">
    <w:p w:rsidR="00A720C9" w:rsidRDefault="00283F14">
      <w:pPr>
        <w:pStyle w:val="a4"/>
        <w:jc w:val="both"/>
      </w:pPr>
      <w:r>
        <w:rPr>
          <w:vertAlign w:val="superscript"/>
        </w:rPr>
        <w:footnoteRef/>
      </w:r>
      <w:r>
        <w:t xml:space="preserve">См. </w:t>
      </w:r>
      <w:r>
        <w:t>статья «25 февраля, международный день борьбы с безработицей» в Avante!, № 2, от 8 марта 1931 г., в которой проводится критический анализ</w:t>
      </w:r>
    </w:p>
  </w:footnote>
  <w:footnote w:id="14">
    <w:p w:rsidR="00A720C9" w:rsidRDefault="00283F14">
      <w:pPr>
        <w:pStyle w:val="a4"/>
        <w:ind w:firstLine="0"/>
        <w:jc w:val="both"/>
      </w:pPr>
      <w:r>
        <w:t xml:space="preserve">событий, </w:t>
      </w:r>
      <w:r>
        <w:t xml:space="preserve">заключая, что они одновременно демонстрируют </w:t>
      </w:r>
      <w:r>
        <w:t>правильность политической линии, исходя из предположения о радикализации рабочих, фактически вышедших на улицы; и организационная слабость, выразившаяся в неспособности обеспечить проведение демонстрации, несмотря на репрессивный аппарат. В статье делается</w:t>
      </w:r>
      <w:r>
        <w:t xml:space="preserve"> попытка извлечь уроки для подготовки к 1 мая, выступая с самого начала за формирование ударных бригад и отрядов самообороны.</w:t>
      </w:r>
      <w:r>
        <w:softHyphen/>
      </w:r>
    </w:p>
  </w:footnote>
  <w:footnote w:id="15">
    <w:p w:rsidR="00A720C9" w:rsidRDefault="00283F14">
      <w:pPr>
        <w:pStyle w:val="a4"/>
        <w:jc w:val="both"/>
      </w:pPr>
      <w:r>
        <w:rPr>
          <w:vertAlign w:val="superscript"/>
        </w:rPr>
        <w:footnoteRef/>
      </w:r>
      <w:r>
        <w:t xml:space="preserve">Упоминания </w:t>
      </w:r>
      <w:r>
        <w:t>о подготовке этого Международного дня молодежи можно найти в протоколах заседания секретариата партии от 4 августа 19</w:t>
      </w:r>
      <w:r>
        <w:t xml:space="preserve">31 г.; в письме «Рене» (Бемара Фройнда) от имени секретариата Федерации португальской коммунистической молодежи «черному Жюлю», который поддерживал связь в Париже с Коммунистическим Интернационалом молодежи, от 19 августа; а также в новых письмах «Рене» к </w:t>
      </w:r>
      <w:r>
        <w:t>«Жюлю» от 27 августа и 6 сентября.</w:t>
      </w:r>
      <w:r>
        <w:softHyphen/>
      </w:r>
    </w:p>
    <w:p w:rsidR="00A720C9" w:rsidRDefault="00283F14">
      <w:pPr>
        <w:pStyle w:val="a4"/>
        <w:jc w:val="both"/>
      </w:pPr>
      <w:r>
        <w:t>В протоколе от 4 августа говорится, что от ФЕОР было получено письмо, «в котором она просит моральную и материальную поддержку ПКП в связи с празднованием Международного дня молодежи». Сообщается, что письмо вызвало «бол</w:t>
      </w:r>
      <w:r>
        <w:t>ьшое обсуждение из-за того, что в настоящее время считается, что у партии мало возможностей для оказания этой помощи», и тем временем было решено рекламировать значение дня. В первом письме к «Жюлю» говорится, что подготовка JIJ находится в центре внимания</w:t>
      </w:r>
      <w:r>
        <w:t xml:space="preserve"> Федерации, «несмотря на абсолютную пассивность со стороны партии» (курсив в оригинале). Последние два письма объясняют причины, по которым восстание 26 августа, приведшее на практике к осадному положению, сделало запланированную демонстрацию невозможной, </w:t>
      </w:r>
      <w:r>
        <w:t>несмотря на уже сделанные приготовления.</w:t>
      </w:r>
      <w:r>
        <w:softHyphen/>
      </w:r>
    </w:p>
  </w:footnote>
  <w:footnote w:id="16">
    <w:p w:rsidR="00A720C9" w:rsidRDefault="00283F14">
      <w:pPr>
        <w:pStyle w:val="a4"/>
        <w:spacing w:line="197" w:lineRule="auto"/>
        <w:jc w:val="both"/>
      </w:pPr>
      <w:r>
        <w:rPr>
          <w:vertAlign w:val="superscript"/>
        </w:rPr>
        <w:footnoteRef/>
      </w:r>
      <w:r>
        <w:t xml:space="preserve">В </w:t>
      </w:r>
      <w:r>
        <w:t>качестве краткого изложения темы можно обратиться к тексту сообщения, сделанного нами в 1980 году на коллоквиуме по фашизму на факультете литературы под названием «От политики «класс против класса» к истокам антифашистской стратегии». . Материалы коллокв</w:t>
      </w:r>
      <w:r>
        <w:t>иума публикуются в изданиях «Правила игры».</w:t>
      </w:r>
    </w:p>
  </w:footnote>
  <w:footnote w:id="17">
    <w:p w:rsidR="00A720C9" w:rsidRDefault="00283F14">
      <w:pPr>
        <w:pStyle w:val="a4"/>
        <w:spacing w:line="206" w:lineRule="auto"/>
        <w:jc w:val="both"/>
      </w:pPr>
      <w:r>
        <w:t xml:space="preserve">«Diario </w:t>
      </w:r>
      <w:r>
        <w:t>de Notícias» от 29 и 30 апреля 1931 года содержит достаточно информации об этой борьбе. Забастовка начинается 24 числа на медицинском факультете в Лиссабоне и в</w:t>
      </w:r>
    </w:p>
  </w:footnote>
  <w:footnote w:id="18">
    <w:p w:rsidR="00A720C9" w:rsidRDefault="00283F14">
      <w:pPr>
        <w:pStyle w:val="a4"/>
        <w:ind w:firstLine="360"/>
        <w:jc w:val="both"/>
      </w:pPr>
      <w:r>
        <w:rPr>
          <w:vertAlign w:val="superscript"/>
        </w:rPr>
        <w:footnoteRef/>
      </w:r>
      <w:r>
        <w:t xml:space="preserve">В </w:t>
      </w:r>
      <w:r>
        <w:t>частности, в этом письме запрашиваются и</w:t>
      </w:r>
      <w:r>
        <w:t>нструкции по основаниям и организационным критериям, которым необходимо следовать, со ссылкой на пример Испании в качестве возможной модели.</w:t>
      </w:r>
    </w:p>
  </w:footnote>
  <w:footnote w:id="19">
    <w:p w:rsidR="00A720C9" w:rsidRDefault="00283F14">
      <w:pPr>
        <w:pStyle w:val="a4"/>
        <w:ind w:firstLine="360"/>
        <w:jc w:val="both"/>
      </w:pPr>
      <w:r>
        <w:rPr>
          <w:i/>
          <w:iCs/>
          <w:vertAlign w:val="superscript"/>
        </w:rPr>
        <w:footnoteRef/>
      </w:r>
      <w:r>
        <w:rPr>
          <w:i/>
          <w:iCs/>
        </w:rPr>
        <w:t xml:space="preserve">Два </w:t>
      </w:r>
      <w:r>
        <w:rPr>
          <w:i/>
          <w:iCs/>
        </w:rPr>
        <w:t>слова,</w:t>
      </w:r>
      <w:r>
        <w:t>в Bento Goncalves, изд. Мнение, с. 155.</w:t>
      </w:r>
    </w:p>
  </w:footnote>
  <w:footnote w:id="20">
    <w:p w:rsidR="00A720C9" w:rsidRDefault="00283F14">
      <w:pPr>
        <w:pStyle w:val="a4"/>
        <w:ind w:firstLine="360"/>
        <w:jc w:val="both"/>
      </w:pPr>
      <w:r>
        <w:rPr>
          <w:vertAlign w:val="superscript"/>
        </w:rPr>
        <w:footnoteRef/>
      </w:r>
      <w:r>
        <w:t xml:space="preserve">Из </w:t>
      </w:r>
      <w:r>
        <w:t>протоколов партийного секретариата мы имеем представление об</w:t>
      </w:r>
      <w:r>
        <w:t xml:space="preserve"> организационных усилиях Академии в последующие месяцы. На собрании 12 октября 1931 г. «Витор Серхио [то есть Велес Грило] отчитался о работе, проведенной по организации студентов в Лиссабоне и Порту». На собрании 21 декабря «Серджио» сообщает о том, что с</w:t>
      </w:r>
      <w:r>
        <w:t>делано в Академии, подтверждая, что только в Агрономии и Технико есть наброски организации». В это время установилась определенная полемика между «Серхио» и Р.М. (то есть «Рауль Маркес», псевдоним Хосе де Соуза), который критиковал первого за то, что он не</w:t>
      </w:r>
      <w:r>
        <w:t xml:space="preserve"> издал запланированную газету, будучи «несколькими годами позже несколько месяцев ничего не делая». На заседании 9 января 1932 г. «Серджио» сообщает о создании центральной комиссии со связями со всеми высшими учебными заведениями и представляет программу д</w:t>
      </w:r>
      <w:r>
        <w:t>еятельности в Академии, которая резко критикуется как идентичная «буржуазной программе». Также на этом собрании Хосе де Соуза впервые представляет предложение об организации групп академической защиты, которые будут эффективно сформированы и достигнут опре</w:t>
      </w:r>
      <w:r>
        <w:t>деленного влияния в последующие годы.</w:t>
      </w:r>
      <w:r>
        <w:softHyphen/>
      </w:r>
      <w:r>
        <w:softHyphen/>
      </w:r>
      <w:r>
        <w:softHyphen/>
      </w:r>
    </w:p>
  </w:footnote>
  <w:footnote w:id="21">
    <w:p w:rsidR="00A720C9" w:rsidRDefault="00283F14">
      <w:pPr>
        <w:pStyle w:val="a4"/>
        <w:ind w:firstLine="360"/>
        <w:jc w:val="both"/>
      </w:pPr>
      <w:r>
        <w:rPr>
          <w:vertAlign w:val="superscript"/>
        </w:rPr>
        <w:footnoteRef/>
      </w:r>
      <w:r>
        <w:t xml:space="preserve">Устные </w:t>
      </w:r>
      <w:r>
        <w:t>показания Мануэля Альпедриньи от 3 ноября 1980 г.</w:t>
      </w:r>
    </w:p>
  </w:footnote>
  <w:footnote w:id="22">
    <w:p w:rsidR="00A720C9" w:rsidRDefault="00283F14">
      <w:pPr>
        <w:pStyle w:val="a4"/>
        <w:ind w:firstLine="360"/>
        <w:jc w:val="both"/>
      </w:pPr>
      <w:r>
        <w:rPr>
          <w:vertAlign w:val="superscript"/>
        </w:rPr>
        <w:t>35</w:t>
      </w:r>
      <w:r>
        <w:t xml:space="preserve">Мануэль </w:t>
      </w:r>
      <w:r>
        <w:t>Альпедринья упоминает, что «Мануэль Рибейро представлен мне примерно в 1930 году как элемент, который вернулся к симпатиям к коммунистам». Это такж</w:t>
      </w:r>
      <w:r>
        <w:t>е, вероятно, относится к Мануэлю Рибейру, указание в отчете Núcleo dos Intellectuais Sympathizantes, что «товарищ «Жозе Бейран» сообщает, что секретариат ПК выполнял обязанности товарища М. Р. в смысле определения его отношения к Ядру». А примечание на пол</w:t>
      </w:r>
      <w:r>
        <w:t>ях гласит: «Мы были удивлены вашим отсутствием и решили дождаться срочного ответа». На заседании NIS 17 декабря «товарищ Хосе Бейран сообщил, что его разыскивает товарищ М. Р., который сообщил ему о своем отсутствии на предыдущих заседаниях и о своем желан</w:t>
      </w:r>
      <w:r>
        <w:t>ии в ближайшее время дать объяснение своего политического поведения».</w:t>
      </w:r>
    </w:p>
  </w:footnote>
  <w:footnote w:id="23">
    <w:p w:rsidR="00A720C9" w:rsidRDefault="00283F14">
      <w:pPr>
        <w:pStyle w:val="a4"/>
        <w:spacing w:line="214" w:lineRule="auto"/>
        <w:ind w:firstLine="1000"/>
        <w:jc w:val="both"/>
      </w:pPr>
      <w:r>
        <w:rPr>
          <w:vertAlign w:val="superscript"/>
        </w:rPr>
        <w:footnoteRef/>
      </w:r>
      <w:r>
        <w:t xml:space="preserve">В </w:t>
      </w:r>
      <w:r>
        <w:t>Красном Фронте, № 1, октябрь 1932 г., с. два.</w:t>
      </w:r>
    </w:p>
  </w:footnote>
  <w:footnote w:id="24">
    <w:p w:rsidR="00A720C9" w:rsidRDefault="00283F14">
      <w:pPr>
        <w:pStyle w:val="a4"/>
        <w:spacing w:line="214" w:lineRule="auto"/>
        <w:ind w:left="660"/>
        <w:jc w:val="both"/>
      </w:pPr>
      <w:r>
        <w:rPr>
          <w:vertAlign w:val="superscript"/>
        </w:rPr>
        <w:footnoteRef/>
      </w:r>
      <w:r>
        <w:t>"Терроризм</w:t>
      </w:r>
      <w:r>
        <w:t xml:space="preserve">? Нет. Массовая борьба», в O Jovem, № 20, март 1933 г., с. 2 Это одна из редких статей, подписанных (в данном случае «Павел», </w:t>
      </w:r>
      <w:r>
        <w:t>псевдоним Франсиско Паула де Оливейра).</w:t>
      </w:r>
    </w:p>
  </w:footnote>
  <w:footnote w:id="25">
    <w:p w:rsidR="00A720C9" w:rsidRDefault="00283F14">
      <w:pPr>
        <w:pStyle w:val="a4"/>
        <w:spacing w:line="199" w:lineRule="auto"/>
        <w:ind w:left="680"/>
        <w:jc w:val="both"/>
      </w:pPr>
      <w:r>
        <w:rPr>
          <w:vertAlign w:val="superscript"/>
        </w:rPr>
        <w:footnoteRef/>
      </w:r>
      <w:r>
        <w:t xml:space="preserve">«Разоблачать </w:t>
      </w:r>
      <w:r>
        <w:t>маневры буржуазии, возбуждать в рабочих постоянное пламя ненависти к нынешнему режиму, распространять и разъяснять основные вопросы революции, выходить на улицы для распространения агитации, — вот когда</w:t>
      </w:r>
      <w:r>
        <w:t xml:space="preserve"> организм находит себя в окружении врагов всего порядка, важная работа, однако этого недостаточно.</w:t>
      </w:r>
      <w:r>
        <w:softHyphen/>
      </w:r>
      <w:r>
        <w:softHyphen/>
      </w:r>
    </w:p>
    <w:p w:rsidR="00A720C9" w:rsidRDefault="00283F14">
      <w:pPr>
        <w:pStyle w:val="a4"/>
        <w:spacing w:line="199" w:lineRule="auto"/>
        <w:ind w:firstLine="1020"/>
        <w:jc w:val="both"/>
      </w:pPr>
      <w:r>
        <w:t>«Письменная пропаганда очень важна, а агитация совершенно необходима, при условии, что мы рассматриваем эти факторы как предварительные для работы, имеющей</w:t>
      </w:r>
      <w:r>
        <w:t xml:space="preserve"> большую дальнейшую пользу и совершенно объективной: коллективного движения масс».</w:t>
      </w:r>
      <w:r>
        <w:softHyphen/>
      </w:r>
    </w:p>
  </w:footnote>
  <w:footnote w:id="26">
    <w:p w:rsidR="00A720C9" w:rsidRDefault="00283F14">
      <w:pPr>
        <w:pStyle w:val="a4"/>
        <w:spacing w:line="194" w:lineRule="auto"/>
        <w:ind w:left="700" w:firstLine="320"/>
        <w:jc w:val="both"/>
      </w:pPr>
      <w:r>
        <w:rPr>
          <w:vertAlign w:val="superscript"/>
        </w:rPr>
        <w:footnoteRef/>
      </w:r>
      <w:r>
        <w:t xml:space="preserve">См. </w:t>
      </w:r>
      <w:r>
        <w:t>Die Kommunistische Internationale. Kurzer historischer Abriss, Dietz Verlag Berin, 1970, стр. 379-397.</w:t>
      </w:r>
    </w:p>
  </w:footnote>
  <w:footnote w:id="27">
    <w:p w:rsidR="00A720C9" w:rsidRDefault="00283F14">
      <w:pPr>
        <w:pStyle w:val="a4"/>
        <w:spacing w:line="194" w:lineRule="auto"/>
        <w:ind w:firstLine="1020"/>
        <w:jc w:val="both"/>
      </w:pPr>
      <w:r>
        <w:rPr>
          <w:vertAlign w:val="superscript"/>
        </w:rPr>
        <w:footnoteRef/>
      </w:r>
      <w:r>
        <w:t xml:space="preserve">См. </w:t>
      </w:r>
      <w:r>
        <w:t>Die Kommunistische Internationale (Auswahl von Dokumenten und Reden vom, VI. Weltkongress bis zur Auflõsung der Kommunistischen Internationale), 730 vol. н: 1928-43, Берлин, 1956, стр. 229-258.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F5120"/>
    <w:multiLevelType w:val="multilevel"/>
    <w:tmpl w:val="EB56DA20"/>
    <w:lvl w:ilvl="0">
      <w:start w:val="17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vertAlign w:val="superscript"/>
        <w:lang w:val="pt-PT" w:eastAsia="pt-PT" w:bidi="pt-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C72D61"/>
    <w:multiLevelType w:val="multilevel"/>
    <w:tmpl w:val="385EC07A"/>
    <w:lvl w:ilvl="0">
      <w:start w:val="19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vertAlign w:val="superscript"/>
        <w:lang w:val="pt-PT" w:eastAsia="pt-PT" w:bidi="pt-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6607B0"/>
    <w:multiLevelType w:val="multilevel"/>
    <w:tmpl w:val="34421D80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pt-PT" w:eastAsia="pt-PT" w:bidi="pt-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0A44440"/>
    <w:multiLevelType w:val="multilevel"/>
    <w:tmpl w:val="251E4374"/>
    <w:lvl w:ilvl="0">
      <w:start w:val="7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PT" w:eastAsia="pt-PT" w:bidi="pt-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E1B5EC5"/>
    <w:multiLevelType w:val="multilevel"/>
    <w:tmpl w:val="CEEE3FF4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PT" w:eastAsia="pt-PT" w:bidi="pt-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D7A054E"/>
    <w:multiLevelType w:val="multilevel"/>
    <w:tmpl w:val="64E8A3C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pt-PT" w:eastAsia="pt-PT" w:bidi="pt-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0C9"/>
    <w:rsid w:val="00283F14"/>
    <w:rsid w:val="00A720C9"/>
    <w:rsid w:val="00E5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B6CD42-2886-4319-AE25-58115BCF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Unicode MS" w:eastAsia="Arial Unicode MS" w:hAnsi="Arial Unicode MS" w:cs="Arial Unicode MS"/>
        <w:sz w:val="24"/>
        <w:szCs w:val="24"/>
        <w:lang w:val="pt-PT" w:eastAsia="pt-PT" w:bidi="pt-PT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носка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a5">
    <w:name w:val="Колонтитул_"/>
    <w:basedOn w:val="a0"/>
    <w:link w:val="a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40"/>
      <w:szCs w:val="40"/>
      <w:u w:val="none"/>
    </w:rPr>
  </w:style>
  <w:style w:type="character" w:customStyle="1" w:styleId="a7">
    <w:name w:val="Основной текст_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a4">
    <w:name w:val="Сноска"/>
    <w:basedOn w:val="a"/>
    <w:link w:val="a3"/>
    <w:pPr>
      <w:spacing w:line="202" w:lineRule="auto"/>
      <w:ind w:firstLine="34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10">
    <w:name w:val="Заголовок №1"/>
    <w:basedOn w:val="a"/>
    <w:link w:val="1"/>
    <w:pPr>
      <w:outlineLvl w:val="0"/>
    </w:pPr>
    <w:rPr>
      <w:rFonts w:ascii="Times New Roman" w:eastAsia="Times New Roman" w:hAnsi="Times New Roman" w:cs="Times New Roman"/>
    </w:rPr>
  </w:style>
  <w:style w:type="paragraph" w:customStyle="1" w:styleId="40">
    <w:name w:val="Основной текст (4)"/>
    <w:basedOn w:val="a"/>
    <w:link w:val="4"/>
    <w:rPr>
      <w:rFonts w:ascii="Times New Roman" w:eastAsia="Times New Roman" w:hAnsi="Times New Roman" w:cs="Times New Roman"/>
      <w:sz w:val="13"/>
      <w:szCs w:val="13"/>
    </w:rPr>
  </w:style>
  <w:style w:type="paragraph" w:customStyle="1" w:styleId="a6">
    <w:name w:val="Колонтитул"/>
    <w:basedOn w:val="a"/>
    <w:link w:val="a5"/>
    <w:rPr>
      <w:rFonts w:ascii="Times New Roman" w:eastAsia="Times New Roman" w:hAnsi="Times New Roman" w:cs="Times New Roman"/>
      <w:i/>
      <w:iCs/>
      <w:sz w:val="18"/>
      <w:szCs w:val="18"/>
    </w:rPr>
  </w:style>
  <w:style w:type="paragraph" w:customStyle="1" w:styleId="30">
    <w:name w:val="Основной текст (3)"/>
    <w:basedOn w:val="a"/>
    <w:link w:val="3"/>
    <w:pPr>
      <w:spacing w:after="640" w:line="288" w:lineRule="auto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11">
    <w:name w:val="Основной текст1"/>
    <w:basedOn w:val="a"/>
    <w:link w:val="a7"/>
    <w:pPr>
      <w:ind w:firstLine="30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0">
    <w:name w:val="Основной текст (2)"/>
    <w:basedOn w:val="a"/>
    <w:link w:val="2"/>
    <w:pPr>
      <w:spacing w:after="50" w:line="199" w:lineRule="auto"/>
      <w:ind w:left="660" w:firstLine="360"/>
    </w:pPr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doctranslator.com/ru/?utm_source=onlinedoctranslator&amp;utm_medium=docx&amp;utm_campaign=attribution" TargetMode="External"/><Relationship Id="rId13" Type="http://schemas.openxmlformats.org/officeDocument/2006/relationships/footer" Target="footer5.xml"/><Relationship Id="rId18" Type="http://schemas.openxmlformats.org/officeDocument/2006/relationships/footer" Target="footer10.xml"/><Relationship Id="rId3" Type="http://schemas.openxmlformats.org/officeDocument/2006/relationships/settings" Target="settings.xml"/><Relationship Id="r_odt_hyperlink" Type="http://schemas.openxmlformats.org/officeDocument/2006/relationships/hyperlink" Target="https://www.onlinedoctranslator.com/ru/?utm_source=onlinedoctranslator&amp;utm_medium=docx&amp;utm_campaign=attribution" TargetMode="External"/><Relationship Id="rId21" Type="http://schemas.openxmlformats.org/officeDocument/2006/relationships/footer" Target="footer13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footer" Target="footer8.xml"/><Relationship Id="rId20" Type="http://schemas.openxmlformats.org/officeDocument/2006/relationships/footer" Target="foot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7.xml"/><Relationship Id="rId23" Type="http://schemas.openxmlformats.org/officeDocument/2006/relationships/fontTable" Target="fontTable.xml"/><Relationship Id="r_odt_logo" Type="http://schemas.openxmlformats.org/officeDocument/2006/relationships/image" Target="media/odt_attribution_logo.png"/><Relationship Id="rId10" Type="http://schemas.openxmlformats.org/officeDocument/2006/relationships/footer" Target="footer2.xml"/><Relationship Id="rId19" Type="http://schemas.openxmlformats.org/officeDocument/2006/relationships/footer" Target="footer1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6.xml"/><Relationship Id="rId22" Type="http://schemas.openxmlformats.org/officeDocument/2006/relationships/footer" Target="footer1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20</Pages>
  <Words>7490</Words>
  <Characters>42697</Characters>
  <Application>Microsoft Office Word</Application>
  <DocSecurity>0</DocSecurity>
  <Lines>355</Lines>
  <Paragraphs>100</Paragraphs>
  <ScaleCrop>false</ScaleCrop>
  <Company/>
  <LinksUpToDate>false</LinksUpToDate>
  <CharactersWithSpaces>50087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2023-05-25T11:44:00Z</dcterms:created>
  <dcterms:modified xsi:type="dcterms:W3CDTF">2023-05-25T11:56:00Z</dcterms:modified>
</cp:coreProperties>
</file>