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E27" w:rsidRDefault="006F3E27" w:rsidP="005D4C81">
      <w:pPr>
        <w:rPr>
          <w:lang w:val="en-GB"/>
        </w:rPr>
      </w:pPr>
      <w:r>
        <w:rPr>
          <w:noProof/>
        </w:rPr>
        <w:drawing>
          <wp:anchor distT="0" distB="0" distL="114300" distR="114300" simplePos="0" relativeHeight="251658240" behindDoc="0" locked="0" layoutInCell="1" allowOverlap="1" wp14:anchorId="0623F0BF" wp14:editId="2BD77F6B">
            <wp:simplePos x="0" y="0"/>
            <wp:positionH relativeFrom="margin">
              <wp:posOffset>3280410</wp:posOffset>
            </wp:positionH>
            <wp:positionV relativeFrom="margin">
              <wp:posOffset>-447675</wp:posOffset>
            </wp:positionV>
            <wp:extent cx="3157855" cy="1143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FMLogo2018.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57855" cy="1143000"/>
                    </a:xfrm>
                    <a:prstGeom prst="rect">
                      <a:avLst/>
                    </a:prstGeom>
                  </pic:spPr>
                </pic:pic>
              </a:graphicData>
            </a:graphic>
            <wp14:sizeRelH relativeFrom="margin">
              <wp14:pctWidth>0</wp14:pctWidth>
            </wp14:sizeRelH>
            <wp14:sizeRelV relativeFrom="margin">
              <wp14:pctHeight>0</wp14:pctHeight>
            </wp14:sizeRelV>
          </wp:anchor>
        </w:drawing>
      </w:r>
    </w:p>
    <w:p w:rsidR="006F3E27" w:rsidRDefault="006F3E27" w:rsidP="005D4C81">
      <w:pPr>
        <w:rPr>
          <w:lang w:val="en-GB"/>
        </w:rPr>
      </w:pPr>
    </w:p>
    <w:p w:rsidR="006F3E27" w:rsidRDefault="006F3E27" w:rsidP="005D4C81">
      <w:pPr>
        <w:rPr>
          <w:lang w:val="en-GB"/>
        </w:rPr>
      </w:pPr>
    </w:p>
    <w:p w:rsidR="006F3E27" w:rsidRDefault="006F3E27" w:rsidP="005D4C81">
      <w:pPr>
        <w:rPr>
          <w:lang w:val="en-GB"/>
        </w:rPr>
      </w:pPr>
    </w:p>
    <w:p w:rsidR="006F3E27" w:rsidRDefault="006F3E27" w:rsidP="005D4C81">
      <w:pPr>
        <w:rPr>
          <w:lang w:val="en-GB"/>
        </w:rPr>
      </w:pPr>
    </w:p>
    <w:p w:rsidR="006F3E27" w:rsidRDefault="006F3E27" w:rsidP="005D4C81">
      <w:pPr>
        <w:rPr>
          <w:lang w:val="en-GB"/>
        </w:rPr>
      </w:pPr>
    </w:p>
    <w:p w:rsidR="003E7E88" w:rsidRDefault="003E7E88" w:rsidP="003E7E88">
      <w:pPr>
        <w:pStyle w:val="Heading4"/>
        <w:rPr>
          <w:rFonts w:ascii="Calibri" w:eastAsia="Times New Roman" w:hAnsi="Calibri"/>
          <w:b w:val="0"/>
          <w:bCs w:val="0"/>
          <w:i w:val="0"/>
          <w:iCs w:val="0"/>
          <w:sz w:val="22"/>
          <w:szCs w:val="22"/>
          <w:lang w:val="en-GB"/>
        </w:rPr>
      </w:pPr>
      <w:r>
        <w:rPr>
          <w:rFonts w:ascii="Calibri" w:eastAsia="Times New Roman" w:hAnsi="Calibri"/>
          <w:b w:val="0"/>
          <w:bCs w:val="0"/>
          <w:i w:val="0"/>
          <w:iCs w:val="0"/>
          <w:sz w:val="22"/>
          <w:szCs w:val="22"/>
          <w:lang w:val="en-GB"/>
        </w:rPr>
        <w:t>Date</w:t>
      </w:r>
      <w:r w:rsidR="00F21D79">
        <w:rPr>
          <w:rFonts w:ascii="Calibri" w:eastAsia="Times New Roman" w:hAnsi="Calibri"/>
          <w:b w:val="0"/>
          <w:bCs w:val="0"/>
          <w:i w:val="0"/>
          <w:iCs w:val="0"/>
          <w:sz w:val="22"/>
          <w:szCs w:val="22"/>
          <w:lang w:val="en-GB"/>
        </w:rPr>
        <w:t xml:space="preserve"> </w:t>
      </w:r>
      <w:r w:rsidR="00B375FB">
        <w:rPr>
          <w:rFonts w:ascii="Calibri" w:eastAsia="Times New Roman" w:hAnsi="Calibri"/>
          <w:b w:val="0"/>
          <w:bCs w:val="0"/>
          <w:i w:val="0"/>
          <w:iCs w:val="0"/>
          <w:sz w:val="22"/>
          <w:szCs w:val="22"/>
          <w:lang w:val="en-GB"/>
        </w:rPr>
        <w:t>19/11/2019</w:t>
      </w:r>
    </w:p>
    <w:p w:rsidR="003E7E88" w:rsidRDefault="003E7E88" w:rsidP="005D4C81">
      <w:pPr>
        <w:rPr>
          <w:lang w:val="en-GB"/>
        </w:rPr>
      </w:pPr>
    </w:p>
    <w:p w:rsidR="003E7E88" w:rsidRDefault="003E7E88" w:rsidP="003E7E88">
      <w:pPr>
        <w:pStyle w:val="Heading4"/>
        <w:rPr>
          <w:rFonts w:ascii="Calibri" w:eastAsia="Times New Roman" w:hAnsi="Calibri"/>
          <w:b w:val="0"/>
          <w:bCs w:val="0"/>
          <w:i w:val="0"/>
          <w:iCs w:val="0"/>
          <w:sz w:val="22"/>
          <w:szCs w:val="22"/>
          <w:lang w:val="en-GB"/>
        </w:rPr>
      </w:pPr>
      <w:r>
        <w:rPr>
          <w:rFonts w:ascii="Calibri" w:eastAsia="Times New Roman" w:hAnsi="Calibri"/>
          <w:b w:val="0"/>
          <w:bCs w:val="0"/>
          <w:i w:val="0"/>
          <w:iCs w:val="0"/>
          <w:sz w:val="22"/>
          <w:szCs w:val="22"/>
          <w:lang w:val="en-GB"/>
        </w:rPr>
        <w:t xml:space="preserve">Ref: </w:t>
      </w:r>
      <w:r w:rsidR="00B375FB">
        <w:rPr>
          <w:rFonts w:ascii="Calibri" w:eastAsia="Times New Roman" w:hAnsi="Calibri"/>
          <w:b w:val="0"/>
          <w:bCs w:val="0"/>
          <w:i w:val="0"/>
          <w:iCs w:val="0"/>
          <w:sz w:val="22"/>
          <w:szCs w:val="22"/>
          <w:lang w:val="en-GB"/>
        </w:rPr>
        <w:t>12345</w:t>
      </w:r>
    </w:p>
    <w:p w:rsidR="003E7E88" w:rsidRDefault="003E7E88" w:rsidP="003E7E88"/>
    <w:p w:rsidR="00E211B6" w:rsidRPr="000D05A9" w:rsidRDefault="00E211B6" w:rsidP="00E211B6">
      <w:pPr>
        <w:rPr>
          <w:b/>
        </w:rPr>
      </w:pPr>
      <w:r w:rsidRPr="00C31380">
        <w:rPr>
          <w:rFonts w:eastAsia="Times New Roman"/>
          <w:b/>
          <w:lang w:val="en-GB"/>
        </w:rPr>
        <w:t>Re: Application for a Sea-Fishing Boat Licence</w:t>
      </w:r>
      <w:r>
        <w:rPr>
          <w:rFonts w:eastAsia="Times New Roman"/>
          <w:b/>
          <w:lang w:val="en-GB"/>
        </w:rPr>
        <w:t xml:space="preserve"> for</w:t>
      </w:r>
      <w:r w:rsidRPr="00C31380">
        <w:rPr>
          <w:rFonts w:eastAsia="Times New Roman"/>
          <w:b/>
          <w:lang w:val="en-GB"/>
        </w:rPr>
        <w:t xml:space="preserve"> </w:t>
      </w:r>
      <w:r w:rsidR="00B375FB">
        <w:rPr>
          <w:rFonts w:eastAsia="Times New Roman"/>
          <w:b/>
          <w:lang w:val="en-GB"/>
        </w:rPr>
        <w:t>John</w:t>
      </w:r>
      <w:r>
        <w:rPr>
          <w:rFonts w:eastAsia="Times New Roman"/>
          <w:b/>
          <w:lang w:val="en-GB"/>
        </w:rPr>
        <w:t xml:space="preserve"> </w:t>
      </w:r>
      <w:r w:rsidR="00B375FB">
        <w:rPr>
          <w:rFonts w:eastAsia="Times New Roman"/>
          <w:b/>
          <w:lang w:val="en-GB"/>
        </w:rPr>
        <w:t>Murphy</w:t>
      </w:r>
    </w:p>
    <w:p w:rsidR="00E211B6" w:rsidRDefault="00E211B6" w:rsidP="00E211B6">
      <w:pPr>
        <w:jc w:val="center"/>
        <w:rPr>
          <w:b/>
          <w:bCs/>
        </w:rPr>
      </w:pPr>
    </w:p>
    <w:p w:rsidR="00E211B6" w:rsidRDefault="00E211B6" w:rsidP="00E211B6">
      <w:r>
        <w:t xml:space="preserve">Dear </w:t>
      </w:r>
      <w:r w:rsidR="00B375FB">
        <w:t>John</w:t>
      </w:r>
      <w:r>
        <w:t>,</w:t>
      </w:r>
    </w:p>
    <w:p w:rsidR="003E7E88" w:rsidRDefault="003E7E88" w:rsidP="003E7E88"/>
    <w:p w:rsidR="003E7E88" w:rsidRDefault="003E7E88" w:rsidP="003E7E88">
      <w:r>
        <w:t xml:space="preserve">I refer to your application under section 4 of the Fisheries (Amendment) Act 2003 (as inserted by section 97 of the Sea-Fisheries and Maritime Jurisdiction Act 2006) for a Sea-Fishing Boat Licence for the </w:t>
      </w:r>
      <w:r w:rsidR="00B375FB">
        <w:t>POLYVALENT &gt;= 18m LOA</w:t>
      </w:r>
      <w:r>
        <w:t xml:space="preserve"> Fleet Segment</w:t>
      </w:r>
      <w:r w:rsidR="00C31380">
        <w:t>.</w:t>
      </w:r>
    </w:p>
    <w:p w:rsidR="003E7E88" w:rsidRDefault="003E7E88" w:rsidP="003E7E88">
      <w:pPr>
        <w:rPr>
          <w:color w:val="1F497D"/>
        </w:rPr>
      </w:pPr>
    </w:p>
    <w:p w:rsidR="003E7E88" w:rsidRDefault="003E7E88" w:rsidP="003E7E88">
      <w:r>
        <w:t xml:space="preserve">The conditions contained in this letter of licence offer are based on current licensing policy and the details provided with your application.  It should be noted, however, that licensing policy is subject to change.  The Licensing Authority is required to implement licensing policy in place at the time the vessel is actually being licensed, and to have regard to other relevant matters. It should also be noted that any subsequent changes in these details (following verifications from, for instance, the Marine Survey Office), particularly in relation to the length of the vessel, could give rise to further conditions or revised conditions.  These new or revised conditions would also have to be complied with before a sea-fishing boat licence could issue in respect of your vessel.  It is important, therefore, that the most accurate possible information is provided to the Licensing Authority as soon as possible.  </w:t>
      </w:r>
    </w:p>
    <w:p w:rsidR="003E7E88" w:rsidRDefault="003E7E88" w:rsidP="003E7E88"/>
    <w:p w:rsidR="003E7E88" w:rsidRDefault="003E7E88" w:rsidP="003E7E88">
      <w:r>
        <w:t xml:space="preserve">I am to point out that this licence offer </w:t>
      </w:r>
      <w:r>
        <w:rPr>
          <w:b/>
          <w:bCs/>
          <w:u w:val="single"/>
        </w:rPr>
        <w:t>does not confer the right to fish.</w:t>
      </w:r>
      <w:r>
        <w:t>  You may not engage in any fishing activities until a formal licence has issued and the</w:t>
      </w:r>
      <w:r w:rsidR="00CE1EF0">
        <w:t xml:space="preserve"> vessel is properly registered</w:t>
      </w:r>
      <w:r>
        <w:t>, at a Port within the State, as required, under the Sea-Fisheries and Maritime Jurisdiction Act 2006.</w:t>
      </w:r>
    </w:p>
    <w:p w:rsidR="003E7E88" w:rsidRDefault="003E7E88" w:rsidP="003E7E88"/>
    <w:p w:rsidR="003E7E88" w:rsidRDefault="003E7E88" w:rsidP="003E7E88"/>
    <w:p w:rsidR="003E7E88" w:rsidRPr="00F21D79" w:rsidRDefault="003E7E88" w:rsidP="003E7E88">
      <w:pPr>
        <w:rPr>
          <w:rFonts w:asciiTheme="minorHAnsi" w:hAnsiTheme="minorHAnsi"/>
        </w:rPr>
      </w:pPr>
    </w:p>
    <w:p w:rsidR="00F21D79" w:rsidRPr="00F21D79" w:rsidRDefault="00F21D79" w:rsidP="00F21D79">
      <w:pPr>
        <w:pStyle w:val="Header"/>
        <w:tabs>
          <w:tab w:val="left" w:pos="-720"/>
        </w:tabs>
        <w:suppressAutoHyphens/>
        <w:jc w:val="center"/>
        <w:rPr>
          <w:rFonts w:asciiTheme="minorHAnsi" w:hAnsiTheme="minorHAnsi"/>
          <w:b/>
          <w:sz w:val="32"/>
          <w:szCs w:val="32"/>
          <w:u w:val="single"/>
        </w:rPr>
      </w:pPr>
      <w:r w:rsidRPr="00F21D79">
        <w:rPr>
          <w:rFonts w:asciiTheme="minorHAnsi" w:hAnsiTheme="minorHAnsi"/>
          <w:b/>
          <w:sz w:val="32"/>
          <w:szCs w:val="32"/>
          <w:u w:val="single"/>
        </w:rPr>
        <w:t>Licence Offer Conditions</w:t>
      </w:r>
    </w:p>
    <w:p w:rsidR="00F21D79" w:rsidRPr="00F21D79" w:rsidRDefault="00F21D79" w:rsidP="00F21D79">
      <w:pPr>
        <w:pStyle w:val="Header"/>
        <w:tabs>
          <w:tab w:val="left" w:pos="-720"/>
        </w:tabs>
        <w:suppressAutoHyphens/>
        <w:jc w:val="center"/>
        <w:rPr>
          <w:rFonts w:asciiTheme="minorHAnsi" w:hAnsiTheme="minorHAnsi"/>
          <w:b/>
          <w:u w:val="single"/>
        </w:rPr>
      </w:pPr>
    </w:p>
    <w:p w:rsidR="00B375FB" w:rsidRDefault="00F21D79" w:rsidP="00F21D79">
      <w:pPr>
        <w:pStyle w:val="Header"/>
        <w:tabs>
          <w:tab w:val="left" w:pos="-720"/>
        </w:tabs>
        <w:suppressAutoHyphens/>
        <w:jc w:val="center"/>
        <w:rPr>
          <w:rFonts w:asciiTheme="minorHAnsi" w:hAnsiTheme="minorHAnsi"/>
          <w:b/>
          <w:color w:val="000000" w:themeColor="text1"/>
          <w:u w:val="single"/>
        </w:rPr>
      </w:pPr>
      <w:r w:rsidRPr="00F21D79">
        <w:rPr>
          <w:rFonts w:asciiTheme="minorHAnsi" w:hAnsiTheme="minorHAnsi"/>
          <w:b/>
          <w:color w:val="000000" w:themeColor="text1"/>
          <w:u w:val="single"/>
        </w:rPr>
        <w:t xml:space="preserve">Acceptance Conditions Where Supporting Documentation Needs </w:t>
      </w:r>
      <w:proofErr w:type="gramStart"/>
      <w:r w:rsidRPr="00F21D79">
        <w:rPr>
          <w:rFonts w:asciiTheme="minorHAnsi" w:hAnsiTheme="minorHAnsi"/>
          <w:b/>
          <w:color w:val="000000" w:themeColor="text1"/>
          <w:u w:val="single"/>
        </w:rPr>
        <w:t>To</w:t>
      </w:r>
      <w:proofErr w:type="gramEnd"/>
      <w:r w:rsidRPr="00F21D79">
        <w:rPr>
          <w:rFonts w:asciiTheme="minorHAnsi" w:hAnsiTheme="minorHAnsi"/>
          <w:b/>
          <w:color w:val="000000" w:themeColor="text1"/>
          <w:u w:val="single"/>
        </w:rPr>
        <w:t xml:space="preserve"> Be Provided (i.e. Acceptance Plus Supporting Documentation)</w:t>
      </w:r>
    </w:p>
    <w:p w:rsidR="00F21D79" w:rsidRPr="00F21D79" w:rsidRDefault="00F21D79" w:rsidP="00F21D79">
      <w:pPr>
        <w:pStyle w:val="Header"/>
        <w:tabs>
          <w:tab w:val="left" w:pos="-720"/>
        </w:tabs>
        <w:suppressAutoHyphens/>
        <w:jc w:val="center"/>
        <w:rPr>
          <w:rFonts w:asciiTheme="minorHAnsi" w:hAnsiTheme="minorHAnsi"/>
          <w:b/>
          <w:color w:val="000000" w:themeColor="text1"/>
          <w:u w:val="single"/>
        </w:rPr>
      </w:pPr>
      <w:r w:rsidRPr="00F21D79">
        <w:rPr>
          <w:rFonts w:asciiTheme="minorHAnsi" w:hAnsiTheme="minorHAnsi"/>
          <w:b/>
          <w:color w:val="000000" w:themeColor="text1"/>
          <w:u w:val="single"/>
        </w:rPr>
        <w:t xml:space="preserve"> </w:t>
      </w:r>
    </w:p>
    <w:tbl>
      <w:tblPr>
        <w:tblStyle w:val="TableGrid"/>
        <w:tblW w:w="0" w:type="auto"/>
        <w:tblLook w:val="04A0" w:firstRow="1" w:lastRow="0" w:firstColumn="1" w:lastColumn="0" w:noHBand="0" w:noVBand="1"/>
      </w:tblPr>
      <w:tblGrid>
        <w:gridCol w:w="9242"/>
      </w:tblGrid>
      <w:tr w:rsidR="00720B0F" w:rsidTr="00720B0F">
        <w:tc>
          <w:tcPr>
            <w:tcW w:w="9242" w:type="dxa"/>
            <w:tcBorders>
              <w:top w:val="dashed" w:sz="4" w:space="0" w:color="auto"/>
              <w:left w:val="dashed" w:sz="4" w:space="0" w:color="auto"/>
              <w:bottom w:val="dashed" w:sz="4" w:space="0" w:color="auto"/>
              <w:right w:val="dashed" w:sz="4" w:space="0" w:color="auto"/>
            </w:tcBorders>
          </w:tcPr>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provision of your Personal Public Service Number (PPSN</w:t>
            </w:r>
            <w:r>
              <w:rPr>
                <w:rFonts w:ascii="Courier New" w:eastAsia="Times New Roman" w:hAnsi="Courier New" w:cs="Courier New"/>
                <w:color w:val="000000"/>
                <w:sz w:val="18"/>
                <w:szCs w:val="18"/>
              </w:rPr>
              <w:t>)</w:t>
            </w:r>
          </w:p>
          <w:p w:rsidR="00B375FB" w:rsidRDefault="00B375FB" w:rsidP="00B3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provision of two colour photographs of the vessel, signed and dated by a Sea Fishery Officer of the Department or a BIM Area Officer</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provision of satisfactory details of ownership of the vessel - Bill of Sale, Builder's Certificate or other legal contract</w:t>
            </w:r>
          </w:p>
          <w:p w:rsidR="00B375FB" w:rsidRDefault="00B375FB" w:rsidP="00B3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 xml:space="preserve">For vessels of 15 metres in length overall (Loa) and over but less than 24 metres in length (L):__The provision of a vessel condition survey report carried out by a marine surveyor, which confirms that the vessel is in a safe and seaworthy condition.  (The report must actually state this or else it will be returned)._The Marine Survey Office will also have to </w:t>
            </w:r>
            <w:r w:rsidRPr="00B375FB">
              <w:rPr>
                <w:rFonts w:ascii="Courier New" w:eastAsia="Times New Roman" w:hAnsi="Courier New" w:cs="Courier New"/>
                <w:color w:val="000000"/>
                <w:sz w:val="18"/>
                <w:szCs w:val="18"/>
              </w:rPr>
              <w:lastRenderedPageBreak/>
              <w:t xml:space="preserve">inspect the vessel to ensure compliance with relevant statutory safety requirements. You should contact the Marine Survey Office directly to arrange for the vessel inspection to be carried out (Tel: 01-6783400)._It should be noted that as of 1 October 2007, the Maritime Safety Directorate has introduced new safety regulations for new fishing vessels of 15 metres in length overall (Loa) and over but less than 24 metres in length (L) ('new vessel' means a vessel the keel of which is laid or which is at similar stage of construction on or after 1 October 2007).  The Regulations include a survey regime, which will require an initial survey, biennial and renewal surveys during a 4-year cycle. The survey regime will require the vessels to be inspected out of the water during the initial and renewal </w:t>
            </w:r>
            <w:proofErr w:type="spellStart"/>
            <w:r w:rsidRPr="00B375FB">
              <w:rPr>
                <w:rFonts w:ascii="Courier New" w:eastAsia="Times New Roman" w:hAnsi="Courier New" w:cs="Courier New"/>
                <w:color w:val="000000"/>
                <w:sz w:val="18"/>
                <w:szCs w:val="18"/>
              </w:rPr>
              <w:t>surveys._The</w:t>
            </w:r>
            <w:proofErr w:type="spellEnd"/>
            <w:r w:rsidRPr="00B375FB">
              <w:rPr>
                <w:rFonts w:ascii="Courier New" w:eastAsia="Times New Roman" w:hAnsi="Courier New" w:cs="Courier New"/>
                <w:color w:val="000000"/>
                <w:sz w:val="18"/>
                <w:szCs w:val="18"/>
              </w:rPr>
              <w:t xml:space="preserve"> regulation will come into effect for other vessels in this category from 1 October 2008, 1 October 2009 or 1 October 2010, depending on the age of the vessel. Further information concerning these new regulations is available from the Marine Survey Office. The relevant Marine Notice is Marine Notice No. 32 of 2007;__For vessels under 15 metres in overall </w:t>
            </w:r>
            <w:proofErr w:type="spellStart"/>
            <w:r w:rsidRPr="00B375FB">
              <w:rPr>
                <w:rFonts w:ascii="Courier New" w:eastAsia="Times New Roman" w:hAnsi="Courier New" w:cs="Courier New"/>
                <w:color w:val="000000"/>
                <w:sz w:val="18"/>
                <w:szCs w:val="18"/>
              </w:rPr>
              <w:t>length:__The</w:t>
            </w:r>
            <w:proofErr w:type="spellEnd"/>
            <w:r w:rsidRPr="00B375FB">
              <w:rPr>
                <w:rFonts w:ascii="Courier New" w:eastAsia="Times New Roman" w:hAnsi="Courier New" w:cs="Courier New"/>
                <w:color w:val="000000"/>
                <w:sz w:val="18"/>
                <w:szCs w:val="18"/>
              </w:rPr>
              <w:t xml:space="preserve"> provision of a declaration of compliance of the vessel with the Code of Practice in relation to the safety of fishing vessels of less than 15 metres in overall length.  The declaration must be made, following survey of the vessel, by an authorised person on the panel of marine surveyors established for this purpose by the Marine Survey Office. (Contact details for surveyors on the panel are enclosed herewith.) Where the vessel to be licensed has been the subject of a declaration of compliance with the Code of Practice in a previous owner's name it will be necessary for the applicant, as current owner, to provide a declaration of compliance issued by the surveyor in respect of the vessel in the name of the current owner</w:t>
            </w:r>
          </w:p>
          <w:p w:rsidR="00B375FB" w:rsidRPr="00B375FB" w:rsidRDefault="00B375FB" w:rsidP="00B3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For vessels of 15 metres in length overall (Loa) and over but less than 24 metres in length (L):__Confirmation from the Maritime Radio Affairs Unit that the vessel complies with radio requirements, in accordance with the Fishing Vessels (Radio Installations) Regulations 1998.  You should contact the Maritime Radio Affairs Unit directly to arrange for the necessary vessel radio survey to be</w:t>
            </w:r>
            <w:r>
              <w:rPr>
                <w:rFonts w:ascii="Courier New" w:eastAsia="Times New Roman" w:hAnsi="Courier New" w:cs="Courier New"/>
                <w:color w:val="000000"/>
                <w:sz w:val="18"/>
                <w:szCs w:val="18"/>
              </w:rPr>
              <w:t xml:space="preserve"> carried out (Tel: 01-6783400)</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 xml:space="preserve">The owner and / or master of the vessel to which this licence offer relates shall ensure that the boat and its crew shall comply with any requirements for the time being in force in relation to the safety of fishing vessels and their crews (safety requirements should be taken to include any requirements in relation to radio installations and equipment, and crew training), and shall maintain the vessel in </w:t>
            </w:r>
            <w:r>
              <w:rPr>
                <w:rFonts w:ascii="Courier New" w:eastAsia="Times New Roman" w:hAnsi="Courier New" w:cs="Courier New"/>
                <w:color w:val="000000"/>
                <w:sz w:val="18"/>
                <w:szCs w:val="18"/>
              </w:rPr>
              <w:t>a safe and seaworthy condition</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Confirmation, if the vessel was previously entered on the register of another country, that the vessel has been removed from that register. In this respect, a Certified Transcript from the relevant Natio</w:t>
            </w:r>
            <w:r>
              <w:rPr>
                <w:rFonts w:ascii="Courier New" w:eastAsia="Times New Roman" w:hAnsi="Courier New" w:cs="Courier New"/>
                <w:color w:val="000000"/>
                <w:sz w:val="18"/>
                <w:szCs w:val="18"/>
              </w:rPr>
              <w:t>nal Authority will be required</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Confirmation that no decommissioning grant will have been paid in respect of the vessel. In this respect, if the vessel was previously registered in a Member State of the European Community, written confirmation from the relevant Nation</w:t>
            </w:r>
            <w:r>
              <w:rPr>
                <w:rFonts w:ascii="Courier New" w:eastAsia="Times New Roman" w:hAnsi="Courier New" w:cs="Courier New"/>
                <w:color w:val="000000"/>
                <w:sz w:val="18"/>
                <w:szCs w:val="18"/>
              </w:rPr>
              <w:t>al Authority will be required</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 xml:space="preserve">The capacity of the vessel will have to be established as </w:t>
            </w:r>
            <w:proofErr w:type="spellStart"/>
            <w:r w:rsidRPr="00B375FB">
              <w:rPr>
                <w:rFonts w:ascii="Courier New" w:eastAsia="Times New Roman" w:hAnsi="Courier New" w:cs="Courier New"/>
                <w:color w:val="000000"/>
                <w:sz w:val="18"/>
                <w:szCs w:val="18"/>
              </w:rPr>
              <w:t>follows:_Gross</w:t>
            </w:r>
            <w:proofErr w:type="spellEnd"/>
            <w:r w:rsidRPr="00B375FB">
              <w:rPr>
                <w:rFonts w:ascii="Courier New" w:eastAsia="Times New Roman" w:hAnsi="Courier New" w:cs="Courier New"/>
                <w:color w:val="000000"/>
                <w:sz w:val="18"/>
                <w:szCs w:val="18"/>
              </w:rPr>
              <w:t xml:space="preserve"> </w:t>
            </w:r>
            <w:proofErr w:type="spellStart"/>
            <w:r w:rsidRPr="00B375FB">
              <w:rPr>
                <w:rFonts w:ascii="Courier New" w:eastAsia="Times New Roman" w:hAnsi="Courier New" w:cs="Courier New"/>
                <w:color w:val="000000"/>
                <w:sz w:val="18"/>
                <w:szCs w:val="18"/>
              </w:rPr>
              <w:t>Tonnage:_The</w:t>
            </w:r>
            <w:proofErr w:type="spellEnd"/>
            <w:r w:rsidRPr="00B375FB">
              <w:rPr>
                <w:rFonts w:ascii="Courier New" w:eastAsia="Times New Roman" w:hAnsi="Courier New" w:cs="Courier New"/>
                <w:color w:val="000000"/>
                <w:sz w:val="18"/>
                <w:szCs w:val="18"/>
              </w:rPr>
              <w:t xml:space="preserve"> gross tonnage of all vessels of 15 metres and over in overall length will have to be determined by the Marine Survey </w:t>
            </w:r>
            <w:proofErr w:type="spellStart"/>
            <w:r w:rsidRPr="00B375FB">
              <w:rPr>
                <w:rFonts w:ascii="Courier New" w:eastAsia="Times New Roman" w:hAnsi="Courier New" w:cs="Courier New"/>
                <w:color w:val="000000"/>
                <w:sz w:val="18"/>
                <w:szCs w:val="18"/>
              </w:rPr>
              <w:t>Office._The</w:t>
            </w:r>
            <w:proofErr w:type="spellEnd"/>
            <w:r w:rsidRPr="00B375FB">
              <w:rPr>
                <w:rFonts w:ascii="Courier New" w:eastAsia="Times New Roman" w:hAnsi="Courier New" w:cs="Courier New"/>
                <w:color w:val="000000"/>
                <w:sz w:val="18"/>
                <w:szCs w:val="18"/>
              </w:rPr>
              <w:t xml:space="preserve"> gross tonnage of all vessels less than 15 metres in overall length which are registered under the Mercantile Marine Act 1955 will have to be determined by the Marine Survey </w:t>
            </w:r>
            <w:proofErr w:type="spellStart"/>
            <w:r w:rsidRPr="00B375FB">
              <w:rPr>
                <w:rFonts w:ascii="Courier New" w:eastAsia="Times New Roman" w:hAnsi="Courier New" w:cs="Courier New"/>
                <w:color w:val="000000"/>
                <w:sz w:val="18"/>
                <w:szCs w:val="18"/>
              </w:rPr>
              <w:t>Office._In</w:t>
            </w:r>
            <w:proofErr w:type="spellEnd"/>
            <w:r w:rsidRPr="00B375FB">
              <w:rPr>
                <w:rFonts w:ascii="Courier New" w:eastAsia="Times New Roman" w:hAnsi="Courier New" w:cs="Courier New"/>
                <w:color w:val="000000"/>
                <w:sz w:val="18"/>
                <w:szCs w:val="18"/>
              </w:rPr>
              <w:t xml:space="preserve"> the case of vessels of less than 15 metres overall length and registered under the Sea-Fisheries and Maritime Jurisdiction Act 2006 only, the dimensions of the vessel will have to be confirmed on the enclosed Certificate of Measurement.  These certified dimensions will enable the gross tonnage of the vessel to be determined by the Licensing Authority. (You should retain a copy of the Certificate of Measurement as you may be required to produce it by the Local Registrar.)_Engine Power (kW):_The engine power of all vessels 15 metres and over in overall length will have to be </w:t>
            </w:r>
            <w:r w:rsidRPr="00B375FB">
              <w:rPr>
                <w:rFonts w:ascii="Courier New" w:eastAsia="Times New Roman" w:hAnsi="Courier New" w:cs="Courier New"/>
                <w:color w:val="000000"/>
                <w:sz w:val="18"/>
                <w:szCs w:val="18"/>
              </w:rPr>
              <w:lastRenderedPageBreak/>
              <w:t xml:space="preserve">confirmed by the Marine Survey </w:t>
            </w:r>
            <w:proofErr w:type="spellStart"/>
            <w:r w:rsidRPr="00B375FB">
              <w:rPr>
                <w:rFonts w:ascii="Courier New" w:eastAsia="Times New Roman" w:hAnsi="Courier New" w:cs="Courier New"/>
                <w:color w:val="000000"/>
                <w:sz w:val="18"/>
                <w:szCs w:val="18"/>
              </w:rPr>
              <w:t>Office._The</w:t>
            </w:r>
            <w:proofErr w:type="spellEnd"/>
            <w:r w:rsidRPr="00B375FB">
              <w:rPr>
                <w:rFonts w:ascii="Courier New" w:eastAsia="Times New Roman" w:hAnsi="Courier New" w:cs="Courier New"/>
                <w:color w:val="000000"/>
                <w:sz w:val="18"/>
                <w:szCs w:val="18"/>
              </w:rPr>
              <w:t xml:space="preserve"> engine power of all vessels of less than 15 metres in overall length which are registered under the Mercantile Marine Act 1955 will have to be confirmed by the Marine Survey </w:t>
            </w:r>
            <w:proofErr w:type="spellStart"/>
            <w:r w:rsidRPr="00B375FB">
              <w:rPr>
                <w:rFonts w:ascii="Courier New" w:eastAsia="Times New Roman" w:hAnsi="Courier New" w:cs="Courier New"/>
                <w:color w:val="000000"/>
                <w:sz w:val="18"/>
                <w:szCs w:val="18"/>
              </w:rPr>
              <w:t>Office._In</w:t>
            </w:r>
            <w:proofErr w:type="spellEnd"/>
            <w:r w:rsidRPr="00B375FB">
              <w:rPr>
                <w:rFonts w:ascii="Courier New" w:eastAsia="Times New Roman" w:hAnsi="Courier New" w:cs="Courier New"/>
                <w:color w:val="000000"/>
                <w:sz w:val="18"/>
                <w:szCs w:val="18"/>
              </w:rPr>
              <w:t xml:space="preserve"> the case of vessels under 15 metres overall length and registered under the Sea-Fisheries and Maritime Jurisdiction Act 2006 only, written confirmation of the vessel's engine power is required to be provided from the engine manufacturer or local agent / dealer / installer, a marine surveyor or shipbuilder, or other source acceptable to the Licensing </w:t>
            </w:r>
            <w:proofErr w:type="spellStart"/>
            <w:r w:rsidRPr="00B375FB">
              <w:rPr>
                <w:rFonts w:ascii="Courier New" w:eastAsia="Times New Roman" w:hAnsi="Courier New" w:cs="Courier New"/>
                <w:color w:val="000000"/>
                <w:sz w:val="18"/>
                <w:szCs w:val="18"/>
              </w:rPr>
              <w:t>Authority._Where</w:t>
            </w:r>
            <w:proofErr w:type="spellEnd"/>
            <w:r w:rsidRPr="00B375FB">
              <w:rPr>
                <w:rFonts w:ascii="Courier New" w:eastAsia="Times New Roman" w:hAnsi="Courier New" w:cs="Courier New"/>
                <w:color w:val="000000"/>
                <w:sz w:val="18"/>
                <w:szCs w:val="18"/>
              </w:rPr>
              <w:t xml:space="preserve"> the engine of a vessel under 15 metres overall length has been / is being de-rated, the enclosed form SUR 118 (Certificate of Particulars</w:t>
            </w:r>
            <w:r>
              <w:rPr>
                <w:rFonts w:ascii="Courier New" w:eastAsia="Times New Roman" w:hAnsi="Courier New" w:cs="Courier New"/>
                <w:color w:val="000000"/>
                <w:sz w:val="18"/>
                <w:szCs w:val="18"/>
              </w:rPr>
              <w:t xml:space="preserve"> of Engines) must be completed</w:t>
            </w:r>
          </w:p>
          <w:p w:rsidR="00B375FB" w:rsidRDefault="00B375FB" w:rsidP="00B375F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eastAsia="Times New Roman" w:hAnsi="Courier New" w:cs="Courier New"/>
                <w:color w:val="000000"/>
                <w:sz w:val="18"/>
                <w:szCs w:val="18"/>
              </w:rPr>
            </w:pPr>
          </w:p>
          <w:p w:rsidR="00B375FB" w:rsidRDefault="00B375FB" w:rsidP="00B375FB">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 xml:space="preserve">The provision of documentary evidence that you have provided the required replacement capacity (in terms of gross tonnage and engine power), removed from the Fishing Boat Register.  Current licensing policy requires that replacement capacity be provided on a 1:1 basis from the relevant fleet sub-segment in accordance with Ministerial Policy Directive 1/2006. An extract from the Directive is attached for your convenience. A copy of the Directive is available from www.dcmnr.ie or the Licensing </w:t>
            </w:r>
            <w:proofErr w:type="spellStart"/>
            <w:r w:rsidRPr="00B375FB">
              <w:rPr>
                <w:rFonts w:ascii="Courier New" w:eastAsia="Times New Roman" w:hAnsi="Courier New" w:cs="Courier New"/>
                <w:color w:val="000000"/>
                <w:sz w:val="18"/>
                <w:szCs w:val="18"/>
              </w:rPr>
              <w:t>Authority._Please</w:t>
            </w:r>
            <w:proofErr w:type="spellEnd"/>
            <w:r w:rsidRPr="00B375FB">
              <w:rPr>
                <w:rFonts w:ascii="Courier New" w:eastAsia="Times New Roman" w:hAnsi="Courier New" w:cs="Courier New"/>
                <w:color w:val="000000"/>
                <w:sz w:val="18"/>
                <w:szCs w:val="18"/>
              </w:rPr>
              <w:t xml:space="preserve"> note that capacity that is 'off-register' for two years or more is no longer ava</w:t>
            </w:r>
            <w:r>
              <w:rPr>
                <w:rFonts w:ascii="Courier New" w:eastAsia="Times New Roman" w:hAnsi="Courier New" w:cs="Courier New"/>
                <w:color w:val="000000"/>
                <w:sz w:val="18"/>
                <w:szCs w:val="18"/>
              </w:rPr>
              <w:t>ilable as replacement capacity</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Pr="00B375FB" w:rsidRDefault="00B375FB" w:rsidP="003E7E88">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p>
        </w:tc>
      </w:tr>
    </w:tbl>
    <w:p w:rsidR="003E7E88" w:rsidRDefault="003E7E88" w:rsidP="003E7E88"/>
    <w:p w:rsidR="00F45623" w:rsidRPr="00F45623" w:rsidRDefault="00F45623" w:rsidP="003E7E88">
      <w:pPr>
        <w:rPr>
          <w:rFonts w:asciiTheme="minorHAnsi" w:hAnsiTheme="minorHAnsi"/>
          <w:b/>
          <w:color w:val="000000" w:themeColor="text1"/>
          <w:sz w:val="24"/>
          <w:szCs w:val="24"/>
          <w:u w:val="single"/>
        </w:rPr>
      </w:pPr>
    </w:p>
    <w:p w:rsidR="00F45623" w:rsidRPr="00F45623" w:rsidRDefault="00F45623" w:rsidP="00F45623">
      <w:pPr>
        <w:tabs>
          <w:tab w:val="left" w:pos="-720"/>
          <w:tab w:val="left" w:pos="0"/>
        </w:tabs>
        <w:suppressAutoHyphens/>
        <w:jc w:val="center"/>
        <w:rPr>
          <w:rFonts w:asciiTheme="minorHAnsi" w:hAnsiTheme="minorHAnsi"/>
          <w:b/>
          <w:color w:val="000000" w:themeColor="text1"/>
          <w:sz w:val="24"/>
          <w:szCs w:val="24"/>
          <w:u w:val="single"/>
        </w:rPr>
      </w:pPr>
      <w:r w:rsidRPr="00F45623">
        <w:rPr>
          <w:rFonts w:asciiTheme="minorHAnsi" w:hAnsiTheme="minorHAnsi"/>
          <w:b/>
          <w:color w:val="000000" w:themeColor="text1"/>
          <w:sz w:val="24"/>
          <w:szCs w:val="24"/>
          <w:u w:val="single"/>
        </w:rPr>
        <w:t xml:space="preserve">Acceptance Conditions Where No Supporting Documentation Is Required To </w:t>
      </w:r>
      <w:r>
        <w:rPr>
          <w:rFonts w:asciiTheme="minorHAnsi" w:hAnsiTheme="minorHAnsi"/>
          <w:b/>
          <w:color w:val="000000" w:themeColor="text1"/>
          <w:sz w:val="24"/>
          <w:szCs w:val="24"/>
          <w:u w:val="single"/>
        </w:rPr>
        <w:t>b</w:t>
      </w:r>
      <w:r w:rsidRPr="00F45623">
        <w:rPr>
          <w:rFonts w:asciiTheme="minorHAnsi" w:hAnsiTheme="minorHAnsi"/>
          <w:b/>
          <w:color w:val="000000" w:themeColor="text1"/>
          <w:sz w:val="24"/>
          <w:szCs w:val="24"/>
          <w:u w:val="single"/>
        </w:rPr>
        <w:t xml:space="preserve">e </w:t>
      </w:r>
      <w:proofErr w:type="gramStart"/>
      <w:r w:rsidRPr="00F45623">
        <w:rPr>
          <w:rFonts w:asciiTheme="minorHAnsi" w:hAnsiTheme="minorHAnsi"/>
          <w:b/>
          <w:color w:val="000000" w:themeColor="text1"/>
          <w:sz w:val="24"/>
          <w:szCs w:val="24"/>
          <w:u w:val="single"/>
        </w:rPr>
        <w:t>Provided</w:t>
      </w:r>
      <w:proofErr w:type="gramEnd"/>
      <w:r w:rsidRPr="00F45623">
        <w:rPr>
          <w:rFonts w:asciiTheme="minorHAnsi" w:hAnsiTheme="minorHAnsi"/>
          <w:b/>
          <w:color w:val="000000" w:themeColor="text1"/>
          <w:sz w:val="24"/>
          <w:szCs w:val="24"/>
          <w:u w:val="single"/>
        </w:rPr>
        <w:t xml:space="preserve"> (i.e. Acceptance Required Only)</w:t>
      </w:r>
    </w:p>
    <w:p w:rsidR="00F45623" w:rsidRDefault="00F45623" w:rsidP="003E7E88"/>
    <w:tbl>
      <w:tblPr>
        <w:tblStyle w:val="TableGrid"/>
        <w:tblW w:w="0" w:type="auto"/>
        <w:tblLook w:val="04A0" w:firstRow="1" w:lastRow="0" w:firstColumn="1" w:lastColumn="0" w:noHBand="0" w:noVBand="1"/>
      </w:tblPr>
      <w:tblGrid>
        <w:gridCol w:w="9242"/>
      </w:tblGrid>
      <w:tr w:rsidR="00720B0F" w:rsidTr="00720B0F">
        <w:tc>
          <w:tcPr>
            <w:tcW w:w="9242" w:type="dxa"/>
            <w:tcBorders>
              <w:top w:val="dashed" w:sz="4" w:space="0" w:color="auto"/>
              <w:left w:val="dashed" w:sz="4" w:space="0" w:color="auto"/>
              <w:bottom w:val="dashed" w:sz="4" w:space="0" w:color="auto"/>
              <w:right w:val="dashed" w:sz="4" w:space="0" w:color="auto"/>
            </w:tcBorders>
          </w:tcPr>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vessel will be precluded from f</w:t>
            </w:r>
            <w:r>
              <w:rPr>
                <w:rFonts w:ascii="Courier New" w:eastAsia="Times New Roman" w:hAnsi="Courier New" w:cs="Courier New"/>
                <w:color w:val="000000"/>
                <w:sz w:val="18"/>
                <w:szCs w:val="18"/>
              </w:rPr>
              <w:t>ishing for herring or mackerel</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vessel will be precl</w:t>
            </w:r>
            <w:r>
              <w:rPr>
                <w:rFonts w:ascii="Courier New" w:eastAsia="Times New Roman" w:hAnsi="Courier New" w:cs="Courier New"/>
                <w:color w:val="000000"/>
                <w:sz w:val="18"/>
                <w:szCs w:val="18"/>
              </w:rPr>
              <w:t>uded from fishing for herring</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vessel will be precl</w:t>
            </w:r>
            <w:r>
              <w:rPr>
                <w:rFonts w:ascii="Courier New" w:eastAsia="Times New Roman" w:hAnsi="Courier New" w:cs="Courier New"/>
                <w:color w:val="000000"/>
                <w:sz w:val="18"/>
                <w:szCs w:val="18"/>
              </w:rPr>
              <w:t>uded from fishing for mackerel</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Where a vessel to be licensed in the Polyvalent [&lt;18m LOA] segment is greater than 10 metres in overall length it will be precluded from fishing for scallops unless the total replacement capacity required to be provided is deemed by the Licensing Authority to have active scallop history as defined in Policy Decision 1/2006. The Licensing Authority can be contacted to confirm whether a vessel proposed to be used as replacement cap</w:t>
            </w:r>
            <w:r>
              <w:rPr>
                <w:rFonts w:ascii="Courier New" w:eastAsia="Times New Roman" w:hAnsi="Courier New" w:cs="Courier New"/>
                <w:color w:val="000000"/>
                <w:sz w:val="18"/>
                <w:szCs w:val="18"/>
              </w:rPr>
              <w:t>acity is deemed to be 'active'</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vessel will be precluded from fishing for scallops (but see condition above concer</w:t>
            </w:r>
            <w:r>
              <w:rPr>
                <w:rFonts w:ascii="Courier New" w:eastAsia="Times New Roman" w:hAnsi="Courier New" w:cs="Courier New"/>
                <w:color w:val="000000"/>
                <w:sz w:val="18"/>
                <w:szCs w:val="18"/>
              </w:rPr>
              <w:t>ning 'active scallop history')</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vessel to which this licence offer relates shall not be used for sea-fishing, whether within the exclusive fishery limits of the State or otherwise, unless at least 50 per cent of the members of the crew are nationals of any of the Member Stat</w:t>
            </w:r>
            <w:r>
              <w:rPr>
                <w:rFonts w:ascii="Courier New" w:eastAsia="Times New Roman" w:hAnsi="Courier New" w:cs="Courier New"/>
                <w:color w:val="000000"/>
                <w:sz w:val="18"/>
                <w:szCs w:val="18"/>
              </w:rPr>
              <w:t>es of the European Communities</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skipper and other crew members will be duly qualified under relevant legislation in force. (Information in relation to manning requirements should be obtained from the Department’s Marine Survey Office.</w:t>
            </w:r>
            <w:r>
              <w:rPr>
                <w:rFonts w:ascii="Courier New" w:eastAsia="Times New Roman" w:hAnsi="Courier New" w:cs="Courier New"/>
                <w:color w:val="000000"/>
                <w:sz w:val="18"/>
                <w:szCs w:val="18"/>
              </w:rPr>
              <w:t xml:space="preserve">  Tel.: 01-8744900 / 8743325.)</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vessel will be precluded from f</w:t>
            </w:r>
            <w:r>
              <w:rPr>
                <w:rFonts w:ascii="Courier New" w:eastAsia="Times New Roman" w:hAnsi="Courier New" w:cs="Courier New"/>
                <w:color w:val="000000"/>
                <w:sz w:val="18"/>
                <w:szCs w:val="18"/>
              </w:rPr>
              <w:t>ishing by means of beam trawls</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Any proposed structural modifications to the vessel, including changes to the vessel’s engine, must be approved in advance by the Licensing Authority for Sea Fishing Boats. Such modifications can have significant implications in terms of the licensing of the vessel, including replacement capacity requirements. The vessel may be required to be re-measured and a new licence application ma</w:t>
            </w:r>
            <w:r>
              <w:rPr>
                <w:rFonts w:ascii="Courier New" w:eastAsia="Times New Roman" w:hAnsi="Courier New" w:cs="Courier New"/>
                <w:color w:val="000000"/>
                <w:sz w:val="18"/>
                <w:szCs w:val="18"/>
              </w:rPr>
              <w:t>y be required to be submitted</w:t>
            </w:r>
          </w:p>
          <w:p w:rsidR="00B375FB" w:rsidRPr="00B375FB" w:rsidRDefault="00B375FB" w:rsidP="00B375FB">
            <w:pPr>
              <w:pStyle w:val="ListParagraph"/>
              <w:rPr>
                <w:rFonts w:ascii="Courier New" w:eastAsia="Times New Roman" w:hAnsi="Courier New" w:cs="Courier New"/>
                <w:color w:val="000000"/>
                <w:sz w:val="18"/>
                <w:szCs w:val="18"/>
              </w:rPr>
            </w:pPr>
          </w:p>
          <w:p w:rsidR="00B375FB"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 xml:space="preserve">Any licence which may issue on foot of this licence offer would cease to have effect upon the sale of the vessel – the new owner would have no </w:t>
            </w:r>
            <w:r w:rsidRPr="00B375FB">
              <w:rPr>
                <w:rFonts w:ascii="Courier New" w:eastAsia="Times New Roman" w:hAnsi="Courier New" w:cs="Courier New"/>
                <w:color w:val="000000"/>
                <w:sz w:val="18"/>
                <w:szCs w:val="18"/>
              </w:rPr>
              <w:lastRenderedPageBreak/>
              <w:t>entitlement to a licence in respect of the vessel and would have to submit a new licence application for consideration by this Department in the light of whatever licensing p</w:t>
            </w:r>
            <w:r>
              <w:rPr>
                <w:rFonts w:ascii="Courier New" w:eastAsia="Times New Roman" w:hAnsi="Courier New" w:cs="Courier New"/>
                <w:color w:val="000000"/>
                <w:sz w:val="18"/>
                <w:szCs w:val="18"/>
              </w:rPr>
              <w:t>olicy criteria may then apply</w:t>
            </w:r>
          </w:p>
          <w:p w:rsidR="00B375FB" w:rsidRPr="00B375FB" w:rsidRDefault="00B375FB" w:rsidP="00B375FB">
            <w:pPr>
              <w:pStyle w:val="ListParagraph"/>
              <w:rPr>
                <w:rFonts w:ascii="Courier New" w:eastAsia="Times New Roman" w:hAnsi="Courier New" w:cs="Courier New"/>
                <w:color w:val="000000"/>
                <w:sz w:val="18"/>
                <w:szCs w:val="18"/>
              </w:rPr>
            </w:pPr>
          </w:p>
          <w:p w:rsidR="00851661"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r w:rsidRPr="00B375FB">
              <w:rPr>
                <w:rFonts w:ascii="Courier New" w:eastAsia="Times New Roman" w:hAnsi="Courier New" w:cs="Courier New"/>
                <w:color w:val="000000"/>
                <w:sz w:val="18"/>
                <w:szCs w:val="18"/>
              </w:rPr>
              <w:t>The vessel must have on board a fully functional satellite-based position monitoring terminal and a fully functional electronic recording and reporting system in accordance with EU Regulations 1224/2009 and 404/2011 or any Regulations amending or replacing these Regulations, and shall comply with all relevant position monitoring requirements and with all relevant recording and reporting requiremen</w:t>
            </w:r>
            <w:r>
              <w:rPr>
                <w:rFonts w:ascii="Courier New" w:eastAsia="Times New Roman" w:hAnsi="Courier New" w:cs="Courier New"/>
                <w:color w:val="000000"/>
                <w:sz w:val="18"/>
                <w:szCs w:val="18"/>
              </w:rPr>
              <w:t>ts for the time being in force</w:t>
            </w:r>
          </w:p>
          <w:p w:rsidR="00851661" w:rsidRPr="00851661" w:rsidRDefault="00851661" w:rsidP="00851661">
            <w:pPr>
              <w:pStyle w:val="ListParagraph"/>
              <w:rPr>
                <w:rFonts w:ascii="Courier New" w:eastAsia="Times New Roman" w:hAnsi="Courier New" w:cs="Courier New"/>
                <w:color w:val="000000"/>
                <w:sz w:val="18"/>
                <w:szCs w:val="18"/>
              </w:rPr>
            </w:pPr>
          </w:p>
          <w:p w:rsidR="00720B0F" w:rsidRPr="00851661" w:rsidRDefault="00B375FB" w:rsidP="00B375FB">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rPr>
            </w:pPr>
            <w:bookmarkStart w:id="0" w:name="_GoBack"/>
            <w:bookmarkEnd w:id="0"/>
            <w:r w:rsidRPr="00851661">
              <w:rPr>
                <w:rFonts w:ascii="Courier New" w:eastAsia="Times New Roman" w:hAnsi="Courier New" w:cs="Courier New"/>
                <w:color w:val="000000"/>
                <w:sz w:val="18"/>
                <w:szCs w:val="18"/>
              </w:rPr>
              <w:t>Written acceptance of the terms of this offer must be returned to the undersigned within one month of the date of this letter. Such acceptance will be taken as confirmation that you do not wish to appeal this licensing decision (see section below entitled Appeal Option)</w:t>
            </w:r>
          </w:p>
        </w:tc>
      </w:tr>
    </w:tbl>
    <w:p w:rsidR="003E7E88" w:rsidRDefault="003E7E88" w:rsidP="003E7E88"/>
    <w:tbl>
      <w:tblPr>
        <w:tblStyle w:val="TableGrid"/>
        <w:tblW w:w="0" w:type="auto"/>
        <w:tblLook w:val="04A0" w:firstRow="1" w:lastRow="0" w:firstColumn="1" w:lastColumn="0" w:noHBand="0" w:noVBand="1"/>
      </w:tblPr>
      <w:tblGrid>
        <w:gridCol w:w="9242"/>
      </w:tblGrid>
      <w:tr w:rsidR="00720B0F" w:rsidTr="00720B0F">
        <w:tc>
          <w:tcPr>
            <w:tcW w:w="9242" w:type="dxa"/>
            <w:tcBorders>
              <w:top w:val="dashed" w:sz="4" w:space="0" w:color="auto"/>
              <w:left w:val="dashed" w:sz="4" w:space="0" w:color="auto"/>
              <w:bottom w:val="dashed" w:sz="4" w:space="0" w:color="auto"/>
              <w:right w:val="dashed" w:sz="4" w:space="0" w:color="auto"/>
            </w:tcBorders>
          </w:tcPr>
          <w:p w:rsidR="00720B0F" w:rsidRDefault="00720B0F" w:rsidP="003E7E88">
            <w:r>
              <w:rPr>
                <w:b/>
                <w:bCs/>
              </w:rPr>
              <w:t>The issue of a licence on foot of acceptance of this offer is dependent upon the full and complete compliance with the conditions as set out above within a period of one year from the date of this letter.</w:t>
            </w:r>
            <w:r>
              <w:t xml:space="preserve">  If </w:t>
            </w:r>
            <w:r>
              <w:rPr>
                <w:b/>
                <w:bCs/>
                <w:u w:val="single"/>
              </w:rPr>
              <w:t>all of the foregoing conditions</w:t>
            </w:r>
            <w:r>
              <w:t xml:space="preserve"> have not been complied with within </w:t>
            </w:r>
            <w:r>
              <w:rPr>
                <w:b/>
                <w:bCs/>
                <w:u w:val="single"/>
              </w:rPr>
              <w:t>one year from the date of this letter</w:t>
            </w:r>
            <w:r>
              <w:rPr>
                <w:b/>
                <w:bCs/>
              </w:rPr>
              <w:t xml:space="preserve">, </w:t>
            </w:r>
            <w:r>
              <w:t>it will be necessary to submit a new licence application in order to proceed with the licensing of this vessel.  Any subsequent application would be subject to whatever policy criteria in force at the time of such application.</w:t>
            </w:r>
          </w:p>
        </w:tc>
      </w:tr>
    </w:tbl>
    <w:p w:rsidR="003E7E88" w:rsidRDefault="003E7E88" w:rsidP="003E7E88"/>
    <w:tbl>
      <w:tblPr>
        <w:tblStyle w:val="TableGrid"/>
        <w:tblW w:w="0" w:type="auto"/>
        <w:tblLook w:val="04A0" w:firstRow="1" w:lastRow="0" w:firstColumn="1" w:lastColumn="0" w:noHBand="0" w:noVBand="1"/>
      </w:tblPr>
      <w:tblGrid>
        <w:gridCol w:w="9242"/>
      </w:tblGrid>
      <w:tr w:rsidR="00720B0F" w:rsidTr="00720B0F">
        <w:tc>
          <w:tcPr>
            <w:tcW w:w="9242" w:type="dxa"/>
            <w:tcBorders>
              <w:top w:val="dashed" w:sz="4" w:space="0" w:color="auto"/>
              <w:left w:val="dashed" w:sz="4" w:space="0" w:color="auto"/>
              <w:bottom w:val="dashed" w:sz="4" w:space="0" w:color="auto"/>
              <w:right w:val="dashed" w:sz="4" w:space="0" w:color="auto"/>
            </w:tcBorders>
          </w:tcPr>
          <w:p w:rsidR="00720B0F" w:rsidRDefault="00720B0F" w:rsidP="00720B0F">
            <w:r>
              <w:t>Notwithstanding the above, the Licensing Authority reserves the right to withdraw this offer or to refuse a licence should information or evidence come to light which</w:t>
            </w:r>
          </w:p>
          <w:p w:rsidR="00720B0F" w:rsidRDefault="00720B0F" w:rsidP="00720B0F">
            <w:pPr>
              <w:numPr>
                <w:ilvl w:val="0"/>
                <w:numId w:val="1"/>
              </w:numPr>
            </w:pPr>
            <w:r>
              <w:t xml:space="preserve">indicates that the granting of a licence in this case would be contrary to licensing policy, or </w:t>
            </w:r>
          </w:p>
          <w:p w:rsidR="00720B0F" w:rsidRDefault="00720B0F" w:rsidP="00720B0F">
            <w:pPr>
              <w:numPr>
                <w:ilvl w:val="0"/>
                <w:numId w:val="1"/>
              </w:numPr>
            </w:pPr>
            <w:proofErr w:type="gramStart"/>
            <w:r>
              <w:t>casts</w:t>
            </w:r>
            <w:proofErr w:type="gramEnd"/>
            <w:r>
              <w:t xml:space="preserve"> doubt on the veracity of the information or documentation submitted in support of this licence application.</w:t>
            </w:r>
          </w:p>
          <w:p w:rsidR="00720B0F" w:rsidRDefault="00720B0F" w:rsidP="00720B0F"/>
          <w:p w:rsidR="00720B0F" w:rsidRDefault="00720B0F" w:rsidP="003E7E88">
            <w:r>
              <w:t>You are advised also that the Licensing Authority is empowered to attach further conditions to a licence granted, or to vary the conditions already attached to a licence, or to remove any such conditions.</w:t>
            </w:r>
          </w:p>
        </w:tc>
      </w:tr>
    </w:tbl>
    <w:p w:rsidR="003E7E88" w:rsidRDefault="003E7E88" w:rsidP="003E7E88"/>
    <w:tbl>
      <w:tblPr>
        <w:tblStyle w:val="TableGrid"/>
        <w:tblW w:w="0" w:type="auto"/>
        <w:tblLook w:val="04A0" w:firstRow="1" w:lastRow="0" w:firstColumn="1" w:lastColumn="0" w:noHBand="0" w:noVBand="1"/>
      </w:tblPr>
      <w:tblGrid>
        <w:gridCol w:w="9242"/>
      </w:tblGrid>
      <w:tr w:rsidR="00720B0F" w:rsidTr="00720B0F">
        <w:tc>
          <w:tcPr>
            <w:tcW w:w="9242" w:type="dxa"/>
            <w:tcBorders>
              <w:top w:val="dashed" w:sz="4" w:space="0" w:color="auto"/>
              <w:left w:val="dashed" w:sz="4" w:space="0" w:color="auto"/>
              <w:bottom w:val="dashed" w:sz="4" w:space="0" w:color="auto"/>
              <w:right w:val="dashed" w:sz="4" w:space="0" w:color="auto"/>
            </w:tcBorders>
          </w:tcPr>
          <w:p w:rsidR="00720B0F" w:rsidRPr="0052185F" w:rsidRDefault="00720B0F" w:rsidP="00720B0F">
            <w:pPr>
              <w:pStyle w:val="Heading2"/>
              <w:outlineLvl w:val="1"/>
              <w:rPr>
                <w:rFonts w:asciiTheme="minorHAnsi" w:eastAsia="Times New Roman" w:hAnsiTheme="minorHAnsi"/>
                <w:color w:val="000000" w:themeColor="text1"/>
                <w:sz w:val="24"/>
                <w:szCs w:val="24"/>
              </w:rPr>
            </w:pPr>
            <w:r w:rsidRPr="0052185F">
              <w:rPr>
                <w:rFonts w:asciiTheme="minorHAnsi" w:eastAsia="Times New Roman" w:hAnsiTheme="minorHAnsi"/>
                <w:color w:val="000000" w:themeColor="text1"/>
                <w:sz w:val="24"/>
                <w:szCs w:val="24"/>
              </w:rPr>
              <w:t>Appeal Option</w:t>
            </w:r>
          </w:p>
          <w:p w:rsidR="00720B0F" w:rsidRDefault="00720B0F" w:rsidP="00720B0F">
            <w:pPr>
              <w:rPr>
                <w:sz w:val="24"/>
                <w:szCs w:val="24"/>
              </w:rPr>
            </w:pPr>
          </w:p>
          <w:p w:rsidR="00720B0F" w:rsidRDefault="00720B0F" w:rsidP="00720B0F">
            <w:r>
              <w:t>Under Section 7 of the Fisheries (Amendment) Act 2003 licence applicants are entitled to appeal against a decision of the Licensing Authority in relation to their application.  Such an appeal must be made, within a period of one month of this licensing decision, to the following Appeals Officer appointed under Section 6 of the aforementioned Act:</w:t>
            </w:r>
          </w:p>
          <w:p w:rsidR="00720B0F" w:rsidRDefault="00720B0F" w:rsidP="00720B0F">
            <w:pPr>
              <w:pStyle w:val="Header"/>
              <w:rPr>
                <w:lang w:val="en-GB"/>
              </w:rPr>
            </w:pPr>
          </w:p>
          <w:tbl>
            <w:tblPr>
              <w:tblW w:w="3240" w:type="dxa"/>
              <w:jc w:val="center"/>
              <w:tblInd w:w="640" w:type="dxa"/>
              <w:tblCellMar>
                <w:left w:w="0" w:type="dxa"/>
                <w:right w:w="0" w:type="dxa"/>
              </w:tblCellMar>
              <w:tblLook w:val="04A0" w:firstRow="1" w:lastRow="0" w:firstColumn="1" w:lastColumn="0" w:noHBand="0" w:noVBand="1"/>
            </w:tblPr>
            <w:tblGrid>
              <w:gridCol w:w="3240"/>
            </w:tblGrid>
            <w:tr w:rsidR="00720B0F" w:rsidTr="00DA5369">
              <w:trPr>
                <w:jc w:val="center"/>
              </w:trPr>
              <w:tc>
                <w:tcPr>
                  <w:tcW w:w="3240" w:type="dxa"/>
                  <w:tcMar>
                    <w:top w:w="0" w:type="dxa"/>
                    <w:left w:w="108" w:type="dxa"/>
                    <w:bottom w:w="0" w:type="dxa"/>
                    <w:right w:w="108" w:type="dxa"/>
                  </w:tcMar>
                  <w:hideMark/>
                </w:tcPr>
                <w:p w:rsidR="00720B0F" w:rsidRDefault="00720B0F" w:rsidP="00DA5369">
                  <w:pPr>
                    <w:rPr>
                      <w:lang w:val="en-GB"/>
                    </w:rPr>
                  </w:pPr>
                  <w:proofErr w:type="spellStart"/>
                  <w:r>
                    <w:t>Ms.</w:t>
                  </w:r>
                  <w:proofErr w:type="spellEnd"/>
                  <w:r>
                    <w:t xml:space="preserve"> Emile Daly BL</w:t>
                  </w:r>
                </w:p>
                <w:p w:rsidR="00720B0F" w:rsidRDefault="00720B0F" w:rsidP="00DA5369">
                  <w:r>
                    <w:t>The Law Library</w:t>
                  </w:r>
                </w:p>
                <w:p w:rsidR="00720B0F" w:rsidRDefault="00720B0F" w:rsidP="00DA5369">
                  <w:r>
                    <w:t>Four Courts</w:t>
                  </w:r>
                </w:p>
                <w:p w:rsidR="00720B0F" w:rsidRDefault="00720B0F" w:rsidP="00DA5369">
                  <w:pPr>
                    <w:rPr>
                      <w:lang w:val="en-GB"/>
                    </w:rPr>
                  </w:pPr>
                  <w:r>
                    <w:t>Dublin 7</w:t>
                  </w:r>
                </w:p>
              </w:tc>
            </w:tr>
          </w:tbl>
          <w:p w:rsidR="00720B0F" w:rsidRDefault="00720B0F" w:rsidP="003E7E88">
            <w:pPr>
              <w:pStyle w:val="Heading2"/>
              <w:outlineLvl w:val="1"/>
              <w:rPr>
                <w:rFonts w:asciiTheme="minorHAnsi" w:eastAsia="Times New Roman" w:hAnsiTheme="minorHAnsi"/>
                <w:color w:val="000000" w:themeColor="text1"/>
                <w:sz w:val="24"/>
                <w:szCs w:val="24"/>
              </w:rPr>
            </w:pPr>
          </w:p>
        </w:tc>
      </w:tr>
    </w:tbl>
    <w:p w:rsidR="003E7E88" w:rsidRDefault="003E7E88" w:rsidP="003E7E88">
      <w:pPr>
        <w:rPr>
          <w:lang w:val="en-GB"/>
        </w:rPr>
      </w:pPr>
    </w:p>
    <w:p w:rsidR="003E7E88" w:rsidRDefault="003E7E88" w:rsidP="003E7E88">
      <w:r>
        <w:t>Any appeal must be made by way of a Notice of Appeal form (copy enclosed), which must be sent to an appeals officer along with the relevant fee as set out at Note 3 on the Notice of Appeal form.</w:t>
      </w:r>
    </w:p>
    <w:p w:rsidR="003E7E88" w:rsidRDefault="003E7E88" w:rsidP="003E7E88"/>
    <w:p w:rsidR="003E7E88" w:rsidRDefault="003E7E88" w:rsidP="003E7E88">
      <w:r>
        <w:t>I would mention that under Section 7 of the Fisheries (Amendment) Act 2003, third parties may also, within a period of one month, appeal a decision of the Licensing Authority in relation to a licence application subject to he or she having made representations in writing to the Licensing Authority before the decision in question was made.</w:t>
      </w:r>
    </w:p>
    <w:p w:rsidR="003E7E88" w:rsidRDefault="003E7E88" w:rsidP="003E7E88"/>
    <w:p w:rsidR="003E7E88" w:rsidRDefault="003E7E88" w:rsidP="003E7E88">
      <w:r>
        <w:lastRenderedPageBreak/>
        <w:t>I would also mention that under Section 8 of the Fisheries (Amendment) Act 2003, parties may make a request to an Appeals Officer for an oral hearing of an appeal which should be accompanied by the relevant fee (see Notice of Appeal form enclosed).</w:t>
      </w:r>
    </w:p>
    <w:p w:rsidR="003E7E88" w:rsidRDefault="003E7E88" w:rsidP="003E7E88"/>
    <w:p w:rsidR="003E7E88" w:rsidRDefault="003E7E88" w:rsidP="003E7E88">
      <w:r>
        <w:t xml:space="preserve">If you have any further queries about your application please phone </w:t>
      </w:r>
      <w:r w:rsidR="001A444E" w:rsidRPr="001A444E">
        <w:t>the Licensing Authority at 023 8859</w:t>
      </w:r>
      <w:r w:rsidR="002041A7">
        <w:t>5</w:t>
      </w:r>
      <w:r w:rsidR="001A444E" w:rsidRPr="001A444E">
        <w:t>00</w:t>
      </w:r>
      <w:r w:rsidRPr="001A444E">
        <w:t xml:space="preserve"> or email </w:t>
      </w:r>
      <w:hyperlink r:id="rId7" w:history="1">
        <w:r w:rsidR="001A444E" w:rsidRPr="001A444E">
          <w:rPr>
            <w:rStyle w:val="Hyperlink"/>
          </w:rPr>
          <w:t>licensingauthority@agriculture.gov.ie</w:t>
        </w:r>
      </w:hyperlink>
      <w:r>
        <w:t xml:space="preserve"> </w:t>
      </w:r>
    </w:p>
    <w:p w:rsidR="00720B0F" w:rsidRDefault="00FA62BA" w:rsidP="003E7E88">
      <w:r>
        <w:rPr>
          <w:noProof/>
        </w:rPr>
        <w:drawing>
          <wp:anchor distT="0" distB="0" distL="114300" distR="114300" simplePos="0" relativeHeight="251659264" behindDoc="1" locked="0" layoutInCell="1" allowOverlap="1" wp14:anchorId="053FEFE9" wp14:editId="00E36E6D">
            <wp:simplePos x="0" y="0"/>
            <wp:positionH relativeFrom="column">
              <wp:posOffset>372110</wp:posOffset>
            </wp:positionH>
            <wp:positionV relativeFrom="paragraph">
              <wp:posOffset>90170</wp:posOffset>
            </wp:positionV>
            <wp:extent cx="1000125" cy="1819275"/>
            <wp:effectExtent l="9525"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1000125" cy="181927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720B0F" w:rsidRDefault="00720B0F" w:rsidP="003E7E88"/>
    <w:tbl>
      <w:tblPr>
        <w:tblStyle w:val="TableGrid"/>
        <w:tblW w:w="0" w:type="auto"/>
        <w:tblLook w:val="04A0" w:firstRow="1" w:lastRow="0" w:firstColumn="1" w:lastColumn="0" w:noHBand="0" w:noVBand="1"/>
      </w:tblPr>
      <w:tblGrid>
        <w:gridCol w:w="9242"/>
      </w:tblGrid>
      <w:tr w:rsidR="00720B0F" w:rsidTr="00720B0F">
        <w:tc>
          <w:tcPr>
            <w:tcW w:w="9242" w:type="dxa"/>
            <w:tcBorders>
              <w:top w:val="dashed" w:sz="4" w:space="0" w:color="auto"/>
              <w:left w:val="dashed" w:sz="4" w:space="0" w:color="auto"/>
              <w:bottom w:val="dashed" w:sz="4" w:space="0" w:color="auto"/>
              <w:right w:val="dashed" w:sz="4" w:space="0" w:color="auto"/>
            </w:tcBorders>
          </w:tcPr>
          <w:p w:rsidR="00720B0F" w:rsidRDefault="00720B0F" w:rsidP="00720B0F">
            <w:r>
              <w:t>Yours sincerely,</w:t>
            </w:r>
          </w:p>
          <w:p w:rsidR="00720B0F" w:rsidRDefault="00720B0F" w:rsidP="00720B0F">
            <w:pPr>
              <w:rPr>
                <w:u w:val="single"/>
              </w:rPr>
            </w:pPr>
          </w:p>
          <w:p w:rsidR="00720B0F" w:rsidRDefault="00720B0F" w:rsidP="00720B0F">
            <w:pPr>
              <w:rPr>
                <w:u w:val="single"/>
              </w:rPr>
            </w:pPr>
          </w:p>
          <w:p w:rsidR="00FA62BA" w:rsidRDefault="00FA62BA" w:rsidP="00720B0F">
            <w:pPr>
              <w:rPr>
                <w:u w:val="single"/>
              </w:rPr>
            </w:pPr>
          </w:p>
          <w:p w:rsidR="00720B0F" w:rsidRDefault="00FA62BA" w:rsidP="00720B0F">
            <w:pPr>
              <w:rPr>
                <w:u w:val="single"/>
              </w:rPr>
            </w:pPr>
            <w:r>
              <w:rPr>
                <w:u w:val="single"/>
              </w:rPr>
              <w:t>_________________</w:t>
            </w:r>
            <w:r w:rsidR="00720B0F">
              <w:rPr>
                <w:u w:val="single"/>
              </w:rPr>
              <w:t>__________</w:t>
            </w:r>
          </w:p>
          <w:p w:rsidR="00720B0F" w:rsidRDefault="00720B0F" w:rsidP="00720B0F">
            <w:pPr>
              <w:tabs>
                <w:tab w:val="left" w:pos="6555"/>
              </w:tabs>
            </w:pPr>
            <w:r>
              <w:t>Kevin Moriarty</w:t>
            </w:r>
            <w:r>
              <w:tab/>
            </w:r>
          </w:p>
          <w:p w:rsidR="00720B0F" w:rsidRDefault="00720B0F" w:rsidP="003E7E88">
            <w:r>
              <w:t>Registrar General of Fishing Boats</w:t>
            </w:r>
          </w:p>
        </w:tc>
      </w:tr>
    </w:tbl>
    <w:p w:rsidR="003E7E88" w:rsidRDefault="003E7E88" w:rsidP="003E7E88"/>
    <w:p w:rsidR="00F5687E" w:rsidRDefault="00851661"/>
    <w:sectPr w:rsidR="00F568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8212DF"/>
    <w:multiLevelType w:val="hybridMultilevel"/>
    <w:tmpl w:val="FC889836"/>
    <w:lvl w:ilvl="0" w:tplc="42869B3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4F8C7055"/>
    <w:multiLevelType w:val="hybridMultilevel"/>
    <w:tmpl w:val="5C4C45C4"/>
    <w:lvl w:ilvl="0" w:tplc="01C2DC8A">
      <w:start w:val="145"/>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5E6769B6"/>
    <w:multiLevelType w:val="hybridMultilevel"/>
    <w:tmpl w:val="FC889836"/>
    <w:lvl w:ilvl="0" w:tplc="42869B3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E88"/>
    <w:rsid w:val="0013355C"/>
    <w:rsid w:val="001610FA"/>
    <w:rsid w:val="001A444E"/>
    <w:rsid w:val="001F00A3"/>
    <w:rsid w:val="002041A7"/>
    <w:rsid w:val="00210769"/>
    <w:rsid w:val="002802D3"/>
    <w:rsid w:val="00313C49"/>
    <w:rsid w:val="003C240D"/>
    <w:rsid w:val="003E7E88"/>
    <w:rsid w:val="00502E15"/>
    <w:rsid w:val="0052185F"/>
    <w:rsid w:val="005D4C81"/>
    <w:rsid w:val="005F3BF6"/>
    <w:rsid w:val="006F3E27"/>
    <w:rsid w:val="00720B0F"/>
    <w:rsid w:val="00781A95"/>
    <w:rsid w:val="00851661"/>
    <w:rsid w:val="00857261"/>
    <w:rsid w:val="009104F9"/>
    <w:rsid w:val="00B375FB"/>
    <w:rsid w:val="00C31380"/>
    <w:rsid w:val="00CE1EF0"/>
    <w:rsid w:val="00E211B6"/>
    <w:rsid w:val="00F21D79"/>
    <w:rsid w:val="00F45623"/>
    <w:rsid w:val="00FA62B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E88"/>
    <w:pPr>
      <w:spacing w:after="0" w:line="240" w:lineRule="auto"/>
    </w:pPr>
    <w:rPr>
      <w:rFonts w:ascii="Calibri" w:hAnsi="Calibri" w:cs="Times New Roman"/>
      <w:lang w:eastAsia="en-IE"/>
    </w:rPr>
  </w:style>
  <w:style w:type="paragraph" w:styleId="Heading1">
    <w:name w:val="heading 1"/>
    <w:basedOn w:val="Normal"/>
    <w:link w:val="Heading1Char"/>
    <w:uiPriority w:val="9"/>
    <w:qFormat/>
    <w:rsid w:val="003E7E88"/>
    <w:pPr>
      <w:keepNext/>
      <w:outlineLvl w:val="0"/>
    </w:pPr>
    <w:rPr>
      <w:rFonts w:ascii="Times New Roman" w:hAnsi="Times New Roman"/>
      <w:b/>
      <w:bCs/>
      <w:kern w:val="36"/>
      <w:sz w:val="24"/>
      <w:szCs w:val="24"/>
    </w:rPr>
  </w:style>
  <w:style w:type="paragraph" w:styleId="Heading2">
    <w:name w:val="heading 2"/>
    <w:basedOn w:val="Normal"/>
    <w:link w:val="Heading2Char"/>
    <w:uiPriority w:val="9"/>
    <w:semiHidden/>
    <w:unhideWhenUsed/>
    <w:qFormat/>
    <w:rsid w:val="003E7E88"/>
    <w:pPr>
      <w:keepNext/>
      <w:spacing w:before="200"/>
      <w:outlineLvl w:val="1"/>
    </w:pPr>
    <w:rPr>
      <w:rFonts w:ascii="Cambria" w:hAnsi="Cambria"/>
      <w:b/>
      <w:bCs/>
      <w:color w:val="4F81BD"/>
      <w:sz w:val="26"/>
      <w:szCs w:val="26"/>
    </w:rPr>
  </w:style>
  <w:style w:type="paragraph" w:styleId="Heading4">
    <w:name w:val="heading 4"/>
    <w:basedOn w:val="Normal"/>
    <w:link w:val="Heading4Char"/>
    <w:uiPriority w:val="9"/>
    <w:semiHidden/>
    <w:unhideWhenUsed/>
    <w:qFormat/>
    <w:rsid w:val="003E7E88"/>
    <w:pPr>
      <w:keepNext/>
      <w:jc w:val="both"/>
      <w:outlineLvl w:val="3"/>
    </w:pPr>
    <w:rPr>
      <w:rFonts w:ascii="Times New Roman" w:hAnsi="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88"/>
    <w:rPr>
      <w:rFonts w:ascii="Times New Roman" w:hAnsi="Times New Roman" w:cs="Times New Roman"/>
      <w:b/>
      <w:bCs/>
      <w:kern w:val="36"/>
      <w:sz w:val="24"/>
      <w:szCs w:val="24"/>
      <w:lang w:eastAsia="en-IE"/>
    </w:rPr>
  </w:style>
  <w:style w:type="character" w:customStyle="1" w:styleId="Heading2Char">
    <w:name w:val="Heading 2 Char"/>
    <w:basedOn w:val="DefaultParagraphFont"/>
    <w:link w:val="Heading2"/>
    <w:uiPriority w:val="9"/>
    <w:semiHidden/>
    <w:rsid w:val="003E7E88"/>
    <w:rPr>
      <w:rFonts w:ascii="Cambria" w:hAnsi="Cambria" w:cs="Times New Roman"/>
      <w:b/>
      <w:bCs/>
      <w:color w:val="4F81BD"/>
      <w:sz w:val="26"/>
      <w:szCs w:val="26"/>
      <w:lang w:eastAsia="en-IE"/>
    </w:rPr>
  </w:style>
  <w:style w:type="character" w:customStyle="1" w:styleId="Heading4Char">
    <w:name w:val="Heading 4 Char"/>
    <w:basedOn w:val="DefaultParagraphFont"/>
    <w:link w:val="Heading4"/>
    <w:uiPriority w:val="9"/>
    <w:semiHidden/>
    <w:rsid w:val="003E7E88"/>
    <w:rPr>
      <w:rFonts w:ascii="Times New Roman" w:hAnsi="Times New Roman" w:cs="Times New Roman"/>
      <w:b/>
      <w:bCs/>
      <w:i/>
      <w:iCs/>
      <w:sz w:val="24"/>
      <w:szCs w:val="24"/>
      <w:lang w:eastAsia="en-IE"/>
    </w:rPr>
  </w:style>
  <w:style w:type="character" w:styleId="Hyperlink">
    <w:name w:val="Hyperlink"/>
    <w:basedOn w:val="DefaultParagraphFont"/>
    <w:uiPriority w:val="99"/>
    <w:unhideWhenUsed/>
    <w:rsid w:val="003E7E88"/>
    <w:rPr>
      <w:color w:val="0000FF"/>
      <w:u w:val="single"/>
    </w:rPr>
  </w:style>
  <w:style w:type="paragraph" w:styleId="Header">
    <w:name w:val="header"/>
    <w:basedOn w:val="Normal"/>
    <w:link w:val="HeaderChar"/>
    <w:unhideWhenUsed/>
    <w:rsid w:val="003E7E88"/>
    <w:rPr>
      <w:rFonts w:ascii="Times New Roman" w:hAnsi="Times New Roman"/>
      <w:sz w:val="24"/>
      <w:szCs w:val="24"/>
    </w:rPr>
  </w:style>
  <w:style w:type="character" w:customStyle="1" w:styleId="HeaderChar">
    <w:name w:val="Header Char"/>
    <w:basedOn w:val="DefaultParagraphFont"/>
    <w:link w:val="Header"/>
    <w:uiPriority w:val="99"/>
    <w:semiHidden/>
    <w:rsid w:val="003E7E88"/>
    <w:rPr>
      <w:rFonts w:ascii="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6F3E27"/>
    <w:rPr>
      <w:rFonts w:ascii="Tahoma" w:hAnsi="Tahoma" w:cs="Tahoma"/>
      <w:sz w:val="16"/>
      <w:szCs w:val="16"/>
    </w:rPr>
  </w:style>
  <w:style w:type="character" w:customStyle="1" w:styleId="BalloonTextChar">
    <w:name w:val="Balloon Text Char"/>
    <w:basedOn w:val="DefaultParagraphFont"/>
    <w:link w:val="BalloonText"/>
    <w:uiPriority w:val="99"/>
    <w:semiHidden/>
    <w:rsid w:val="006F3E27"/>
    <w:rPr>
      <w:rFonts w:ascii="Tahoma" w:hAnsi="Tahoma" w:cs="Tahoma"/>
      <w:sz w:val="16"/>
      <w:szCs w:val="16"/>
      <w:lang w:eastAsia="en-IE"/>
    </w:rPr>
  </w:style>
  <w:style w:type="character" w:styleId="CommentReference">
    <w:name w:val="annotation reference"/>
    <w:basedOn w:val="DefaultParagraphFont"/>
    <w:uiPriority w:val="99"/>
    <w:semiHidden/>
    <w:unhideWhenUsed/>
    <w:rsid w:val="00C31380"/>
    <w:rPr>
      <w:sz w:val="16"/>
      <w:szCs w:val="16"/>
    </w:rPr>
  </w:style>
  <w:style w:type="paragraph" w:styleId="CommentText">
    <w:name w:val="annotation text"/>
    <w:basedOn w:val="Normal"/>
    <w:link w:val="CommentTextChar"/>
    <w:uiPriority w:val="99"/>
    <w:semiHidden/>
    <w:unhideWhenUsed/>
    <w:rsid w:val="00C31380"/>
    <w:rPr>
      <w:sz w:val="20"/>
      <w:szCs w:val="20"/>
    </w:rPr>
  </w:style>
  <w:style w:type="character" w:customStyle="1" w:styleId="CommentTextChar">
    <w:name w:val="Comment Text Char"/>
    <w:basedOn w:val="DefaultParagraphFont"/>
    <w:link w:val="CommentText"/>
    <w:uiPriority w:val="99"/>
    <w:semiHidden/>
    <w:rsid w:val="00C31380"/>
    <w:rPr>
      <w:rFonts w:ascii="Calibri" w:hAnsi="Calibri"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C31380"/>
    <w:rPr>
      <w:b/>
      <w:bCs/>
    </w:rPr>
  </w:style>
  <w:style w:type="character" w:customStyle="1" w:styleId="CommentSubjectChar">
    <w:name w:val="Comment Subject Char"/>
    <w:basedOn w:val="CommentTextChar"/>
    <w:link w:val="CommentSubject"/>
    <w:uiPriority w:val="99"/>
    <w:semiHidden/>
    <w:rsid w:val="00C31380"/>
    <w:rPr>
      <w:rFonts w:ascii="Calibri" w:hAnsi="Calibri" w:cs="Times New Roman"/>
      <w:b/>
      <w:bCs/>
      <w:sz w:val="20"/>
      <w:szCs w:val="20"/>
      <w:lang w:eastAsia="en-IE"/>
    </w:rPr>
  </w:style>
  <w:style w:type="table" w:styleId="TableGrid">
    <w:name w:val="Table Grid"/>
    <w:basedOn w:val="TableNormal"/>
    <w:uiPriority w:val="59"/>
    <w:rsid w:val="00720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5FB"/>
    <w:rPr>
      <w:rFonts w:ascii="Courier New" w:eastAsia="Times New Roman" w:hAnsi="Courier New" w:cs="Courier New"/>
      <w:sz w:val="20"/>
      <w:szCs w:val="20"/>
      <w:lang w:eastAsia="en-IE"/>
    </w:rPr>
  </w:style>
  <w:style w:type="paragraph" w:styleId="ListParagraph">
    <w:name w:val="List Paragraph"/>
    <w:basedOn w:val="Normal"/>
    <w:uiPriority w:val="34"/>
    <w:qFormat/>
    <w:rsid w:val="00B375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E88"/>
    <w:pPr>
      <w:spacing w:after="0" w:line="240" w:lineRule="auto"/>
    </w:pPr>
    <w:rPr>
      <w:rFonts w:ascii="Calibri" w:hAnsi="Calibri" w:cs="Times New Roman"/>
      <w:lang w:eastAsia="en-IE"/>
    </w:rPr>
  </w:style>
  <w:style w:type="paragraph" w:styleId="Heading1">
    <w:name w:val="heading 1"/>
    <w:basedOn w:val="Normal"/>
    <w:link w:val="Heading1Char"/>
    <w:uiPriority w:val="9"/>
    <w:qFormat/>
    <w:rsid w:val="003E7E88"/>
    <w:pPr>
      <w:keepNext/>
      <w:outlineLvl w:val="0"/>
    </w:pPr>
    <w:rPr>
      <w:rFonts w:ascii="Times New Roman" w:hAnsi="Times New Roman"/>
      <w:b/>
      <w:bCs/>
      <w:kern w:val="36"/>
      <w:sz w:val="24"/>
      <w:szCs w:val="24"/>
    </w:rPr>
  </w:style>
  <w:style w:type="paragraph" w:styleId="Heading2">
    <w:name w:val="heading 2"/>
    <w:basedOn w:val="Normal"/>
    <w:link w:val="Heading2Char"/>
    <w:uiPriority w:val="9"/>
    <w:semiHidden/>
    <w:unhideWhenUsed/>
    <w:qFormat/>
    <w:rsid w:val="003E7E88"/>
    <w:pPr>
      <w:keepNext/>
      <w:spacing w:before="200"/>
      <w:outlineLvl w:val="1"/>
    </w:pPr>
    <w:rPr>
      <w:rFonts w:ascii="Cambria" w:hAnsi="Cambria"/>
      <w:b/>
      <w:bCs/>
      <w:color w:val="4F81BD"/>
      <w:sz w:val="26"/>
      <w:szCs w:val="26"/>
    </w:rPr>
  </w:style>
  <w:style w:type="paragraph" w:styleId="Heading4">
    <w:name w:val="heading 4"/>
    <w:basedOn w:val="Normal"/>
    <w:link w:val="Heading4Char"/>
    <w:uiPriority w:val="9"/>
    <w:semiHidden/>
    <w:unhideWhenUsed/>
    <w:qFormat/>
    <w:rsid w:val="003E7E88"/>
    <w:pPr>
      <w:keepNext/>
      <w:jc w:val="both"/>
      <w:outlineLvl w:val="3"/>
    </w:pPr>
    <w:rPr>
      <w:rFonts w:ascii="Times New Roman" w:hAnsi="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E88"/>
    <w:rPr>
      <w:rFonts w:ascii="Times New Roman" w:hAnsi="Times New Roman" w:cs="Times New Roman"/>
      <w:b/>
      <w:bCs/>
      <w:kern w:val="36"/>
      <w:sz w:val="24"/>
      <w:szCs w:val="24"/>
      <w:lang w:eastAsia="en-IE"/>
    </w:rPr>
  </w:style>
  <w:style w:type="character" w:customStyle="1" w:styleId="Heading2Char">
    <w:name w:val="Heading 2 Char"/>
    <w:basedOn w:val="DefaultParagraphFont"/>
    <w:link w:val="Heading2"/>
    <w:uiPriority w:val="9"/>
    <w:semiHidden/>
    <w:rsid w:val="003E7E88"/>
    <w:rPr>
      <w:rFonts w:ascii="Cambria" w:hAnsi="Cambria" w:cs="Times New Roman"/>
      <w:b/>
      <w:bCs/>
      <w:color w:val="4F81BD"/>
      <w:sz w:val="26"/>
      <w:szCs w:val="26"/>
      <w:lang w:eastAsia="en-IE"/>
    </w:rPr>
  </w:style>
  <w:style w:type="character" w:customStyle="1" w:styleId="Heading4Char">
    <w:name w:val="Heading 4 Char"/>
    <w:basedOn w:val="DefaultParagraphFont"/>
    <w:link w:val="Heading4"/>
    <w:uiPriority w:val="9"/>
    <w:semiHidden/>
    <w:rsid w:val="003E7E88"/>
    <w:rPr>
      <w:rFonts w:ascii="Times New Roman" w:hAnsi="Times New Roman" w:cs="Times New Roman"/>
      <w:b/>
      <w:bCs/>
      <w:i/>
      <w:iCs/>
      <w:sz w:val="24"/>
      <w:szCs w:val="24"/>
      <w:lang w:eastAsia="en-IE"/>
    </w:rPr>
  </w:style>
  <w:style w:type="character" w:styleId="Hyperlink">
    <w:name w:val="Hyperlink"/>
    <w:basedOn w:val="DefaultParagraphFont"/>
    <w:uiPriority w:val="99"/>
    <w:unhideWhenUsed/>
    <w:rsid w:val="003E7E88"/>
    <w:rPr>
      <w:color w:val="0000FF"/>
      <w:u w:val="single"/>
    </w:rPr>
  </w:style>
  <w:style w:type="paragraph" w:styleId="Header">
    <w:name w:val="header"/>
    <w:basedOn w:val="Normal"/>
    <w:link w:val="HeaderChar"/>
    <w:unhideWhenUsed/>
    <w:rsid w:val="003E7E88"/>
    <w:rPr>
      <w:rFonts w:ascii="Times New Roman" w:hAnsi="Times New Roman"/>
      <w:sz w:val="24"/>
      <w:szCs w:val="24"/>
    </w:rPr>
  </w:style>
  <w:style w:type="character" w:customStyle="1" w:styleId="HeaderChar">
    <w:name w:val="Header Char"/>
    <w:basedOn w:val="DefaultParagraphFont"/>
    <w:link w:val="Header"/>
    <w:uiPriority w:val="99"/>
    <w:semiHidden/>
    <w:rsid w:val="003E7E88"/>
    <w:rPr>
      <w:rFonts w:ascii="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6F3E27"/>
    <w:rPr>
      <w:rFonts w:ascii="Tahoma" w:hAnsi="Tahoma" w:cs="Tahoma"/>
      <w:sz w:val="16"/>
      <w:szCs w:val="16"/>
    </w:rPr>
  </w:style>
  <w:style w:type="character" w:customStyle="1" w:styleId="BalloonTextChar">
    <w:name w:val="Balloon Text Char"/>
    <w:basedOn w:val="DefaultParagraphFont"/>
    <w:link w:val="BalloonText"/>
    <w:uiPriority w:val="99"/>
    <w:semiHidden/>
    <w:rsid w:val="006F3E27"/>
    <w:rPr>
      <w:rFonts w:ascii="Tahoma" w:hAnsi="Tahoma" w:cs="Tahoma"/>
      <w:sz w:val="16"/>
      <w:szCs w:val="16"/>
      <w:lang w:eastAsia="en-IE"/>
    </w:rPr>
  </w:style>
  <w:style w:type="character" w:styleId="CommentReference">
    <w:name w:val="annotation reference"/>
    <w:basedOn w:val="DefaultParagraphFont"/>
    <w:uiPriority w:val="99"/>
    <w:semiHidden/>
    <w:unhideWhenUsed/>
    <w:rsid w:val="00C31380"/>
    <w:rPr>
      <w:sz w:val="16"/>
      <w:szCs w:val="16"/>
    </w:rPr>
  </w:style>
  <w:style w:type="paragraph" w:styleId="CommentText">
    <w:name w:val="annotation text"/>
    <w:basedOn w:val="Normal"/>
    <w:link w:val="CommentTextChar"/>
    <w:uiPriority w:val="99"/>
    <w:semiHidden/>
    <w:unhideWhenUsed/>
    <w:rsid w:val="00C31380"/>
    <w:rPr>
      <w:sz w:val="20"/>
      <w:szCs w:val="20"/>
    </w:rPr>
  </w:style>
  <w:style w:type="character" w:customStyle="1" w:styleId="CommentTextChar">
    <w:name w:val="Comment Text Char"/>
    <w:basedOn w:val="DefaultParagraphFont"/>
    <w:link w:val="CommentText"/>
    <w:uiPriority w:val="99"/>
    <w:semiHidden/>
    <w:rsid w:val="00C31380"/>
    <w:rPr>
      <w:rFonts w:ascii="Calibri" w:hAnsi="Calibri" w:cs="Times New Roman"/>
      <w:sz w:val="20"/>
      <w:szCs w:val="20"/>
      <w:lang w:eastAsia="en-IE"/>
    </w:rPr>
  </w:style>
  <w:style w:type="paragraph" w:styleId="CommentSubject">
    <w:name w:val="annotation subject"/>
    <w:basedOn w:val="CommentText"/>
    <w:next w:val="CommentText"/>
    <w:link w:val="CommentSubjectChar"/>
    <w:uiPriority w:val="99"/>
    <w:semiHidden/>
    <w:unhideWhenUsed/>
    <w:rsid w:val="00C31380"/>
    <w:rPr>
      <w:b/>
      <w:bCs/>
    </w:rPr>
  </w:style>
  <w:style w:type="character" w:customStyle="1" w:styleId="CommentSubjectChar">
    <w:name w:val="Comment Subject Char"/>
    <w:basedOn w:val="CommentTextChar"/>
    <w:link w:val="CommentSubject"/>
    <w:uiPriority w:val="99"/>
    <w:semiHidden/>
    <w:rsid w:val="00C31380"/>
    <w:rPr>
      <w:rFonts w:ascii="Calibri" w:hAnsi="Calibri" w:cs="Times New Roman"/>
      <w:b/>
      <w:bCs/>
      <w:sz w:val="20"/>
      <w:szCs w:val="20"/>
      <w:lang w:eastAsia="en-IE"/>
    </w:rPr>
  </w:style>
  <w:style w:type="table" w:styleId="TableGrid">
    <w:name w:val="Table Grid"/>
    <w:basedOn w:val="TableNormal"/>
    <w:uiPriority w:val="59"/>
    <w:rsid w:val="00720B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37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75FB"/>
    <w:rPr>
      <w:rFonts w:ascii="Courier New" w:eastAsia="Times New Roman" w:hAnsi="Courier New" w:cs="Courier New"/>
      <w:sz w:val="20"/>
      <w:szCs w:val="20"/>
      <w:lang w:eastAsia="en-IE"/>
    </w:rPr>
  </w:style>
  <w:style w:type="paragraph" w:styleId="ListParagraph">
    <w:name w:val="List Paragraph"/>
    <w:basedOn w:val="Normal"/>
    <w:uiPriority w:val="34"/>
    <w:qFormat/>
    <w:rsid w:val="00B375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65006">
      <w:bodyDiv w:val="1"/>
      <w:marLeft w:val="0"/>
      <w:marRight w:val="0"/>
      <w:marTop w:val="0"/>
      <w:marBottom w:val="0"/>
      <w:divBdr>
        <w:top w:val="none" w:sz="0" w:space="0" w:color="auto"/>
        <w:left w:val="none" w:sz="0" w:space="0" w:color="auto"/>
        <w:bottom w:val="none" w:sz="0" w:space="0" w:color="auto"/>
        <w:right w:val="none" w:sz="0" w:space="0" w:color="auto"/>
      </w:divBdr>
    </w:div>
    <w:div w:id="180626201">
      <w:bodyDiv w:val="1"/>
      <w:marLeft w:val="0"/>
      <w:marRight w:val="0"/>
      <w:marTop w:val="0"/>
      <w:marBottom w:val="0"/>
      <w:divBdr>
        <w:top w:val="none" w:sz="0" w:space="0" w:color="auto"/>
        <w:left w:val="none" w:sz="0" w:space="0" w:color="auto"/>
        <w:bottom w:val="none" w:sz="0" w:space="0" w:color="auto"/>
        <w:right w:val="none" w:sz="0" w:space="0" w:color="auto"/>
      </w:divBdr>
    </w:div>
    <w:div w:id="110830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microsoft.com/office/2007/relationships/stylesWithEffects" Target="stylesWithEffects.xml"/><Relationship Id="rId7" Type="http://schemas.openxmlformats.org/officeDocument/2006/relationships/hyperlink" Target="mailto:licensingauthority@agriculture.gov.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Department of Agriuclture</Company>
  <LinksUpToDate>false</LinksUpToDate>
  <CharactersWithSpaces>13647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Houlihan</dc:creator>
  <cp:lastModifiedBy>McDowell, David</cp:lastModifiedBy>
  <cp:revision>2</cp:revision>
  <dcterms:created xsi:type="dcterms:W3CDTF">2019-11-15T16:07:00Z</dcterms:created>
  <dcterms:modified xsi:type="dcterms:W3CDTF">2019-11-15T16:07:00Z</dcterms:modified>
</cp:coreProperties>
</file>