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5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4" w:name="fig-polar"/>
      <w:r>
        <w:drawing>
          <wp:inline>
            <wp:extent cx="3524250" cy="3419475"/>
            <wp:effectExtent b="0" l="0" r="0" t="0"/>
            <wp:docPr descr="Figure 1: A line plot on a polar axis" title="" id="22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A line plot on a polar axis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2021-12-16T16:51:38Z</dcterms:created>
  <dcterms:modified xsi:type="dcterms:W3CDTF">2021-12-16T16:51:38Z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>docx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toc-title">
    <vt:lpwstr>Table of contents</vt:lpwstr>
  </property>
</Properties>
</file>