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8AB8" w14:textId="77777777" w:rsidR="00D41274" w:rsidRPr="0071275B" w:rsidRDefault="00023FCD" w:rsidP="00023FCD">
      <w:pPr>
        <w:pStyle w:val="IEEETitle"/>
      </w:pPr>
      <w:r>
        <w:tab/>
      </w:r>
      <w:r w:rsidR="0078558B">
        <w:t xml:space="preserve">Utilizing Firebase for </w:t>
      </w:r>
      <w:r w:rsidR="00330D22">
        <w:t>Application</w:t>
      </w:r>
      <w:r w:rsidR="0078558B">
        <w:t xml:space="preserve"> Development</w:t>
      </w:r>
    </w:p>
    <w:p w14:paraId="6A948FCE" w14:textId="77777777" w:rsidR="00D41274" w:rsidRPr="002162BB" w:rsidRDefault="0078558B" w:rsidP="00D41274">
      <w:pPr>
        <w:pStyle w:val="IEEEAuthorName"/>
      </w:pPr>
      <w:r>
        <w:t>Garrett Hagen</w:t>
      </w:r>
    </w:p>
    <w:p w14:paraId="605DBF4E" w14:textId="77777777" w:rsidR="00CF49FB" w:rsidRDefault="00AE0723" w:rsidP="00D41274">
      <w:pPr>
        <w:pStyle w:val="IEEEAuthorAffiliation"/>
      </w:pPr>
      <w:r>
        <w:t>Department of Computer Engineering</w:t>
      </w:r>
    </w:p>
    <w:p w14:paraId="0780FBA4" w14:textId="77777777" w:rsidR="00D41274" w:rsidRPr="0071275B" w:rsidRDefault="00CF49FB" w:rsidP="00D41274">
      <w:pPr>
        <w:pStyle w:val="IEEEAuthorAffiliation"/>
      </w:pPr>
      <w:r>
        <w:t>University of Pittsburgh Swanson School of Engineering</w:t>
      </w:r>
      <w:r w:rsidR="00D41274">
        <w:br w:type="textWrapping" w:clear="all"/>
      </w:r>
      <w:r w:rsidR="00C0334C">
        <w:t>Pitt</w:t>
      </w:r>
      <w:r w:rsidR="00AF54F4">
        <w:t>sburgh</w:t>
      </w:r>
      <w:r>
        <w:t>, USA</w:t>
      </w:r>
    </w:p>
    <w:p w14:paraId="7A42700E" w14:textId="77777777" w:rsidR="00D41274" w:rsidRDefault="00E960B6" w:rsidP="00D41274">
      <w:pPr>
        <w:pStyle w:val="IEEEAuthorEmail"/>
      </w:pPr>
      <w:r>
        <w:t>gbh8@pitt</w:t>
      </w:r>
      <w:r w:rsidR="004E78E3">
        <w:t>.edu</w:t>
      </w:r>
    </w:p>
    <w:p w14:paraId="61D1D31A" w14:textId="77777777" w:rsidR="00D41274" w:rsidRPr="00D41274" w:rsidRDefault="00D41274" w:rsidP="00D41274"/>
    <w:p w14:paraId="499C7CC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136B2966" w14:textId="0615EC01"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4D44AC">
        <w:t>For the d</w:t>
      </w:r>
      <w:r w:rsidR="00E960B6">
        <w:t>evelopment of user applications</w:t>
      </w:r>
      <w:r w:rsidR="00677B7B">
        <w:t xml:space="preserve"> that require internet based </w:t>
      </w:r>
      <w:r w:rsidR="00E960B6">
        <w:t>data</w:t>
      </w:r>
      <w:r w:rsidR="00677B7B">
        <w:t>store and authentication</w:t>
      </w:r>
      <w:r w:rsidR="00E960B6">
        <w:t xml:space="preserve"> </w:t>
      </w:r>
      <w:r w:rsidR="00677B7B">
        <w:t xml:space="preserve">functionality, Google Firebase </w:t>
      </w:r>
      <w:r w:rsidR="006F0F39">
        <w:t>serves</w:t>
      </w:r>
      <w:r w:rsidR="00677B7B">
        <w:t xml:space="preserve"> as a </w:t>
      </w:r>
      <w:r w:rsidR="00461936">
        <w:t xml:space="preserve">flexible, highly abstracted solution. </w:t>
      </w:r>
      <w:r w:rsidR="00677B7B">
        <w:t xml:space="preserve">This paper analyses the various services </w:t>
      </w:r>
      <w:r w:rsidR="006F0F39">
        <w:t xml:space="preserve">Firebase offers </w:t>
      </w:r>
      <w:r w:rsidR="00677B7B">
        <w:t>and their effectiveness in realizing a solution to common</w:t>
      </w:r>
      <w:r w:rsidR="00461936">
        <w:t xml:space="preserve"> features required </w:t>
      </w:r>
      <w:r w:rsidR="00677B7B">
        <w:t xml:space="preserve">in </w:t>
      </w:r>
      <w:r w:rsidR="00A97B19">
        <w:t xml:space="preserve">today’s </w:t>
      </w:r>
      <w:r w:rsidR="00677B7B">
        <w:t xml:space="preserve">user applications. </w:t>
      </w:r>
    </w:p>
    <w:p w14:paraId="111FD864" w14:textId="77777777" w:rsidR="00A32BFA" w:rsidRDefault="00A32BFA" w:rsidP="00A32BFA">
      <w:pPr>
        <w:rPr>
          <w:lang w:val="en-GB" w:eastAsia="en-GB"/>
        </w:rPr>
      </w:pPr>
    </w:p>
    <w:p w14:paraId="0DBD3FDC" w14:textId="77777777" w:rsidR="00A32BFA" w:rsidRPr="00A32BFA" w:rsidRDefault="00A32BFA" w:rsidP="00A32BFA">
      <w:pPr>
        <w:rPr>
          <w:lang w:val="en-GB" w:eastAsia="en-GB"/>
        </w:rPr>
      </w:pPr>
      <w:r>
        <w:rPr>
          <w:rStyle w:val="IEEEAbstractHeadingChar"/>
        </w:rPr>
        <w:t>Keywords</w:t>
      </w:r>
      <w:r w:rsidRPr="002162BB">
        <w:t xml:space="preserve">— </w:t>
      </w:r>
      <w:r w:rsidR="00461936">
        <w:rPr>
          <w:rStyle w:val="IEEEAbtractChar"/>
        </w:rPr>
        <w:t>Firebase; Google; Database;Real-Time;Authentication;Internet;JSON</w:t>
      </w:r>
    </w:p>
    <w:p w14:paraId="304791FF" w14:textId="77777777" w:rsidR="00DD7F83" w:rsidRDefault="00AD335D" w:rsidP="00081EBE">
      <w:pPr>
        <w:pStyle w:val="IEEEHeading1"/>
      </w:pPr>
      <w:r>
        <w:t>Introduction</w:t>
      </w:r>
    </w:p>
    <w:p w14:paraId="44B8AA85" w14:textId="77777777" w:rsidR="00A30387" w:rsidRDefault="00461936" w:rsidP="00BA10AF">
      <w:pPr>
        <w:jc w:val="both"/>
      </w:pPr>
      <w:r>
        <w:tab/>
        <w:t xml:space="preserve">With the fast-paced and ever changing nature of application development, producing flexible, scalable software </w:t>
      </w:r>
      <w:r w:rsidR="004F59B4">
        <w:t>is an essential</w:t>
      </w:r>
      <w:r w:rsidR="00037D4C">
        <w:t xml:space="preserve"> factor in lasting success. As of recent years, there has been a growing trend of d</w:t>
      </w:r>
      <w:r w:rsidR="00B73519">
        <w:t>eveloping consumer sof</w:t>
      </w:r>
      <w:r w:rsidR="00A97B19">
        <w:t>tware as a web based application</w:t>
      </w:r>
      <w:r w:rsidR="00B73519">
        <w:t xml:space="preserve"> which consequently has created an increased demand on </w:t>
      </w:r>
      <w:r w:rsidR="002441E2">
        <w:t xml:space="preserve">robust </w:t>
      </w:r>
      <w:r w:rsidR="00B73519">
        <w:t>backend solutions</w:t>
      </w:r>
      <w:r w:rsidR="002441E2">
        <w:t xml:space="preserve">. </w:t>
      </w:r>
    </w:p>
    <w:p w14:paraId="7B7283B5" w14:textId="77777777" w:rsidR="00BA10AF" w:rsidRDefault="00A30387" w:rsidP="00BA10AF">
      <w:pPr>
        <w:jc w:val="both"/>
        <w:rPr>
          <w:rFonts w:eastAsia="Times New Roman"/>
        </w:rPr>
      </w:pPr>
      <w:r>
        <w:tab/>
      </w:r>
      <w:r w:rsidR="00463325">
        <w:t xml:space="preserve">While developing one’s own backend services for their intended application is a viable option, it requires significant up-front effort and frequent </w:t>
      </w:r>
      <w:r w:rsidR="00134727">
        <w:t>maintenance - b</w:t>
      </w:r>
      <w:r w:rsidR="00662E7A">
        <w:t xml:space="preserve">oth of which inhibit development teams from </w:t>
      </w:r>
      <w:r w:rsidR="00A805F6">
        <w:t xml:space="preserve">placing their </w:t>
      </w:r>
      <w:r w:rsidR="00662E7A">
        <w:t xml:space="preserve">focus on </w:t>
      </w:r>
      <w:r w:rsidR="00A805F6">
        <w:t xml:space="preserve">the functionality of </w:t>
      </w:r>
      <w:r w:rsidR="00BA10AF">
        <w:t xml:space="preserve">the </w:t>
      </w:r>
      <w:r w:rsidR="00A805F6">
        <w:t>application</w:t>
      </w:r>
      <w:r w:rsidR="00BA10AF">
        <w:t xml:space="preserve"> at hand</w:t>
      </w:r>
      <w:r w:rsidR="00A805F6">
        <w:t>. For start-ups and development teams with limited resources, Firebase makes integrating backend features into an application quick and simple</w:t>
      </w:r>
      <w:r w:rsidR="009F046F">
        <w:t xml:space="preserve"> by</w:t>
      </w:r>
      <w:r w:rsidR="009F046F">
        <w:rPr>
          <w:rFonts w:eastAsia="Times New Roman"/>
          <w:color w:val="111111"/>
        </w:rPr>
        <w:t xml:space="preserve"> providing</w:t>
      </w:r>
      <w:r w:rsidR="007C3B3A" w:rsidRPr="007C3B3A">
        <w:rPr>
          <w:rFonts w:eastAsia="Times New Roman"/>
          <w:color w:val="111111"/>
        </w:rPr>
        <w:t xml:space="preserve"> developers with a plethora of tools and services to help them develop high-quality apps, grow their user base, and </w:t>
      </w:r>
      <w:r w:rsidR="009F046F">
        <w:rPr>
          <w:rFonts w:eastAsia="Times New Roman"/>
          <w:color w:val="111111"/>
        </w:rPr>
        <w:t>increase</w:t>
      </w:r>
      <w:r w:rsidR="007C3B3A" w:rsidRPr="007C3B3A">
        <w:rPr>
          <w:rFonts w:eastAsia="Times New Roman"/>
          <w:color w:val="111111"/>
        </w:rPr>
        <w:t xml:space="preserve"> profit</w:t>
      </w:r>
      <w:r w:rsidR="009F046F">
        <w:rPr>
          <w:rFonts w:eastAsia="Times New Roman"/>
          <w:color w:val="111111"/>
        </w:rPr>
        <w:t xml:space="preserve"> [1]</w:t>
      </w:r>
      <w:r w:rsidR="007C3B3A" w:rsidRPr="007C3B3A">
        <w:rPr>
          <w:rFonts w:eastAsia="Times New Roman"/>
          <w:color w:val="111111"/>
        </w:rPr>
        <w:t>.</w:t>
      </w:r>
      <w:r w:rsidR="005D636D">
        <w:rPr>
          <w:rFonts w:eastAsia="Times New Roman"/>
          <w:color w:val="111111"/>
        </w:rPr>
        <w:t xml:space="preserve"> </w:t>
      </w:r>
      <w:r w:rsidR="005D636D">
        <w:rPr>
          <w:rFonts w:eastAsia="Times New Roman"/>
        </w:rPr>
        <w:t xml:space="preserve">This </w:t>
      </w:r>
      <w:r w:rsidR="00BA10AF">
        <w:rPr>
          <w:rFonts w:eastAsia="Times New Roman"/>
        </w:rPr>
        <w:t>prevents</w:t>
      </w:r>
      <w:r w:rsidR="005D636D">
        <w:rPr>
          <w:rFonts w:eastAsia="Times New Roman"/>
        </w:rPr>
        <w:t xml:space="preserve"> </w:t>
      </w:r>
      <w:r w:rsidR="005D636D">
        <w:rPr>
          <w:rFonts w:eastAsia="Times New Roman"/>
        </w:rPr>
        <w:t xml:space="preserve">the need to build </w:t>
      </w:r>
      <w:r w:rsidR="00BF796C">
        <w:rPr>
          <w:rFonts w:eastAsia="Times New Roman"/>
        </w:rPr>
        <w:t xml:space="preserve">many </w:t>
      </w:r>
      <w:r w:rsidR="00BA10AF">
        <w:rPr>
          <w:rFonts w:eastAsia="Times New Roman"/>
        </w:rPr>
        <w:t xml:space="preserve">of </w:t>
      </w:r>
      <w:r w:rsidR="005D636D">
        <w:rPr>
          <w:rFonts w:eastAsia="Times New Roman"/>
        </w:rPr>
        <w:t>these common tools</w:t>
      </w:r>
      <w:r w:rsidR="005D636D">
        <w:rPr>
          <w:rFonts w:eastAsia="Times New Roman"/>
        </w:rPr>
        <w:t xml:space="preserve"> </w:t>
      </w:r>
      <w:r w:rsidR="005D636D">
        <w:rPr>
          <w:rFonts w:eastAsia="Times New Roman"/>
        </w:rPr>
        <w:t>from scratch</w:t>
      </w:r>
      <w:r w:rsidR="005D636D">
        <w:rPr>
          <w:rFonts w:eastAsia="Times New Roman"/>
        </w:rPr>
        <w:t xml:space="preserve">, </w:t>
      </w:r>
      <w:r w:rsidR="00BA10AF">
        <w:rPr>
          <w:rFonts w:eastAsia="Times New Roman"/>
        </w:rPr>
        <w:t xml:space="preserve">allocating development resources to craft </w:t>
      </w:r>
      <w:r w:rsidR="00BF796C">
        <w:rPr>
          <w:rFonts w:eastAsia="Times New Roman"/>
        </w:rPr>
        <w:t>a great user experience</w:t>
      </w:r>
      <w:r w:rsidR="005D636D">
        <w:rPr>
          <w:rFonts w:eastAsia="Times New Roman"/>
        </w:rPr>
        <w:t xml:space="preserve">. </w:t>
      </w:r>
    </w:p>
    <w:p w14:paraId="7333BD53" w14:textId="77777777" w:rsidR="00A30387" w:rsidRDefault="00BA10AF" w:rsidP="00BA10AF">
      <w:pPr>
        <w:rPr>
          <w:rFonts w:eastAsia="Times New Roman"/>
          <w:color w:val="111111"/>
        </w:rPr>
      </w:pPr>
      <w:r>
        <w:rPr>
          <w:rFonts w:eastAsia="Times New Roman"/>
        </w:rPr>
        <w:tab/>
      </w:r>
      <w:r w:rsidR="005D636D">
        <w:rPr>
          <w:rFonts w:eastAsia="Times New Roman"/>
        </w:rPr>
        <w:t>Additionally, it has technologies that can</w:t>
      </w:r>
      <w:r>
        <w:rPr>
          <w:rFonts w:eastAsia="Times New Roman"/>
        </w:rPr>
        <w:t xml:space="preserve"> be integrated</w:t>
      </w:r>
      <w:r w:rsidR="005D636D">
        <w:rPr>
          <w:rFonts w:eastAsia="Times New Roman"/>
        </w:rPr>
        <w:t xml:space="preserve"> into </w:t>
      </w:r>
      <w:r w:rsidR="00BF796C">
        <w:rPr>
          <w:rFonts w:eastAsia="Times New Roman"/>
        </w:rPr>
        <w:t>the application</w:t>
      </w:r>
      <w:r w:rsidR="005D636D">
        <w:rPr>
          <w:rFonts w:eastAsia="Times New Roman"/>
        </w:rPr>
        <w:t xml:space="preserve"> that will </w:t>
      </w:r>
      <w:r w:rsidR="00BF796C">
        <w:rPr>
          <w:rFonts w:eastAsia="Times New Roman"/>
        </w:rPr>
        <w:t>help</w:t>
      </w:r>
      <w:r w:rsidR="005D636D">
        <w:rPr>
          <w:rFonts w:eastAsia="Times New Roman"/>
        </w:rPr>
        <w:t xml:space="preserve"> </w:t>
      </w:r>
      <w:r>
        <w:rPr>
          <w:rFonts w:eastAsia="Times New Roman"/>
        </w:rPr>
        <w:t xml:space="preserve">its growth </w:t>
      </w:r>
      <w:r w:rsidR="005D636D">
        <w:rPr>
          <w:rFonts w:eastAsia="Times New Roman"/>
        </w:rPr>
        <w:t>through referrals, linking, and more. It has an easy-to-use Advertising API that can</w:t>
      </w:r>
      <w:r w:rsidR="00BF796C">
        <w:rPr>
          <w:rFonts w:eastAsia="Times New Roman"/>
        </w:rPr>
        <w:t xml:space="preserve"> be</w:t>
      </w:r>
      <w:r w:rsidR="005D636D">
        <w:rPr>
          <w:rFonts w:eastAsia="Times New Roman"/>
        </w:rPr>
        <w:t xml:space="preserve"> drop</w:t>
      </w:r>
      <w:r w:rsidR="00BF796C">
        <w:rPr>
          <w:rFonts w:eastAsia="Times New Roman"/>
        </w:rPr>
        <w:t>ped</w:t>
      </w:r>
      <w:r w:rsidR="005D636D">
        <w:rPr>
          <w:rFonts w:eastAsia="Times New Roman"/>
        </w:rPr>
        <w:t xml:space="preserve"> into </w:t>
      </w:r>
      <w:r w:rsidR="00BF796C">
        <w:rPr>
          <w:rFonts w:eastAsia="Times New Roman"/>
        </w:rPr>
        <w:t>the application</w:t>
      </w:r>
      <w:r w:rsidR="005D636D">
        <w:rPr>
          <w:rFonts w:eastAsia="Times New Roman"/>
        </w:rPr>
        <w:t xml:space="preserve"> to start earning, and importantly, the whole platform is tied together by analytics</w:t>
      </w:r>
      <w:r>
        <w:rPr>
          <w:rFonts w:eastAsia="Times New Roman"/>
        </w:rPr>
        <w:t xml:space="preserve"> [2]</w:t>
      </w:r>
      <w:r w:rsidR="005D636D">
        <w:rPr>
          <w:rFonts w:eastAsia="Times New Roman"/>
        </w:rPr>
        <w:t>.</w:t>
      </w:r>
      <w:r>
        <w:rPr>
          <w:rFonts w:eastAsia="Times New Roman"/>
        </w:rPr>
        <w:t xml:space="preserve"> </w:t>
      </w:r>
      <w:r w:rsidR="005502D9">
        <w:rPr>
          <w:rFonts w:eastAsia="Times New Roman"/>
          <w:color w:val="111111"/>
        </w:rPr>
        <w:lastRenderedPageBreak/>
        <w:t>Firebase services can be divided into three pillars: Develop, Grow and Earn as shown in Fig. 1.</w:t>
      </w:r>
      <w:r w:rsidR="00023FCD">
        <w:rPr>
          <w:rFonts w:eastAsia="Times New Roman"/>
          <w:color w:val="111111"/>
        </w:rPr>
        <w:t xml:space="preserve"> </w:t>
      </w:r>
    </w:p>
    <w:p w14:paraId="22F2FBAF" w14:textId="77777777" w:rsidR="005502D9" w:rsidRDefault="007F1429" w:rsidP="005502D9">
      <w:pPr>
        <w:pStyle w:val="IEEEFigure"/>
      </w:pPr>
      <w:r>
        <w:pict w14:anchorId="354B5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9.8pt;height:148.05pt">
            <v:imagedata r:id="rId5" o:title="../../../../Desktop/1_rIDMNpRx8HnnY5mhhbXLuA.png"/>
          </v:shape>
        </w:pict>
      </w:r>
    </w:p>
    <w:p w14:paraId="5EAE3D04" w14:textId="77777777" w:rsidR="005502D9" w:rsidRDefault="005502D9" w:rsidP="005502D9">
      <w:pPr>
        <w:pStyle w:val="IEEEFigureCaptionMulti-Lines"/>
      </w:pPr>
      <w:r>
        <w:t xml:space="preserve">Fig. </w:t>
      </w:r>
      <w:r>
        <w:fldChar w:fldCharType="begin"/>
      </w:r>
      <w:r>
        <w:instrText xml:space="preserve"> SEQ Fig. \* ARABIC  \* MERGEFORMAT </w:instrText>
      </w:r>
      <w:r>
        <w:fldChar w:fldCharType="separate"/>
      </w:r>
      <w:r>
        <w:rPr>
          <w:noProof/>
        </w:rPr>
        <w:t>1</w:t>
      </w:r>
      <w:r>
        <w:rPr>
          <w:noProof/>
        </w:rPr>
        <w:fldChar w:fldCharType="end"/>
      </w:r>
      <w:r>
        <w:t xml:space="preserve"> </w:t>
      </w:r>
      <w:r w:rsidR="007F1429">
        <w:t>A chart illustrating the various services that Firebase offers and the pillars they are grouped under</w:t>
      </w:r>
    </w:p>
    <w:p w14:paraId="5D67B77D" w14:textId="77777777" w:rsidR="005502D9" w:rsidRDefault="005502D9" w:rsidP="007C3B3A">
      <w:pPr>
        <w:rPr>
          <w:rFonts w:eastAsia="Times New Roman"/>
          <w:lang w:val="en-US" w:eastAsia="en-US"/>
        </w:rPr>
      </w:pPr>
    </w:p>
    <w:p w14:paraId="6EF72BF8" w14:textId="03F84B41" w:rsidR="00FA6751" w:rsidRDefault="00023FCD" w:rsidP="00E90598">
      <w:r>
        <w:rPr>
          <w:rFonts w:eastAsia="Times New Roman"/>
          <w:color w:val="111111"/>
        </w:rPr>
        <w:t>This paper will focus heavily on the Develop pillar, as its goal is to provide a comprehensive outline on how to leverage these various</w:t>
      </w:r>
      <w:r>
        <w:rPr>
          <w:rFonts w:eastAsia="Times New Roman"/>
          <w:color w:val="111111"/>
        </w:rPr>
        <w:t xml:space="preserve"> tools and services for application development</w:t>
      </w:r>
      <w:r w:rsidR="00E90598">
        <w:rPr>
          <w:rFonts w:eastAsia="Times New Roman"/>
          <w:color w:val="111111"/>
        </w:rPr>
        <w:t xml:space="preserve">. </w:t>
      </w:r>
      <w:r w:rsidR="00E90598">
        <w:t>It</w:t>
      </w:r>
      <w:r w:rsidR="00BA10AF">
        <w:t xml:space="preserve"> will</w:t>
      </w:r>
      <w:r>
        <w:t xml:space="preserve"> be organized into </w:t>
      </w:r>
      <w:r w:rsidR="001F7305">
        <w:t>four</w:t>
      </w:r>
      <w:r>
        <w:t xml:space="preserve"> main sections</w:t>
      </w:r>
      <w:r w:rsidR="001F7305">
        <w:t>:</w:t>
      </w:r>
      <w:r w:rsidR="00182718">
        <w:t xml:space="preserve"> </w:t>
      </w:r>
      <w:r w:rsidR="001F7305">
        <w:t xml:space="preserve">Authentication, Real Time Database, Storage, and Crash Reporting. Each of these main sections will </w:t>
      </w:r>
      <w:r w:rsidR="008F0AA4">
        <w:t>contain a detailed overview and guidelines to integrating these features into the application</w:t>
      </w:r>
      <w:r w:rsidR="001F7305">
        <w:t>. Finally, there wi</w:t>
      </w:r>
      <w:r w:rsidR="00874E46">
        <w:t>ll be a Conclusion section that ties everything together</w:t>
      </w:r>
      <w:r w:rsidR="001F7305">
        <w:t>.</w:t>
      </w:r>
    </w:p>
    <w:p w14:paraId="1B5EC913" w14:textId="77777777" w:rsidR="00E90598" w:rsidRDefault="00E90598" w:rsidP="00E90598"/>
    <w:p w14:paraId="1E549AAC" w14:textId="77777777" w:rsidR="00E90598" w:rsidRDefault="00E90598" w:rsidP="00E90598">
      <w:pPr>
        <w:pStyle w:val="IEEEHeading1"/>
      </w:pPr>
      <w:r>
        <w:t>Authentication</w:t>
      </w:r>
    </w:p>
    <w:p w14:paraId="2EBE77E0" w14:textId="77777777" w:rsidR="00E90598" w:rsidRPr="00E90598" w:rsidRDefault="00E90598" w:rsidP="00E90598">
      <w:pPr>
        <w:rPr>
          <w:rFonts w:eastAsia="Times New Roman"/>
          <w:color w:val="111111"/>
        </w:rPr>
      </w:pPr>
    </w:p>
    <w:p w14:paraId="67CF3DA7" w14:textId="77C6BF17" w:rsidR="00BE512B" w:rsidRDefault="00DB11AD" w:rsidP="00DB11AD">
      <w:pPr>
        <w:pStyle w:val="IEEEParagraph"/>
      </w:pPr>
      <w:r>
        <w:t xml:space="preserve">Writing a custom authentication system is a task that </w:t>
      </w:r>
      <w:r w:rsidR="009726BB">
        <w:t xml:space="preserve">requires extensive development resources, as it must be extremely secure, handle all edge cases, conform to industry standards, and subsequently thoroughly tested. Firebase Authentication abstracts all of these implementation details through an API that </w:t>
      </w:r>
      <w:r w:rsidR="0009597A">
        <w:t xml:space="preserve">supports OAuth 2.0 and </w:t>
      </w:r>
      <w:r w:rsidR="005E5D98">
        <w:t>provides both</w:t>
      </w:r>
      <w:r w:rsidR="005F3CC7">
        <w:t xml:space="preserve"> login and sign up </w:t>
      </w:r>
      <w:r w:rsidR="005E5D98">
        <w:t>services</w:t>
      </w:r>
      <w:r w:rsidR="009726BB">
        <w:t xml:space="preserve"> </w:t>
      </w:r>
      <w:r w:rsidR="0009597A">
        <w:t xml:space="preserve">via </w:t>
      </w:r>
      <w:r w:rsidR="00B10399">
        <w:t>(</w:t>
      </w:r>
      <w:r w:rsidR="0009597A">
        <w:t>email</w:t>
      </w:r>
      <w:r w:rsidR="00B10399">
        <w:t>/phone)</w:t>
      </w:r>
      <w:r w:rsidR="0009597A">
        <w:t xml:space="preserve">/password, Google, </w:t>
      </w:r>
      <w:r w:rsidR="006D5B3D">
        <w:t>Facebook, Twitter, GitH</w:t>
      </w:r>
      <w:r w:rsidR="0009597A">
        <w:t xml:space="preserve">ub, </w:t>
      </w:r>
      <w:r w:rsidR="005E5D98">
        <w:t xml:space="preserve">and </w:t>
      </w:r>
      <w:r w:rsidR="0009597A">
        <w:t xml:space="preserve">others. </w:t>
      </w:r>
      <w:r w:rsidR="007E3EC5">
        <w:t xml:space="preserve">It </w:t>
      </w:r>
      <w:r w:rsidR="007E3EC5">
        <w:lastRenderedPageBreak/>
        <w:t xml:space="preserve">integrates directly with the Realtime Database service so data access can be restricted to authenticated users. </w:t>
      </w:r>
    </w:p>
    <w:p w14:paraId="7751B3A2" w14:textId="1DA2FDBA" w:rsidR="00DB11AD" w:rsidRDefault="00BE512B" w:rsidP="00DB11AD">
      <w:pPr>
        <w:pStyle w:val="IEEEParagraph"/>
      </w:pPr>
      <w:r>
        <w:tab/>
      </w:r>
      <w:r w:rsidR="005E5D98">
        <w:t xml:space="preserve">The state of a user can also be monitored by attaching a listener to the current user of the application, </w:t>
      </w:r>
      <w:r w:rsidR="00FF59C9">
        <w:t xml:space="preserve">which allows authentication </w:t>
      </w:r>
      <w:r w:rsidR="009E490B">
        <w:t>state</w:t>
      </w:r>
      <w:r w:rsidR="00FF59C9">
        <w:t xml:space="preserve"> to persist across application terminations</w:t>
      </w:r>
      <w:r w:rsidR="009E490B">
        <w:t xml:space="preserve"> and launches. This</w:t>
      </w:r>
      <w:r w:rsidR="00FF59C9">
        <w:t xml:space="preserve"> eliminat</w:t>
      </w:r>
      <w:r w:rsidR="009E490B">
        <w:t>es</w:t>
      </w:r>
      <w:r w:rsidR="00FF59C9">
        <w:t xml:space="preserve"> the repetitive task of </w:t>
      </w:r>
      <w:r w:rsidR="009E490B">
        <w:t xml:space="preserve">requiring the user </w:t>
      </w:r>
      <w:r w:rsidR="00FF59C9">
        <w:t xml:space="preserve">to log in every time the application is launched. </w:t>
      </w:r>
      <w:r w:rsidR="00DE343D">
        <w:t>Firebase Authentication</w:t>
      </w:r>
      <w:r w:rsidR="00FF59C9">
        <w:t xml:space="preserve"> also provides additional convenient services such as email/text verification, password resets, and user credential management – all of which can be implemented </w:t>
      </w:r>
      <w:r w:rsidR="00DE343D">
        <w:t xml:space="preserve">directly into the application. </w:t>
      </w:r>
    </w:p>
    <w:p w14:paraId="2E95B2BF" w14:textId="2A4A6DC6" w:rsidR="0093311F" w:rsidRDefault="004A5D9F" w:rsidP="0093311F">
      <w:pPr>
        <w:pStyle w:val="IEEEHeading2"/>
      </w:pPr>
      <w:r>
        <w:t>Sign Up</w:t>
      </w:r>
    </w:p>
    <w:p w14:paraId="5A58B086" w14:textId="6875D066" w:rsidR="007E3EC5" w:rsidRDefault="007E3EC5" w:rsidP="007E3EC5">
      <w:pPr>
        <w:pStyle w:val="IEEEParagraph"/>
      </w:pPr>
      <w:r>
        <w:t xml:space="preserve">As mentioned previously, creating new Firebase users can </w:t>
      </w:r>
      <w:r w:rsidR="00B10399">
        <w:t>be accomplished in a multitude of ways, but for the sake of simplicity we will look at the traditional approach of creating a user via email and password. The typic</w:t>
      </w:r>
      <w:r w:rsidR="00720076">
        <w:t xml:space="preserve">al workflow </w:t>
      </w:r>
      <w:r w:rsidR="00B10399">
        <w:t>involve</w:t>
      </w:r>
      <w:r w:rsidR="00720076">
        <w:t>s</w:t>
      </w:r>
      <w:r w:rsidR="00B10399">
        <w:t xml:space="preserve"> collecting the email and password information from the </w:t>
      </w:r>
      <w:r w:rsidR="00DB7ED0">
        <w:t xml:space="preserve">user interface </w:t>
      </w:r>
      <w:r w:rsidR="00B10399">
        <w:t xml:space="preserve">and then passing it into the code snippet </w:t>
      </w:r>
      <w:r w:rsidR="00720076">
        <w:t xml:space="preserve">displayed </w:t>
      </w:r>
      <w:r w:rsidR="00B10399">
        <w:t>in Fig. 2.</w:t>
      </w:r>
      <w:r w:rsidR="008242FB">
        <w:t xml:space="preserve"> </w:t>
      </w:r>
    </w:p>
    <w:p w14:paraId="0EDB59AC" w14:textId="6B023C35" w:rsidR="00720076" w:rsidRDefault="00720076" w:rsidP="00720076">
      <w:pPr>
        <w:pStyle w:val="IEEEFigure"/>
      </w:pPr>
      <w:r>
        <w:pict w14:anchorId="36CC7194">
          <v:shape id="_x0000_i1029" type="#_x0000_t75" style="width:251.15pt;height:84.1pt">
            <v:imagedata r:id="rId6" o:title="../../../../Desktop/Screen%20Shot%202019-07-27%20at%2010.25.29%20PM.png"/>
          </v:shape>
        </w:pict>
      </w:r>
    </w:p>
    <w:p w14:paraId="429F14F7" w14:textId="0009F310" w:rsidR="00720076" w:rsidRDefault="00720076" w:rsidP="00720076">
      <w:pPr>
        <w:pStyle w:val="IEEEFigureCaptionMulti-Lines"/>
      </w:pPr>
      <w:r>
        <w:t xml:space="preserve">Fig. </w:t>
      </w:r>
      <w:r>
        <w:fldChar w:fldCharType="begin"/>
      </w:r>
      <w:r>
        <w:instrText xml:space="preserve"> SEQ Fig. \* ARABIC  \* MERGEFORMAT </w:instrText>
      </w:r>
      <w:r>
        <w:fldChar w:fldCharType="separate"/>
      </w:r>
      <w:r>
        <w:rPr>
          <w:noProof/>
        </w:rPr>
        <w:t>2</w:t>
      </w:r>
      <w:r>
        <w:rPr>
          <w:noProof/>
        </w:rPr>
        <w:fldChar w:fldCharType="end"/>
      </w:r>
      <w:r>
        <w:t xml:space="preserve"> </w:t>
      </w:r>
      <w:r w:rsidR="008326D4">
        <w:t xml:space="preserve">SignUpViewController.swift: </w:t>
      </w:r>
      <w:r>
        <w:t>A code snippet highlighting the user sign up procedure</w:t>
      </w:r>
    </w:p>
    <w:p w14:paraId="48BF124A" w14:textId="4FB874FC" w:rsidR="00720076" w:rsidRDefault="008326D4" w:rsidP="00720076">
      <w:pPr>
        <w:pStyle w:val="IEEEHeading2"/>
      </w:pPr>
      <w:r>
        <w:t>Sign</w:t>
      </w:r>
      <w:r w:rsidR="00720076">
        <w:t xml:space="preserve"> In</w:t>
      </w:r>
    </w:p>
    <w:p w14:paraId="5CEF6066" w14:textId="0AF7580E" w:rsidR="00FE7239" w:rsidRDefault="00720076" w:rsidP="00720076">
      <w:pPr>
        <w:pStyle w:val="IEEEParagraph"/>
      </w:pPr>
      <w:r>
        <w:t xml:space="preserve">Users can </w:t>
      </w:r>
      <w:r w:rsidR="007B0B9B">
        <w:t>be authenticated</w:t>
      </w:r>
      <w:r>
        <w:t xml:space="preserve"> via any of the credentials that they specified during sign up, but again for the sake of simplicity we will </w:t>
      </w:r>
      <w:r w:rsidR="007B0B9B">
        <w:t xml:space="preserve">use email and password verification. </w:t>
      </w:r>
      <w:r w:rsidR="008326D4">
        <w:t>The workflow to sign in is nearly identical to that of sign up, the only difference being that a Firebase user object is returned in the callback illustrated in Fig. 3.</w:t>
      </w:r>
    </w:p>
    <w:p w14:paraId="75B00901" w14:textId="430FA47E" w:rsidR="00FE7239" w:rsidRDefault="00FE7239" w:rsidP="00FE7239">
      <w:pPr>
        <w:pStyle w:val="IEEEFigure"/>
      </w:pPr>
      <w:r>
        <w:pict w14:anchorId="7940593A">
          <v:shape id="_x0000_i1030" type="#_x0000_t75" style="width:251.15pt;height:84.1pt">
            <v:imagedata r:id="rId6" o:title="../../../../Desktop/Screen%20Shot%202019-07-27%20at%2010.25.29%20PM.png"/>
          </v:shape>
        </w:pict>
      </w:r>
    </w:p>
    <w:p w14:paraId="7D5659E1" w14:textId="61188608" w:rsidR="00FE7239" w:rsidRDefault="00FE7239" w:rsidP="00FE7239">
      <w:pPr>
        <w:pStyle w:val="IEEEFigureCaptionMulti-Lines"/>
      </w:pPr>
      <w:r>
        <w:t xml:space="preserve">Fig. </w:t>
      </w:r>
      <w:r>
        <w:fldChar w:fldCharType="begin"/>
      </w:r>
      <w:r>
        <w:instrText xml:space="preserve"> SEQ Fig. \* ARABIC  \* MERGEFORMAT </w:instrText>
      </w:r>
      <w:r>
        <w:fldChar w:fldCharType="separate"/>
      </w:r>
      <w:r>
        <w:rPr>
          <w:noProof/>
        </w:rPr>
        <w:t>3</w:t>
      </w:r>
      <w:r>
        <w:rPr>
          <w:noProof/>
        </w:rPr>
        <w:fldChar w:fldCharType="end"/>
      </w:r>
      <w:r>
        <w:t xml:space="preserve"> </w:t>
      </w:r>
      <w:r>
        <w:t>SignIn</w:t>
      </w:r>
      <w:r>
        <w:t>ViewController.swift: A code snipp</w:t>
      </w:r>
      <w:r>
        <w:t>et highlighting the user sign in</w:t>
      </w:r>
      <w:r>
        <w:t xml:space="preserve"> procedure</w:t>
      </w:r>
    </w:p>
    <w:p w14:paraId="4A2648F2" w14:textId="5FBDF3F5" w:rsidR="00FE7239" w:rsidRDefault="00FE7239" w:rsidP="00FE7239">
      <w:pPr>
        <w:pStyle w:val="IEEEHeading2"/>
      </w:pPr>
      <w:r>
        <w:t>Authentication State</w:t>
      </w:r>
      <w:r w:rsidR="0023236B">
        <w:t xml:space="preserve"> Persistence</w:t>
      </w:r>
    </w:p>
    <w:p w14:paraId="1EBDB433" w14:textId="30B2AC14" w:rsidR="00FE7239" w:rsidRDefault="0023236B" w:rsidP="00720076">
      <w:pPr>
        <w:pStyle w:val="IEEEParagraph"/>
      </w:pPr>
      <w:r>
        <w:t>Firebase listeners allow the application to be notified of any events that take</w:t>
      </w:r>
      <w:r w:rsidR="00401C94">
        <w:t xml:space="preserve"> place at a certain location. Using this feature we can listen for any changes to the authentication state of the current user and then act accordingly. In iOS applications, the AppDelegate essentially serves as the highest level of logic for the application and executes whenever the application is launched. A simple approach shown in Fig. 4 is to create this listener in the AppDelegate, and then segue to the </w:t>
      </w:r>
      <w:r w:rsidR="000D384E">
        <w:t>sign in</w:t>
      </w:r>
      <w:r w:rsidR="00401C94">
        <w:t xml:space="preserve"> view if the current user logs out/doesn’t exist, or segue to the initial view if the user exists and is logged in.</w:t>
      </w:r>
    </w:p>
    <w:p w14:paraId="07166356" w14:textId="6B2514AA" w:rsidR="00401C94" w:rsidRDefault="000D384E" w:rsidP="00401C94">
      <w:pPr>
        <w:pStyle w:val="IEEEFigure"/>
      </w:pPr>
      <w:r>
        <w:pict w14:anchorId="5B6BA42B">
          <v:shape id="_x0000_i1031" type="#_x0000_t75" style="width:250.55pt;height:70.85pt">
            <v:imagedata r:id="rId7" o:title="../../../../Desktop/Screen%20Shot%202019-07-27%20at%2010.58.21%20PM.png"/>
          </v:shape>
        </w:pict>
      </w:r>
    </w:p>
    <w:p w14:paraId="00ED8362" w14:textId="768A8B7C" w:rsidR="00401C94" w:rsidRDefault="00401C94" w:rsidP="00401C94">
      <w:pPr>
        <w:pStyle w:val="IEEEFigureCaptionMulti-Lines"/>
      </w:pPr>
      <w:r>
        <w:t xml:space="preserve">Fig. </w:t>
      </w:r>
      <w:r>
        <w:fldChar w:fldCharType="begin"/>
      </w:r>
      <w:r>
        <w:instrText xml:space="preserve"> SEQ Fig. \* ARABIC  \* MERGEFORMAT </w:instrText>
      </w:r>
      <w:r>
        <w:fldChar w:fldCharType="separate"/>
      </w:r>
      <w:r>
        <w:rPr>
          <w:noProof/>
        </w:rPr>
        <w:t>4</w:t>
      </w:r>
      <w:r>
        <w:rPr>
          <w:noProof/>
        </w:rPr>
        <w:fldChar w:fldCharType="end"/>
      </w:r>
      <w:r>
        <w:t xml:space="preserve"> </w:t>
      </w:r>
      <w:r w:rsidR="000D384E">
        <w:t>AppDelegate</w:t>
      </w:r>
      <w:r>
        <w:t xml:space="preserve">.swift: A code snippet </w:t>
      </w:r>
      <w:r w:rsidR="000D384E">
        <w:t>depicting attaching a listener to perist authentication state across app launches/terminations</w:t>
      </w:r>
      <w:bookmarkStart w:id="0" w:name="_GoBack"/>
      <w:bookmarkEnd w:id="0"/>
    </w:p>
    <w:p w14:paraId="41BBA5AF" w14:textId="77777777" w:rsidR="00401C94" w:rsidRPr="00720076" w:rsidRDefault="00401C94" w:rsidP="00720076">
      <w:pPr>
        <w:pStyle w:val="IEEEParagraph"/>
      </w:pPr>
    </w:p>
    <w:p w14:paraId="170BD1A5" w14:textId="77777777" w:rsidR="00720076" w:rsidRPr="00720076" w:rsidRDefault="00720076" w:rsidP="00720076">
      <w:pPr>
        <w:pStyle w:val="IEEEParagraph"/>
      </w:pPr>
    </w:p>
    <w:p w14:paraId="69778C33" w14:textId="175C632C" w:rsidR="004A5D9F" w:rsidRPr="004A5D9F" w:rsidRDefault="004A5D9F" w:rsidP="004A5D9F">
      <w:pPr>
        <w:pStyle w:val="IEEEParagraph"/>
      </w:pPr>
    </w:p>
    <w:p w14:paraId="34110EC7" w14:textId="4783D7B1" w:rsidR="00645441" w:rsidRPr="00DB11AD" w:rsidRDefault="00645441" w:rsidP="00DB11AD">
      <w:pPr>
        <w:pStyle w:val="IEEEParagraph"/>
      </w:pPr>
    </w:p>
    <w:p w14:paraId="146557A6" w14:textId="77777777" w:rsidR="0027227B" w:rsidRDefault="008E5996" w:rsidP="00585769">
      <w:pPr>
        <w:pStyle w:val="IEEEParagraph"/>
      </w:pPr>
      <w:r>
        <w:t>Your paper</w:t>
      </w:r>
      <w:r w:rsidR="0027227B" w:rsidRPr="0027227B">
        <w:t xml:space="preserve"> must use </w:t>
      </w:r>
      <w:r w:rsidR="0027227B">
        <w:t>a page size corresponding to A4</w:t>
      </w:r>
      <w:r w:rsidR="0027227B" w:rsidRPr="0027227B">
        <w:t xml:space="preserve"> which</w:t>
      </w:r>
      <w:r w:rsidR="0027227B">
        <w:t xml:space="preserve"> </w:t>
      </w:r>
      <w:r w:rsidR="00585769">
        <w:t>is 210mm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14:paraId="0EE03048" w14:textId="77777777" w:rsidR="0027227B" w:rsidRPr="00955B59" w:rsidRDefault="008E5996" w:rsidP="00585769">
      <w:pPr>
        <w:pStyle w:val="IEEEParagraph"/>
        <w:numPr>
          <w:ilvl w:val="0"/>
          <w:numId w:val="45"/>
        </w:numPr>
      </w:pPr>
      <w:r w:rsidRPr="00DB2DF9">
        <w:t>Top = 19mm (0.75</w:t>
      </w:r>
      <w:r w:rsidR="00585769">
        <w:t>"</w:t>
      </w:r>
      <w:r w:rsidRPr="00DB2DF9">
        <w:t>)</w:t>
      </w:r>
    </w:p>
    <w:p w14:paraId="49A8FDBE" w14:textId="77777777" w:rsidR="008E5996" w:rsidRPr="00DB2DF9" w:rsidRDefault="0084515F" w:rsidP="00585769">
      <w:pPr>
        <w:pStyle w:val="IEEEParagraph"/>
        <w:numPr>
          <w:ilvl w:val="0"/>
          <w:numId w:val="45"/>
        </w:numPr>
      </w:pPr>
      <w:r>
        <w:t>Bottom = 43</w:t>
      </w:r>
      <w:r w:rsidR="00285ECD">
        <w:t>mm (1.69</w:t>
      </w:r>
      <w:r w:rsidR="00585769">
        <w:t>"</w:t>
      </w:r>
      <w:r w:rsidR="008E5996" w:rsidRPr="00DB2DF9">
        <w:t>)</w:t>
      </w:r>
    </w:p>
    <w:p w14:paraId="731B35B7" w14:textId="77777777" w:rsidR="008E5996" w:rsidRPr="00DB2DF9" w:rsidRDefault="008E5996" w:rsidP="00585769">
      <w:pPr>
        <w:pStyle w:val="IEEEParagraph"/>
        <w:numPr>
          <w:ilvl w:val="0"/>
          <w:numId w:val="45"/>
        </w:numPr>
      </w:pPr>
      <w:r w:rsidRPr="00DB2DF9">
        <w:t>Left = Right = 14.32mm (0.56</w:t>
      </w:r>
      <w:r w:rsidR="00585769">
        <w:t>"</w:t>
      </w:r>
      <w:r w:rsidRPr="00DB2DF9">
        <w:t>)</w:t>
      </w:r>
    </w:p>
    <w:p w14:paraId="75E8A98F" w14:textId="77777777" w:rsidR="008E5996" w:rsidRDefault="008E5996" w:rsidP="00585769">
      <w:pPr>
        <w:pStyle w:val="IEEEParagraph"/>
      </w:pPr>
      <w:r>
        <w:t>Your paper must be in two</w:t>
      </w:r>
      <w:r w:rsidR="0084515F">
        <w:t xml:space="preserve"> column format with a space of 4.22</w:t>
      </w:r>
      <w:r w:rsidR="00285ECD">
        <w:t>mm (0.17</w:t>
      </w:r>
      <w:r w:rsidR="00585769">
        <w:t>"</w:t>
      </w:r>
      <w:r>
        <w:t>) between columns.</w:t>
      </w:r>
    </w:p>
    <w:p w14:paraId="79BDCB5B" w14:textId="77777777" w:rsidR="008E5996" w:rsidRDefault="008E5996" w:rsidP="004E452A">
      <w:pPr>
        <w:pStyle w:val="IEEEHeading1"/>
      </w:pPr>
      <w:r>
        <w:t>Page Style</w:t>
      </w:r>
    </w:p>
    <w:p w14:paraId="012F5E5E" w14:textId="77777777" w:rsidR="008E5996" w:rsidRDefault="008E5996" w:rsidP="00E401F8">
      <w:pPr>
        <w:pStyle w:val="IEEEParagraph"/>
      </w:pPr>
      <w:r>
        <w:t>All paragraphs must be indented</w:t>
      </w:r>
      <w:r w:rsidR="00A03E75">
        <w:t>.  All paragraphs must be justified, i</w:t>
      </w:r>
      <w:r w:rsidR="00285ECD">
        <w:t>.</w:t>
      </w:r>
      <w:r w:rsidR="00A03E75">
        <w:t>e. both left-justified and right-justified.</w:t>
      </w:r>
    </w:p>
    <w:p w14:paraId="1143FCD1" w14:textId="77777777" w:rsidR="00C06BB4" w:rsidRDefault="00C06BB4" w:rsidP="00C06BB4">
      <w:pPr>
        <w:pStyle w:val="IEEEHeading2"/>
        <w:numPr>
          <w:ilvl w:val="0"/>
          <w:numId w:val="39"/>
        </w:numPr>
      </w:pPr>
      <w:r>
        <w:t>Text Font of Entire Document</w:t>
      </w:r>
    </w:p>
    <w:p w14:paraId="78468809" w14:textId="77777777" w:rsidR="00C06BB4" w:rsidRDefault="00C06BB4" w:rsidP="00C06BB4">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44DDA9C2" w14:textId="77777777" w:rsidR="00C06BB4" w:rsidRDefault="00C06BB4" w:rsidP="00C06BB4">
      <w:pPr>
        <w:pStyle w:val="IEEEParagraph"/>
      </w:pPr>
      <w:r>
        <w:t>Recommended font size</w:t>
      </w:r>
      <w:r w:rsidR="00A03E75">
        <w:t xml:space="preserve">s are shown in </w:t>
      </w:r>
      <w:r w:rsidR="00224C61">
        <w:t>T</w:t>
      </w:r>
      <w:r w:rsidR="00A03E75">
        <w:t>able 1.</w:t>
      </w:r>
    </w:p>
    <w:p w14:paraId="06C649AD" w14:textId="77777777" w:rsidR="00542C85" w:rsidRDefault="007069BE" w:rsidP="00542C85">
      <w:pPr>
        <w:pStyle w:val="IEEEHeading2"/>
        <w:numPr>
          <w:ilvl w:val="0"/>
          <w:numId w:val="39"/>
        </w:numPr>
      </w:pPr>
      <w:r>
        <w:t>Title a</w:t>
      </w:r>
      <w:r w:rsidR="00542C85">
        <w:t>nd Author Details</w:t>
      </w:r>
    </w:p>
    <w:p w14:paraId="00052F4B" w14:textId="77777777" w:rsidR="00F20BBB" w:rsidRDefault="007F75CA" w:rsidP="00F20BBB">
      <w:pPr>
        <w:pStyle w:val="IEEEParagraph"/>
      </w:pPr>
      <w:r>
        <w:t>Title must be in 24 pt Regular</w:t>
      </w:r>
      <w:r w:rsidR="00F20BBB">
        <w:t xml:space="preserve"> font.  Author name must be in 11 pt Regular font.  Author affiliation must be in 10 pt Italic.  Email address must be in 9 pt Courier Regular font.</w:t>
      </w:r>
    </w:p>
    <w:p w14:paraId="61F4019F" w14:textId="77777777" w:rsidR="00B94516" w:rsidRDefault="00B94516" w:rsidP="00F20BBB">
      <w:pPr>
        <w:pStyle w:val="IEEEParagraph"/>
      </w:pPr>
    </w:p>
    <w:p w14:paraId="68EF2580" w14:textId="77777777" w:rsidR="00273D2C" w:rsidRDefault="00527D56" w:rsidP="00527D56">
      <w:pPr>
        <w:pStyle w:val="IEEETableCaption"/>
      </w:pPr>
      <w:r>
        <w:t xml:space="preserve">TABLE </w:t>
      </w:r>
      <w:r w:rsidR="000D384E">
        <w:fldChar w:fldCharType="begin"/>
      </w:r>
      <w:r w:rsidR="000D384E">
        <w:instrText xml:space="preserve"> SEQ TABLE \* ROMAN </w:instrText>
      </w:r>
      <w:r w:rsidR="000D384E">
        <w:fldChar w:fldCharType="separate"/>
      </w:r>
      <w:r w:rsidR="00042F9F">
        <w:rPr>
          <w:noProof/>
        </w:rPr>
        <w:t>I</w:t>
      </w:r>
      <w:r w:rsidR="000D384E">
        <w:rPr>
          <w:noProof/>
        </w:rPr>
        <w:fldChar w:fldCharType="end"/>
      </w:r>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68F5BF2C" w14:textId="77777777" w:rsidTr="00D414FE">
        <w:trPr>
          <w:jc w:val="center"/>
        </w:trPr>
        <w:tc>
          <w:tcPr>
            <w:tcW w:w="580" w:type="dxa"/>
            <w:vMerge w:val="restart"/>
            <w:shd w:val="clear" w:color="auto" w:fill="auto"/>
          </w:tcPr>
          <w:p w14:paraId="397E870D" w14:textId="77777777" w:rsidR="00273D2C" w:rsidRPr="00C012E1" w:rsidRDefault="00273D2C" w:rsidP="00D36B52">
            <w:pPr>
              <w:pStyle w:val="IEEETableHeaderLeft-Justified"/>
            </w:pPr>
            <w:r>
              <w:t>Font S</w:t>
            </w:r>
            <w:r w:rsidRPr="00C012E1">
              <w:t>ize</w:t>
            </w:r>
          </w:p>
        </w:tc>
        <w:tc>
          <w:tcPr>
            <w:tcW w:w="4447" w:type="dxa"/>
            <w:gridSpan w:val="3"/>
            <w:shd w:val="clear" w:color="auto" w:fill="auto"/>
          </w:tcPr>
          <w:p w14:paraId="460FD89C" w14:textId="77777777" w:rsidR="00273D2C" w:rsidRPr="00C012E1" w:rsidRDefault="00273D2C" w:rsidP="00D36B52">
            <w:pPr>
              <w:pStyle w:val="IEEETableHeaderCentered"/>
            </w:pPr>
            <w:r w:rsidRPr="00C012E1">
              <w:t>Appearance</w:t>
            </w:r>
            <w:r>
              <w:t xml:space="preserve"> (in Time New Roman or Times)</w:t>
            </w:r>
          </w:p>
        </w:tc>
      </w:tr>
      <w:tr w:rsidR="00273D2C" w14:paraId="5B769778" w14:textId="77777777" w:rsidTr="00D414FE">
        <w:trPr>
          <w:jc w:val="center"/>
        </w:trPr>
        <w:tc>
          <w:tcPr>
            <w:tcW w:w="580" w:type="dxa"/>
            <w:vMerge/>
            <w:shd w:val="clear" w:color="auto" w:fill="auto"/>
          </w:tcPr>
          <w:p w14:paraId="36B3E768" w14:textId="77777777" w:rsidR="00273D2C" w:rsidRPr="00D414FE" w:rsidRDefault="00273D2C" w:rsidP="00E47D0E">
            <w:pPr>
              <w:pStyle w:val="IEEETableCell"/>
              <w:rPr>
                <w:b/>
                <w:bCs/>
              </w:rPr>
            </w:pPr>
          </w:p>
        </w:tc>
        <w:tc>
          <w:tcPr>
            <w:tcW w:w="1762" w:type="dxa"/>
            <w:shd w:val="clear" w:color="auto" w:fill="auto"/>
          </w:tcPr>
          <w:p w14:paraId="2EC15441" w14:textId="77777777" w:rsidR="00273D2C" w:rsidRPr="00C012E1" w:rsidRDefault="00273D2C" w:rsidP="00D36B52">
            <w:pPr>
              <w:pStyle w:val="IEEETableHeaderLeft-Justified"/>
            </w:pPr>
            <w:r w:rsidRPr="00C012E1">
              <w:t>Regular</w:t>
            </w:r>
          </w:p>
        </w:tc>
        <w:tc>
          <w:tcPr>
            <w:tcW w:w="1080" w:type="dxa"/>
            <w:shd w:val="clear" w:color="auto" w:fill="auto"/>
          </w:tcPr>
          <w:p w14:paraId="49CA026D" w14:textId="77777777" w:rsidR="00273D2C" w:rsidRPr="00C012E1" w:rsidRDefault="00273D2C" w:rsidP="00D36B52">
            <w:pPr>
              <w:pStyle w:val="IEEETableHeaderLeft-Justified"/>
            </w:pPr>
            <w:r w:rsidRPr="00C012E1">
              <w:t>Bold</w:t>
            </w:r>
          </w:p>
        </w:tc>
        <w:tc>
          <w:tcPr>
            <w:tcW w:w="1605" w:type="dxa"/>
            <w:shd w:val="clear" w:color="auto" w:fill="auto"/>
          </w:tcPr>
          <w:p w14:paraId="65CBEE01" w14:textId="77777777" w:rsidR="00273D2C" w:rsidRPr="00C012E1" w:rsidRDefault="00273D2C" w:rsidP="00D36B52">
            <w:pPr>
              <w:pStyle w:val="IEEETableHeaderLeft-Justified"/>
            </w:pPr>
            <w:r w:rsidRPr="00C012E1">
              <w:t>Italic</w:t>
            </w:r>
          </w:p>
        </w:tc>
      </w:tr>
      <w:tr w:rsidR="00273D2C" w14:paraId="0CF2ACE7" w14:textId="77777777" w:rsidTr="00D414FE">
        <w:trPr>
          <w:jc w:val="center"/>
        </w:trPr>
        <w:tc>
          <w:tcPr>
            <w:tcW w:w="580" w:type="dxa"/>
            <w:shd w:val="clear" w:color="auto" w:fill="auto"/>
          </w:tcPr>
          <w:p w14:paraId="6F9DC124" w14:textId="77777777" w:rsidR="00273D2C" w:rsidRDefault="00273D2C" w:rsidP="00E47D0E">
            <w:pPr>
              <w:pStyle w:val="IEEETableCell"/>
            </w:pPr>
            <w:r>
              <w:t>8</w:t>
            </w:r>
          </w:p>
        </w:tc>
        <w:tc>
          <w:tcPr>
            <w:tcW w:w="1762" w:type="dxa"/>
            <w:shd w:val="clear" w:color="auto" w:fill="auto"/>
          </w:tcPr>
          <w:p w14:paraId="12076729" w14:textId="77777777" w:rsidR="00331F84" w:rsidRDefault="00273D2C" w:rsidP="00331F84">
            <w:pPr>
              <w:pStyle w:val="IEEETableCell"/>
            </w:pPr>
            <w:r>
              <w:t>table caption (in Small Caps),</w:t>
            </w:r>
          </w:p>
          <w:p w14:paraId="410D44B8" w14:textId="77777777" w:rsidR="00331F84" w:rsidRDefault="00273D2C" w:rsidP="00331F84">
            <w:pPr>
              <w:pStyle w:val="IEEETableCell"/>
            </w:pPr>
            <w:r>
              <w:t>figure caption</w:t>
            </w:r>
            <w:r w:rsidR="00CD4F3F">
              <w:t>,</w:t>
            </w:r>
          </w:p>
          <w:p w14:paraId="351222DB" w14:textId="77777777" w:rsidR="00CD4F3F" w:rsidRDefault="00CD4F3F" w:rsidP="00331F84">
            <w:pPr>
              <w:pStyle w:val="IEEETableCell"/>
            </w:pPr>
            <w:r>
              <w:t>reference</w:t>
            </w:r>
            <w:r w:rsidR="00311C49">
              <w:t xml:space="preserve"> item</w:t>
            </w:r>
          </w:p>
        </w:tc>
        <w:tc>
          <w:tcPr>
            <w:tcW w:w="1080" w:type="dxa"/>
            <w:shd w:val="clear" w:color="auto" w:fill="auto"/>
          </w:tcPr>
          <w:p w14:paraId="13D00780" w14:textId="77777777" w:rsidR="00273D2C" w:rsidRDefault="00273D2C" w:rsidP="00E47D0E">
            <w:pPr>
              <w:pStyle w:val="IEEETableCell"/>
            </w:pPr>
          </w:p>
        </w:tc>
        <w:tc>
          <w:tcPr>
            <w:tcW w:w="1605" w:type="dxa"/>
            <w:shd w:val="clear" w:color="auto" w:fill="auto"/>
          </w:tcPr>
          <w:p w14:paraId="2EBC681B" w14:textId="77777777" w:rsidR="00273D2C" w:rsidRDefault="00CD4F3F" w:rsidP="00E47D0E">
            <w:pPr>
              <w:pStyle w:val="IEEETableCell"/>
            </w:pPr>
            <w:r>
              <w:t xml:space="preserve">reference </w:t>
            </w:r>
            <w:r w:rsidR="00311C49">
              <w:t xml:space="preserve">item </w:t>
            </w:r>
            <w:r>
              <w:t>(partial)</w:t>
            </w:r>
          </w:p>
        </w:tc>
      </w:tr>
      <w:tr w:rsidR="00273D2C" w14:paraId="4D0E3BC8" w14:textId="77777777" w:rsidTr="00D414FE">
        <w:trPr>
          <w:jc w:val="center"/>
        </w:trPr>
        <w:tc>
          <w:tcPr>
            <w:tcW w:w="580" w:type="dxa"/>
            <w:shd w:val="clear" w:color="auto" w:fill="auto"/>
          </w:tcPr>
          <w:p w14:paraId="54DFCC45" w14:textId="77777777" w:rsidR="00273D2C" w:rsidRDefault="00273D2C" w:rsidP="00E47D0E">
            <w:pPr>
              <w:pStyle w:val="IEEETableCell"/>
            </w:pPr>
            <w:r>
              <w:t>9</w:t>
            </w:r>
          </w:p>
        </w:tc>
        <w:tc>
          <w:tcPr>
            <w:tcW w:w="1762" w:type="dxa"/>
            <w:shd w:val="clear" w:color="auto" w:fill="auto"/>
          </w:tcPr>
          <w:p w14:paraId="28AC4F4E" w14:textId="77777777" w:rsidR="00331F84" w:rsidRDefault="00273D2C" w:rsidP="00331F84">
            <w:pPr>
              <w:pStyle w:val="IEEETableCell"/>
            </w:pPr>
            <w:r>
              <w:t>author email address (in Courier)</w:t>
            </w:r>
            <w:r w:rsidR="00331F84">
              <w:t>,</w:t>
            </w:r>
          </w:p>
          <w:p w14:paraId="756B2DD0" w14:textId="77777777" w:rsidR="00331F84" w:rsidRDefault="00331F84" w:rsidP="00331F84">
            <w:pPr>
              <w:pStyle w:val="IEEETableCell"/>
            </w:pPr>
            <w:r>
              <w:t>cell in a table</w:t>
            </w:r>
          </w:p>
        </w:tc>
        <w:tc>
          <w:tcPr>
            <w:tcW w:w="1080" w:type="dxa"/>
            <w:shd w:val="clear" w:color="auto" w:fill="auto"/>
          </w:tcPr>
          <w:p w14:paraId="2BC97388" w14:textId="77777777" w:rsidR="00273D2C" w:rsidRDefault="00273D2C" w:rsidP="00E47D0E">
            <w:pPr>
              <w:pStyle w:val="IEEETableCell"/>
            </w:pPr>
            <w:r>
              <w:t>abstract body</w:t>
            </w:r>
          </w:p>
        </w:tc>
        <w:tc>
          <w:tcPr>
            <w:tcW w:w="1605" w:type="dxa"/>
            <w:shd w:val="clear" w:color="auto" w:fill="auto"/>
          </w:tcPr>
          <w:p w14:paraId="6A6202B1" w14:textId="77777777" w:rsidR="00273D2C" w:rsidRDefault="00273D2C" w:rsidP="00E47D0E">
            <w:pPr>
              <w:pStyle w:val="IEEETableCell"/>
            </w:pPr>
            <w:r>
              <w:t>abstract heading (also in Bold)</w:t>
            </w:r>
          </w:p>
        </w:tc>
      </w:tr>
      <w:tr w:rsidR="00273D2C" w14:paraId="77706007" w14:textId="77777777" w:rsidTr="00D414FE">
        <w:trPr>
          <w:jc w:val="center"/>
        </w:trPr>
        <w:tc>
          <w:tcPr>
            <w:tcW w:w="580" w:type="dxa"/>
            <w:shd w:val="clear" w:color="auto" w:fill="auto"/>
          </w:tcPr>
          <w:p w14:paraId="36184EAF" w14:textId="77777777" w:rsidR="00273D2C" w:rsidRDefault="00273D2C" w:rsidP="00E47D0E">
            <w:pPr>
              <w:pStyle w:val="IEEETableCell"/>
            </w:pPr>
            <w:r>
              <w:t>10</w:t>
            </w:r>
          </w:p>
        </w:tc>
        <w:tc>
          <w:tcPr>
            <w:tcW w:w="1762" w:type="dxa"/>
            <w:shd w:val="clear" w:color="auto" w:fill="auto"/>
          </w:tcPr>
          <w:p w14:paraId="5D8F600C" w14:textId="77777777" w:rsidR="00331F84" w:rsidRDefault="00273D2C" w:rsidP="00331F84">
            <w:pPr>
              <w:pStyle w:val="IEEETableCell"/>
            </w:pPr>
            <w:r>
              <w:t>level-1 heading (in Small Caps),</w:t>
            </w:r>
          </w:p>
          <w:p w14:paraId="60648958" w14:textId="77777777" w:rsidR="00273D2C" w:rsidRDefault="00273D2C" w:rsidP="00331F84">
            <w:pPr>
              <w:pStyle w:val="IEEETableCell"/>
            </w:pPr>
            <w:r>
              <w:t>paragraph</w:t>
            </w:r>
          </w:p>
        </w:tc>
        <w:tc>
          <w:tcPr>
            <w:tcW w:w="1080" w:type="dxa"/>
            <w:shd w:val="clear" w:color="auto" w:fill="auto"/>
          </w:tcPr>
          <w:p w14:paraId="0BF5DEC5" w14:textId="77777777" w:rsidR="00273D2C" w:rsidRDefault="00273D2C" w:rsidP="00E47D0E">
            <w:pPr>
              <w:pStyle w:val="IEEETableCell"/>
            </w:pPr>
          </w:p>
        </w:tc>
        <w:tc>
          <w:tcPr>
            <w:tcW w:w="1605" w:type="dxa"/>
            <w:shd w:val="clear" w:color="auto" w:fill="auto"/>
          </w:tcPr>
          <w:p w14:paraId="726FF152" w14:textId="77777777" w:rsidR="00273D2C" w:rsidRDefault="00273D2C" w:rsidP="00E47D0E">
            <w:pPr>
              <w:pStyle w:val="IEEETableCell"/>
            </w:pPr>
            <w:r>
              <w:t>level-2 heading,</w:t>
            </w:r>
          </w:p>
          <w:p w14:paraId="4B89DB1D" w14:textId="77777777" w:rsidR="00273D2C" w:rsidRDefault="00273D2C" w:rsidP="00E47D0E">
            <w:pPr>
              <w:pStyle w:val="IEEETableCell"/>
            </w:pPr>
            <w:r>
              <w:t>level-3 heading,</w:t>
            </w:r>
          </w:p>
          <w:p w14:paraId="02A7B8FC" w14:textId="77777777" w:rsidR="00273D2C" w:rsidRDefault="00273D2C" w:rsidP="00E47D0E">
            <w:pPr>
              <w:pStyle w:val="IEEETableCell"/>
            </w:pPr>
            <w:r>
              <w:t>author affiliation</w:t>
            </w:r>
          </w:p>
        </w:tc>
      </w:tr>
      <w:tr w:rsidR="00273D2C" w14:paraId="4DA30792" w14:textId="77777777" w:rsidTr="00D414FE">
        <w:trPr>
          <w:jc w:val="center"/>
        </w:trPr>
        <w:tc>
          <w:tcPr>
            <w:tcW w:w="580" w:type="dxa"/>
            <w:shd w:val="clear" w:color="auto" w:fill="auto"/>
          </w:tcPr>
          <w:p w14:paraId="2D20ED80" w14:textId="77777777" w:rsidR="00273D2C" w:rsidRDefault="00273D2C" w:rsidP="00E47D0E">
            <w:pPr>
              <w:pStyle w:val="IEEETableCell"/>
            </w:pPr>
            <w:r>
              <w:t>11</w:t>
            </w:r>
          </w:p>
        </w:tc>
        <w:tc>
          <w:tcPr>
            <w:tcW w:w="1762" w:type="dxa"/>
            <w:shd w:val="clear" w:color="auto" w:fill="auto"/>
          </w:tcPr>
          <w:p w14:paraId="634402C4" w14:textId="77777777" w:rsidR="00273D2C" w:rsidRDefault="00273D2C" w:rsidP="00E47D0E">
            <w:pPr>
              <w:pStyle w:val="IEEETableCell"/>
            </w:pPr>
            <w:r>
              <w:t>author name</w:t>
            </w:r>
          </w:p>
        </w:tc>
        <w:tc>
          <w:tcPr>
            <w:tcW w:w="1080" w:type="dxa"/>
            <w:shd w:val="clear" w:color="auto" w:fill="auto"/>
          </w:tcPr>
          <w:p w14:paraId="432B0D0B" w14:textId="77777777" w:rsidR="00273D2C" w:rsidRDefault="00273D2C" w:rsidP="00E47D0E">
            <w:pPr>
              <w:pStyle w:val="IEEETableCell"/>
            </w:pPr>
          </w:p>
        </w:tc>
        <w:tc>
          <w:tcPr>
            <w:tcW w:w="1605" w:type="dxa"/>
            <w:shd w:val="clear" w:color="auto" w:fill="auto"/>
          </w:tcPr>
          <w:p w14:paraId="65A031CA" w14:textId="77777777" w:rsidR="00273D2C" w:rsidRDefault="00273D2C" w:rsidP="00E47D0E">
            <w:pPr>
              <w:pStyle w:val="IEEETableCell"/>
            </w:pPr>
          </w:p>
        </w:tc>
      </w:tr>
      <w:tr w:rsidR="00273D2C" w14:paraId="27A85EEC" w14:textId="77777777" w:rsidTr="00D414FE">
        <w:trPr>
          <w:jc w:val="center"/>
        </w:trPr>
        <w:tc>
          <w:tcPr>
            <w:tcW w:w="580" w:type="dxa"/>
            <w:shd w:val="clear" w:color="auto" w:fill="auto"/>
          </w:tcPr>
          <w:p w14:paraId="0266492E" w14:textId="77777777" w:rsidR="00273D2C" w:rsidRDefault="00273D2C" w:rsidP="00E47D0E">
            <w:pPr>
              <w:pStyle w:val="IEEETableCell"/>
            </w:pPr>
            <w:r>
              <w:t>24</w:t>
            </w:r>
          </w:p>
        </w:tc>
        <w:tc>
          <w:tcPr>
            <w:tcW w:w="1762" w:type="dxa"/>
            <w:shd w:val="clear" w:color="auto" w:fill="auto"/>
          </w:tcPr>
          <w:p w14:paraId="291214B9" w14:textId="77777777" w:rsidR="00273D2C" w:rsidRDefault="00273D2C" w:rsidP="00E47D0E">
            <w:pPr>
              <w:pStyle w:val="IEEETableCell"/>
            </w:pPr>
            <w:r>
              <w:t>title</w:t>
            </w:r>
          </w:p>
        </w:tc>
        <w:tc>
          <w:tcPr>
            <w:tcW w:w="1080" w:type="dxa"/>
            <w:shd w:val="clear" w:color="auto" w:fill="auto"/>
          </w:tcPr>
          <w:p w14:paraId="35B1BABA" w14:textId="77777777" w:rsidR="00273D2C" w:rsidRDefault="00273D2C" w:rsidP="00E47D0E">
            <w:pPr>
              <w:pStyle w:val="IEEETableCell"/>
            </w:pPr>
          </w:p>
        </w:tc>
        <w:tc>
          <w:tcPr>
            <w:tcW w:w="1605" w:type="dxa"/>
            <w:shd w:val="clear" w:color="auto" w:fill="auto"/>
          </w:tcPr>
          <w:p w14:paraId="7E5540EA" w14:textId="77777777" w:rsidR="00273D2C" w:rsidRDefault="00273D2C" w:rsidP="00E47D0E">
            <w:pPr>
              <w:pStyle w:val="IEEETableCell"/>
            </w:pPr>
          </w:p>
        </w:tc>
      </w:tr>
    </w:tbl>
    <w:p w14:paraId="014E5EC7" w14:textId="77777777" w:rsidR="00B94516" w:rsidRDefault="00B94516" w:rsidP="00B94516">
      <w:pPr>
        <w:pStyle w:val="IEEEParagraph"/>
      </w:pPr>
    </w:p>
    <w:p w14:paraId="3696A002" w14:textId="77777777" w:rsidR="00B94516" w:rsidRDefault="00B94516" w:rsidP="00B94516">
      <w:pPr>
        <w:pStyle w:val="IEEEParagraph"/>
      </w:pPr>
      <w:r>
        <w:t>All title and author details must be in single-column format and must be centered.</w:t>
      </w:r>
    </w:p>
    <w:p w14:paraId="4B852A8B"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4EBDF62E" w14:textId="77777777"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689A1AD3"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7B0401DE" w14:textId="77777777" w:rsidR="00B94516" w:rsidRDefault="00B94516" w:rsidP="00B94516">
      <w:pPr>
        <w:pStyle w:val="IEEEParagraph"/>
      </w:pPr>
      <w:r>
        <w:t>Each affiliation must include, at the very least, the name of the company and the name of the country where the author is based (e.g. Causal Productions Pty Ltd, Australia).</w:t>
      </w:r>
    </w:p>
    <w:p w14:paraId="63C88D18" w14:textId="77777777" w:rsidR="00B94516" w:rsidRDefault="00B94516" w:rsidP="00B94516">
      <w:pPr>
        <w:pStyle w:val="IEEEParagraph"/>
      </w:pPr>
      <w:r>
        <w:t>Email address is compulsory for the corresponding author.</w:t>
      </w:r>
    </w:p>
    <w:p w14:paraId="1FD9BDD8" w14:textId="77777777" w:rsidR="00A45FCE" w:rsidRDefault="00A45FCE" w:rsidP="00A45FCE">
      <w:pPr>
        <w:pStyle w:val="IEEEHeading2"/>
        <w:numPr>
          <w:ilvl w:val="0"/>
          <w:numId w:val="39"/>
        </w:numPr>
      </w:pPr>
      <w:r w:rsidRPr="00B55D5E">
        <w:t xml:space="preserve">Section </w:t>
      </w:r>
      <w:r>
        <w:t>Headings</w:t>
      </w:r>
    </w:p>
    <w:p w14:paraId="7F54BF10" w14:textId="77777777"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7132C078" w14:textId="77777777"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A level-1 heading must be in Small Caps, centere</w:t>
      </w:r>
      <w:r w:rsidR="000002E1">
        <w:rPr>
          <w:i w:val="0"/>
          <w:iCs/>
        </w:rPr>
        <w:t>d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14:paraId="430EBEF1" w14:textId="77777777"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14:paraId="27C00D6D" w14:textId="77777777"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14:paraId="0DCFDB54" w14:textId="77777777" w:rsidR="00510E95" w:rsidRDefault="00510E95" w:rsidP="00510E95">
      <w:pPr>
        <w:pStyle w:val="IEEEHeading2"/>
        <w:rPr>
          <w:lang w:val="en-GB"/>
        </w:rPr>
      </w:pPr>
      <w:r>
        <w:rPr>
          <w:lang w:val="en-GB"/>
        </w:rPr>
        <w:t>Figures and Tables</w:t>
      </w:r>
    </w:p>
    <w:p w14:paraId="7A1DD8FD" w14:textId="77777777" w:rsidR="00510E95" w:rsidRDefault="000E3F84" w:rsidP="00510E95">
      <w:pPr>
        <w:pStyle w:val="IEEEParagraph"/>
        <w:rPr>
          <w:lang w:val="en-GB"/>
        </w:rPr>
      </w:pPr>
      <w:r>
        <w:rPr>
          <w:lang w:val="en-GB"/>
        </w:rPr>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661A59F1" w14:textId="77777777"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14:paraId="1BF97275" w14:textId="77777777" w:rsidR="002F72D0" w:rsidRDefault="002F72D0" w:rsidP="002F72D0">
      <w:pPr>
        <w:pStyle w:val="IEEEParagraph"/>
      </w:pPr>
    </w:p>
    <w:p w14:paraId="4BA8A84D" w14:textId="77777777" w:rsidR="002F72D0" w:rsidRDefault="000D384E" w:rsidP="00D36B52">
      <w:pPr>
        <w:pStyle w:val="IEEEFigure"/>
      </w:pPr>
      <w:r>
        <w:pict w14:anchorId="2792B2EF">
          <v:shape id="_x0000_i1025" type="#_x0000_t75" style="width:194.1pt;height:141.1pt">
            <v:imagedata r:id="rId8" o:title="gv_figure_4"/>
          </v:shape>
        </w:pict>
      </w:r>
    </w:p>
    <w:p w14:paraId="204D7BD9" w14:textId="77777777" w:rsidR="002F72D0" w:rsidRDefault="002F72D0" w:rsidP="00D36B52">
      <w:pPr>
        <w:pStyle w:val="IEEEFigureCaptionMulti-Lines"/>
      </w:pPr>
      <w:r>
        <w:t xml:space="preserve">Fig. </w:t>
      </w:r>
      <w:r w:rsidR="000D384E">
        <w:fldChar w:fldCharType="begin"/>
      </w:r>
      <w:r w:rsidR="000D384E">
        <w:instrText xml:space="preserve"> SEQ Fig. \* ARABIC  \* MERGEFORMAT </w:instrText>
      </w:r>
      <w:r w:rsidR="000D384E">
        <w:fldChar w:fldCharType="separate"/>
      </w:r>
      <w:r w:rsidR="00042F9F">
        <w:rPr>
          <w:noProof/>
        </w:rPr>
        <w:t>1</w:t>
      </w:r>
      <w:r w:rsidR="000D384E">
        <w:rPr>
          <w:noProof/>
        </w:rPr>
        <w:fldChar w:fldCharType="end"/>
      </w:r>
      <w:r>
        <w:t xml:space="preserve">  A sample line graph using colors which contrast well both on screen and on a black-and-white hardcopy</w:t>
      </w:r>
    </w:p>
    <w:p w14:paraId="5795008F" w14:textId="77777777" w:rsidR="007B5A07" w:rsidRDefault="007B5A07" w:rsidP="007B5A07">
      <w:pPr>
        <w:pStyle w:val="IEEEParagraph"/>
      </w:pPr>
    </w:p>
    <w:p w14:paraId="0A4347CB"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5225E20E" w14:textId="77777777"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14:paraId="125E0C7A" w14:textId="77777777" w:rsidR="008D1045" w:rsidRPr="0084515F" w:rsidRDefault="008D1045" w:rsidP="008D1045">
      <w:pPr>
        <w:pStyle w:val="IEEEParagraph"/>
        <w:numPr>
          <w:ilvl w:val="0"/>
          <w:numId w:val="45"/>
        </w:numPr>
      </w:pPr>
      <w:r>
        <w:rPr>
          <w:lang w:val="en-GB"/>
        </w:rPr>
        <w:t>the colors used in each figure contrast well,</w:t>
      </w:r>
    </w:p>
    <w:p w14:paraId="3D11728C" w14:textId="77777777" w:rsidR="008D1045" w:rsidRPr="0084515F" w:rsidRDefault="008D1045" w:rsidP="008D1045">
      <w:pPr>
        <w:pStyle w:val="IEEEParagraph"/>
        <w:numPr>
          <w:ilvl w:val="0"/>
          <w:numId w:val="45"/>
        </w:numPr>
      </w:pPr>
      <w:r>
        <w:rPr>
          <w:lang w:val="en-GB"/>
        </w:rPr>
        <w:t>the image used in each figure is clear,</w:t>
      </w:r>
    </w:p>
    <w:p w14:paraId="6164309C" w14:textId="77777777" w:rsidR="008D1045" w:rsidRPr="00054421" w:rsidRDefault="008D1045" w:rsidP="008D1045">
      <w:pPr>
        <w:pStyle w:val="IEEEParagraph"/>
        <w:numPr>
          <w:ilvl w:val="0"/>
          <w:numId w:val="45"/>
        </w:numPr>
      </w:pPr>
      <w:r>
        <w:rPr>
          <w:lang w:val="en-GB"/>
        </w:rPr>
        <w:t>all text labels in each figure are legible.</w:t>
      </w:r>
    </w:p>
    <w:p w14:paraId="5BA9C303" w14:textId="77777777" w:rsidR="002F72D0" w:rsidRDefault="002F72D0" w:rsidP="002F72D0">
      <w:pPr>
        <w:pStyle w:val="IEEEHeading2"/>
        <w:numPr>
          <w:ilvl w:val="0"/>
          <w:numId w:val="14"/>
        </w:numPr>
      </w:pPr>
      <w:r>
        <w:t>Figure Captions</w:t>
      </w:r>
    </w:p>
    <w:p w14:paraId="1AAB2AFA"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centered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339C66FA" w14:textId="77777777" w:rsidR="00DD71E8" w:rsidRDefault="000D384E" w:rsidP="00D36B52">
      <w:pPr>
        <w:pStyle w:val="IEEEFigure"/>
      </w:pPr>
      <w:r>
        <w:pict w14:anchorId="41E73EA2">
          <v:shape id="_x0000_i1026" type="#_x0000_t75" style="width:128.45pt;height:183.75pt">
            <v:imagedata r:id="rId9" o:title=""/>
          </v:shape>
        </w:pict>
      </w:r>
    </w:p>
    <w:p w14:paraId="12275A77" w14:textId="77777777" w:rsidR="00EB0B63" w:rsidRDefault="001F47D2" w:rsidP="001F47D2">
      <w:pPr>
        <w:pStyle w:val="IEEEFigureCaptionSingle-Line"/>
      </w:pPr>
      <w:r>
        <w:t xml:space="preserve">Fig. </w:t>
      </w:r>
      <w:r w:rsidR="000D384E">
        <w:fldChar w:fldCharType="begin"/>
      </w:r>
      <w:r w:rsidR="000D384E">
        <w:instrText xml:space="preserve"> SEQ Fig. \* ARABIC  \* MERGEFORMAT </w:instrText>
      </w:r>
      <w:r w:rsidR="000D384E">
        <w:fldChar w:fldCharType="separate"/>
      </w:r>
      <w:r w:rsidR="00042F9F">
        <w:rPr>
          <w:noProof/>
        </w:rPr>
        <w:t>2</w:t>
      </w:r>
      <w:r w:rsidR="000D384E">
        <w:rPr>
          <w:noProof/>
        </w:rPr>
        <w:fldChar w:fldCharType="end"/>
      </w:r>
      <w:r>
        <w:t xml:space="preserve">  </w:t>
      </w:r>
      <w:r w:rsidR="00510E95">
        <w:t>Example of an unacceptable low-resolution i</w:t>
      </w:r>
      <w:r w:rsidR="00EB0B63">
        <w:t>mage</w:t>
      </w:r>
    </w:p>
    <w:p w14:paraId="0AC65250" w14:textId="77777777" w:rsidR="007B5A07" w:rsidRPr="007B5A07" w:rsidRDefault="007B5A07" w:rsidP="007B5A07">
      <w:pPr>
        <w:pStyle w:val="IEEEParagraph"/>
      </w:pPr>
    </w:p>
    <w:p w14:paraId="75507AAF" w14:textId="77777777" w:rsidR="00EB0B63" w:rsidRDefault="0078558B" w:rsidP="00D36B52">
      <w:pPr>
        <w:pStyle w:val="IEEEFigure"/>
      </w:pPr>
      <w:r>
        <w:pict w14:anchorId="5F5AB573">
          <v:shape id="_x0000_i1027" type="#_x0000_t75" style="width:120.95pt;height:176.25pt">
            <v:imagedata r:id="rId10" o:title="extracted_2_0002"/>
          </v:shape>
        </w:pict>
      </w:r>
    </w:p>
    <w:p w14:paraId="2B7F918C" w14:textId="77777777" w:rsidR="00EB0B63" w:rsidRDefault="001F47D2" w:rsidP="001F47D2">
      <w:pPr>
        <w:pStyle w:val="IEEEFigureCaptionSingle-Line"/>
      </w:pPr>
      <w:r>
        <w:t xml:space="preserve">Fig. </w:t>
      </w:r>
      <w:r w:rsidR="000D384E">
        <w:fldChar w:fldCharType="begin"/>
      </w:r>
      <w:r w:rsidR="000D384E">
        <w:instrText xml:space="preserve"> SEQ Fig. \* ARABIC  \* MERGEFORMAT </w:instrText>
      </w:r>
      <w:r w:rsidR="000D384E">
        <w:fldChar w:fldCharType="separate"/>
      </w:r>
      <w:r w:rsidR="00042F9F">
        <w:rPr>
          <w:noProof/>
        </w:rPr>
        <w:t>3</w:t>
      </w:r>
      <w:r w:rsidR="000D384E">
        <w:rPr>
          <w:noProof/>
        </w:rPr>
        <w:fldChar w:fldCharType="end"/>
      </w:r>
      <w:r>
        <w:t xml:space="preserve">  </w:t>
      </w:r>
      <w:r w:rsidR="00510E95">
        <w:t>Example of an image with acceptable r</w:t>
      </w:r>
      <w:r w:rsidR="00EB0B63">
        <w:t>esolution</w:t>
      </w:r>
    </w:p>
    <w:p w14:paraId="57FF7901" w14:textId="77777777" w:rsidR="007B5A07" w:rsidRDefault="007B5A07" w:rsidP="007B5A07">
      <w:pPr>
        <w:pStyle w:val="IEEEParagraph"/>
      </w:pPr>
    </w:p>
    <w:p w14:paraId="7ED210B3" w14:textId="77777777" w:rsidR="007B5A07" w:rsidRDefault="007B5A07" w:rsidP="007B5A07">
      <w:pPr>
        <w:pStyle w:val="IEEEHeading2"/>
        <w:numPr>
          <w:ilvl w:val="0"/>
          <w:numId w:val="14"/>
        </w:numPr>
      </w:pPr>
      <w:r>
        <w:t>Table Captions</w:t>
      </w:r>
    </w:p>
    <w:p w14:paraId="5BD78E19"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777344A6" w14:textId="77777777" w:rsidR="00D377C8" w:rsidRDefault="00D377C8" w:rsidP="007B5A07">
      <w:pPr>
        <w:pStyle w:val="IEEEHeading2"/>
      </w:pPr>
      <w:r>
        <w:t>Page Numbers, Headers and Footers</w:t>
      </w:r>
    </w:p>
    <w:p w14:paraId="1C1D7FE7" w14:textId="77777777" w:rsidR="00151B8E" w:rsidRDefault="00D377C8" w:rsidP="00151B8E">
      <w:pPr>
        <w:pStyle w:val="IEEEParagraph"/>
      </w:pPr>
      <w:r>
        <w:t>Page numbers, headers and footers must not be used.</w:t>
      </w:r>
    </w:p>
    <w:p w14:paraId="32C09477" w14:textId="77777777" w:rsidR="005B47D7" w:rsidRDefault="005B47D7" w:rsidP="00D377C8">
      <w:pPr>
        <w:pStyle w:val="IEEEHeading2"/>
      </w:pPr>
      <w:r>
        <w:t>Links and Bookmarks</w:t>
      </w:r>
    </w:p>
    <w:p w14:paraId="210C6104"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72F28A60" w14:textId="77777777" w:rsidR="002C559D" w:rsidRDefault="007B5A07" w:rsidP="002C559D">
      <w:pPr>
        <w:pStyle w:val="IEEEHeading2"/>
      </w:pPr>
      <w:r>
        <w:br w:type="column"/>
      </w:r>
      <w:r w:rsidR="002C559D" w:rsidRPr="002C559D">
        <w:t>References</w:t>
      </w:r>
    </w:p>
    <w:p w14:paraId="5DB3805B"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4A500A16"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7B9FBE76"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3A5AB838" w14:textId="77777777" w:rsidR="005B47D7" w:rsidRDefault="005B47D7" w:rsidP="005B47D7">
      <w:pPr>
        <w:pStyle w:val="IEEEParagraph"/>
        <w:numPr>
          <w:ilvl w:val="0"/>
          <w:numId w:val="45"/>
        </w:numPr>
      </w:pPr>
      <w:r>
        <w:rPr>
          <w:lang w:val="en-GB"/>
        </w:rPr>
        <w:t>example of a book in [1]</w:t>
      </w:r>
    </w:p>
    <w:p w14:paraId="4559FFDB" w14:textId="77777777" w:rsidR="005B47D7" w:rsidRDefault="005B47D7" w:rsidP="005B47D7">
      <w:pPr>
        <w:pStyle w:val="IEEEParagraph"/>
        <w:numPr>
          <w:ilvl w:val="0"/>
          <w:numId w:val="45"/>
        </w:numPr>
      </w:pPr>
      <w:r w:rsidRPr="005B47D7">
        <w:t>example of a book in a series</w:t>
      </w:r>
      <w:r>
        <w:t xml:space="preserve"> in [2]</w:t>
      </w:r>
    </w:p>
    <w:p w14:paraId="28B94149" w14:textId="77777777" w:rsidR="005B47D7" w:rsidRDefault="005B47D7" w:rsidP="005B47D7">
      <w:pPr>
        <w:pStyle w:val="IEEEParagraph"/>
        <w:numPr>
          <w:ilvl w:val="0"/>
          <w:numId w:val="45"/>
        </w:numPr>
      </w:pPr>
      <w:r>
        <w:t>example of a journal article in [3]</w:t>
      </w:r>
    </w:p>
    <w:p w14:paraId="660A675B" w14:textId="77777777" w:rsidR="005B47D7" w:rsidRDefault="005B47D7" w:rsidP="005B47D7">
      <w:pPr>
        <w:pStyle w:val="IEEEParagraph"/>
        <w:numPr>
          <w:ilvl w:val="0"/>
          <w:numId w:val="45"/>
        </w:numPr>
      </w:pPr>
      <w:r>
        <w:t>example of a conference paper in [4]</w:t>
      </w:r>
    </w:p>
    <w:p w14:paraId="382C0618" w14:textId="77777777" w:rsidR="006D1C2A" w:rsidRDefault="006D1C2A" w:rsidP="006D1C2A">
      <w:pPr>
        <w:pStyle w:val="IEEEParagraph"/>
        <w:numPr>
          <w:ilvl w:val="0"/>
          <w:numId w:val="45"/>
        </w:numPr>
      </w:pPr>
      <w:r>
        <w:t>example of a patent in [5]</w:t>
      </w:r>
    </w:p>
    <w:p w14:paraId="0BF2A01D" w14:textId="77777777" w:rsidR="006D1C2A" w:rsidRDefault="006D1C2A" w:rsidP="006D1C2A">
      <w:pPr>
        <w:pStyle w:val="IEEEParagraph"/>
        <w:numPr>
          <w:ilvl w:val="0"/>
          <w:numId w:val="45"/>
        </w:numPr>
      </w:pPr>
      <w:r>
        <w:t>example of a website in [6]</w:t>
      </w:r>
    </w:p>
    <w:p w14:paraId="75F52065" w14:textId="77777777" w:rsidR="006D1C2A" w:rsidRDefault="006D1C2A" w:rsidP="006D1C2A">
      <w:pPr>
        <w:pStyle w:val="IEEEParagraph"/>
        <w:numPr>
          <w:ilvl w:val="0"/>
          <w:numId w:val="45"/>
        </w:numPr>
      </w:pPr>
      <w:r>
        <w:t>example of a web page in [7]</w:t>
      </w:r>
    </w:p>
    <w:p w14:paraId="57E8B4CE" w14:textId="77777777" w:rsidR="006D1C2A" w:rsidRDefault="006D1C2A" w:rsidP="006D1C2A">
      <w:pPr>
        <w:pStyle w:val="IEEEParagraph"/>
        <w:numPr>
          <w:ilvl w:val="0"/>
          <w:numId w:val="45"/>
        </w:numPr>
      </w:pPr>
      <w:r>
        <w:t>example of a databook as a manual in [8]</w:t>
      </w:r>
    </w:p>
    <w:p w14:paraId="156D3541" w14:textId="77777777" w:rsidR="006D1C2A" w:rsidRDefault="006D1C2A" w:rsidP="006D1C2A">
      <w:pPr>
        <w:pStyle w:val="IEEEParagraph"/>
        <w:numPr>
          <w:ilvl w:val="0"/>
          <w:numId w:val="45"/>
        </w:numPr>
      </w:pPr>
      <w:r>
        <w:t>example of a datasheet in [9]</w:t>
      </w:r>
    </w:p>
    <w:p w14:paraId="19A0C01A" w14:textId="77777777" w:rsidR="006D1C2A" w:rsidRDefault="006D1C2A" w:rsidP="006D1C2A">
      <w:pPr>
        <w:pStyle w:val="IEEEParagraph"/>
        <w:numPr>
          <w:ilvl w:val="0"/>
          <w:numId w:val="45"/>
        </w:numPr>
      </w:pPr>
      <w:r>
        <w:t>example of a master’s thesis in [10]</w:t>
      </w:r>
    </w:p>
    <w:p w14:paraId="46F675D8" w14:textId="77777777" w:rsidR="006D1C2A" w:rsidRDefault="006D1C2A" w:rsidP="006D1C2A">
      <w:pPr>
        <w:pStyle w:val="IEEEParagraph"/>
        <w:numPr>
          <w:ilvl w:val="0"/>
          <w:numId w:val="45"/>
        </w:numPr>
      </w:pPr>
      <w:r>
        <w:t>example of a technical report in [11]</w:t>
      </w:r>
    </w:p>
    <w:p w14:paraId="7813B57C" w14:textId="77777777" w:rsidR="005B47D7" w:rsidRPr="006D1C2A" w:rsidRDefault="006D1C2A" w:rsidP="006D1C2A">
      <w:pPr>
        <w:pStyle w:val="IEEEParagraph"/>
        <w:numPr>
          <w:ilvl w:val="0"/>
          <w:numId w:val="45"/>
        </w:numPr>
      </w:pPr>
      <w:r>
        <w:t>example of a standard in [12]</w:t>
      </w:r>
    </w:p>
    <w:p w14:paraId="272643F8" w14:textId="77777777" w:rsidR="0062033E" w:rsidRDefault="0062033E" w:rsidP="0062033E">
      <w:pPr>
        <w:pStyle w:val="IEEEHeading1"/>
        <w:rPr>
          <w:lang w:val="en-US"/>
        </w:rPr>
      </w:pPr>
      <w:r>
        <w:rPr>
          <w:lang w:val="en-US"/>
        </w:rPr>
        <w:t>Conclusions</w:t>
      </w:r>
    </w:p>
    <w:p w14:paraId="020A468E" w14:textId="77777777"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5F4177AC" w14:textId="77777777"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14:paraId="6D98E344" w14:textId="77777777" w:rsidR="003950A4" w:rsidRDefault="00CA4CE3" w:rsidP="000C013C">
      <w:pPr>
        <w:pStyle w:val="IEEEHeading1"/>
        <w:numPr>
          <w:ilvl w:val="0"/>
          <w:numId w:val="0"/>
        </w:numPr>
        <w:rPr>
          <w:lang w:val="en-US"/>
        </w:rPr>
      </w:pPr>
      <w:r>
        <w:rPr>
          <w:lang w:val="en-US"/>
        </w:rPr>
        <w:t>Acknowledgment</w:t>
      </w:r>
    </w:p>
    <w:p w14:paraId="1D539A1F" w14:textId="77777777"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2B4C58D3" w14:textId="77777777"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14:paraId="2AF86E05" w14:textId="77777777" w:rsidR="001928FB" w:rsidRDefault="001928FB" w:rsidP="00F06A72">
      <w:pPr>
        <w:pStyle w:val="IEEEHeading1"/>
        <w:numPr>
          <w:ilvl w:val="0"/>
          <w:numId w:val="0"/>
        </w:numPr>
      </w:pPr>
      <w:r>
        <w:t>References</w:t>
      </w:r>
    </w:p>
    <w:p w14:paraId="17A187B7" w14:textId="77777777" w:rsidR="00613C7B" w:rsidRPr="00A30387" w:rsidRDefault="00A30387" w:rsidP="00C74C27">
      <w:pPr>
        <w:pStyle w:val="IEEEReferenceItem"/>
        <w:rPr>
          <w:sz w:val="24"/>
          <w:lang w:eastAsia="en-US"/>
        </w:rPr>
      </w:pPr>
      <w:r>
        <w:t>Geeky Ants, “An Introduction to Firebase,” </w:t>
      </w:r>
      <w:r>
        <w:rPr>
          <w:i/>
          <w:iCs/>
        </w:rPr>
        <w:t>Hackernoon</w:t>
      </w:r>
      <w:r>
        <w:t>, Dec. 2017.</w:t>
      </w:r>
    </w:p>
    <w:p w14:paraId="2AE03F6A" w14:textId="77777777" w:rsidR="00C74C27" w:rsidRDefault="00C74C27" w:rsidP="00C74C27">
      <w:pPr>
        <w:pStyle w:val="IEEEReferenceItem"/>
        <w:rPr>
          <w:sz w:val="24"/>
          <w:lang w:eastAsia="en-US"/>
        </w:rPr>
      </w:pPr>
      <w:r>
        <w:rPr>
          <w:shd w:val="clear" w:color="auto" w:fill="FFFFFF"/>
        </w:rPr>
        <w:t>L. Moroney, “An Introduction to Firebase,” </w:t>
      </w:r>
      <w:r>
        <w:rPr>
          <w:i/>
          <w:iCs/>
        </w:rPr>
        <w:t>The Definitive Guide to Firebase</w:t>
      </w:r>
      <w:r>
        <w:rPr>
          <w:shd w:val="clear" w:color="auto" w:fill="FFFFFF"/>
        </w:rPr>
        <w:t>, pp. 1–24, 2017.</w:t>
      </w:r>
    </w:p>
    <w:p w14:paraId="77ED875E" w14:textId="77777777" w:rsidR="00877D4C" w:rsidRDefault="00877D4C" w:rsidP="00877D4C">
      <w:pPr>
        <w:pStyle w:val="IEEEReferenceItem"/>
      </w:pPr>
    </w:p>
    <w:p w14:paraId="6E6F1463"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366E01E4"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B855861"/>
    <w:multiLevelType w:val="multilevel"/>
    <w:tmpl w:val="87F8B6DC"/>
    <w:lvl w:ilvl="0">
      <w:start w:val="1"/>
      <w:numFmt w:val="decimal"/>
      <w:pStyle w:val="IEEEReferenceItem"/>
      <w:lvlText w:val="[%1]"/>
      <w:lvlJc w:val="left"/>
      <w:pPr>
        <w:tabs>
          <w:tab w:val="num" w:pos="432"/>
        </w:tabs>
        <w:ind w:left="432" w:hanging="432"/>
      </w:pPr>
      <w:rPr>
        <w:rFonts w:hint="default"/>
        <w:sz w:val="16"/>
        <w:szCs w:val="16"/>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328273D7"/>
    <w:multiLevelType w:val="multilevel"/>
    <w:tmpl w:val="9C8E938C"/>
    <w:numStyleLink w:val="IEEEBullet1"/>
  </w:abstractNum>
  <w:abstractNum w:abstractNumId="21">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7A200C6"/>
    <w:multiLevelType w:val="multilevel"/>
    <w:tmpl w:val="9C8E938C"/>
    <w:numStyleLink w:val="IEEEBullet1"/>
  </w:abstractNum>
  <w:abstractNum w:abstractNumId="23">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nsid w:val="6BFC6865"/>
    <w:multiLevelType w:val="multilevel"/>
    <w:tmpl w:val="9C8E938C"/>
    <w:numStyleLink w:val="IEEEBullet1"/>
  </w:abstractNum>
  <w:abstractNum w:abstractNumId="43">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FBB"/>
    <w:rsid w:val="000002E1"/>
    <w:rsid w:val="00017719"/>
    <w:rsid w:val="00023FCD"/>
    <w:rsid w:val="00027F1D"/>
    <w:rsid w:val="0003296C"/>
    <w:rsid w:val="00037D4C"/>
    <w:rsid w:val="00042F9F"/>
    <w:rsid w:val="00054421"/>
    <w:rsid w:val="00062E46"/>
    <w:rsid w:val="00074AC8"/>
    <w:rsid w:val="00081408"/>
    <w:rsid w:val="00081EBE"/>
    <w:rsid w:val="00086EDC"/>
    <w:rsid w:val="0009597A"/>
    <w:rsid w:val="000B36A3"/>
    <w:rsid w:val="000C013C"/>
    <w:rsid w:val="000D384E"/>
    <w:rsid w:val="000E3F84"/>
    <w:rsid w:val="001056DF"/>
    <w:rsid w:val="00114025"/>
    <w:rsid w:val="001160D2"/>
    <w:rsid w:val="00134727"/>
    <w:rsid w:val="001348A5"/>
    <w:rsid w:val="00151B8E"/>
    <w:rsid w:val="00182170"/>
    <w:rsid w:val="00182718"/>
    <w:rsid w:val="001928FB"/>
    <w:rsid w:val="00192BC7"/>
    <w:rsid w:val="001A50EA"/>
    <w:rsid w:val="001F16CD"/>
    <w:rsid w:val="001F47D2"/>
    <w:rsid w:val="001F7305"/>
    <w:rsid w:val="00207C68"/>
    <w:rsid w:val="0022285A"/>
    <w:rsid w:val="00224C61"/>
    <w:rsid w:val="0023236B"/>
    <w:rsid w:val="002441E2"/>
    <w:rsid w:val="0027227B"/>
    <w:rsid w:val="00273AC7"/>
    <w:rsid w:val="00273D2C"/>
    <w:rsid w:val="00285ECD"/>
    <w:rsid w:val="00290E1B"/>
    <w:rsid w:val="00291B17"/>
    <w:rsid w:val="002A6742"/>
    <w:rsid w:val="002C1A7F"/>
    <w:rsid w:val="002C4239"/>
    <w:rsid w:val="002C559D"/>
    <w:rsid w:val="002D2D42"/>
    <w:rsid w:val="002F72D0"/>
    <w:rsid w:val="003003AB"/>
    <w:rsid w:val="00303F05"/>
    <w:rsid w:val="00311C49"/>
    <w:rsid w:val="0032119E"/>
    <w:rsid w:val="00321304"/>
    <w:rsid w:val="00330D22"/>
    <w:rsid w:val="00331F84"/>
    <w:rsid w:val="003950A4"/>
    <w:rsid w:val="003E3577"/>
    <w:rsid w:val="003F3A61"/>
    <w:rsid w:val="00401C94"/>
    <w:rsid w:val="00410A5D"/>
    <w:rsid w:val="00414909"/>
    <w:rsid w:val="00425A6A"/>
    <w:rsid w:val="00426FBB"/>
    <w:rsid w:val="004408F1"/>
    <w:rsid w:val="00461936"/>
    <w:rsid w:val="00463325"/>
    <w:rsid w:val="0047429A"/>
    <w:rsid w:val="0048374C"/>
    <w:rsid w:val="0048771D"/>
    <w:rsid w:val="004A5D9F"/>
    <w:rsid w:val="004A6605"/>
    <w:rsid w:val="004C45FA"/>
    <w:rsid w:val="004D44AC"/>
    <w:rsid w:val="004E1BD8"/>
    <w:rsid w:val="004E452A"/>
    <w:rsid w:val="004E78E3"/>
    <w:rsid w:val="004F59B4"/>
    <w:rsid w:val="005004BF"/>
    <w:rsid w:val="00502E89"/>
    <w:rsid w:val="00510E95"/>
    <w:rsid w:val="00527D56"/>
    <w:rsid w:val="0053221F"/>
    <w:rsid w:val="00536FAE"/>
    <w:rsid w:val="00542C85"/>
    <w:rsid w:val="005502D9"/>
    <w:rsid w:val="00553510"/>
    <w:rsid w:val="00554186"/>
    <w:rsid w:val="00585769"/>
    <w:rsid w:val="00591130"/>
    <w:rsid w:val="005A3F28"/>
    <w:rsid w:val="005A40BE"/>
    <w:rsid w:val="005B13E2"/>
    <w:rsid w:val="005B47D7"/>
    <w:rsid w:val="005C5526"/>
    <w:rsid w:val="005C62C6"/>
    <w:rsid w:val="005D636D"/>
    <w:rsid w:val="005D7B9E"/>
    <w:rsid w:val="005E5D98"/>
    <w:rsid w:val="005F0834"/>
    <w:rsid w:val="005F3CC7"/>
    <w:rsid w:val="005F6DC3"/>
    <w:rsid w:val="00601A8E"/>
    <w:rsid w:val="00613C7B"/>
    <w:rsid w:val="0062033E"/>
    <w:rsid w:val="00624482"/>
    <w:rsid w:val="00645441"/>
    <w:rsid w:val="0064799C"/>
    <w:rsid w:val="00654156"/>
    <w:rsid w:val="00661DF4"/>
    <w:rsid w:val="00662E7A"/>
    <w:rsid w:val="00677B7B"/>
    <w:rsid w:val="00691825"/>
    <w:rsid w:val="006B47CA"/>
    <w:rsid w:val="006C7AAA"/>
    <w:rsid w:val="006D1C2A"/>
    <w:rsid w:val="006D264F"/>
    <w:rsid w:val="006D5B3D"/>
    <w:rsid w:val="006E1E53"/>
    <w:rsid w:val="006E2A8D"/>
    <w:rsid w:val="006E7574"/>
    <w:rsid w:val="006F0F39"/>
    <w:rsid w:val="00703430"/>
    <w:rsid w:val="007069BE"/>
    <w:rsid w:val="00720076"/>
    <w:rsid w:val="00745C86"/>
    <w:rsid w:val="00747769"/>
    <w:rsid w:val="00760A0C"/>
    <w:rsid w:val="00764603"/>
    <w:rsid w:val="0076604D"/>
    <w:rsid w:val="0078558B"/>
    <w:rsid w:val="00790909"/>
    <w:rsid w:val="007B0B9B"/>
    <w:rsid w:val="007B5A07"/>
    <w:rsid w:val="007C3B3A"/>
    <w:rsid w:val="007D3E71"/>
    <w:rsid w:val="007E3EC5"/>
    <w:rsid w:val="007E5D6A"/>
    <w:rsid w:val="007E645D"/>
    <w:rsid w:val="007F1429"/>
    <w:rsid w:val="007F75CA"/>
    <w:rsid w:val="00821E08"/>
    <w:rsid w:val="008242FB"/>
    <w:rsid w:val="0082615A"/>
    <w:rsid w:val="008326D4"/>
    <w:rsid w:val="00834EFD"/>
    <w:rsid w:val="00844B24"/>
    <w:rsid w:val="0084515F"/>
    <w:rsid w:val="0085092D"/>
    <w:rsid w:val="00871781"/>
    <w:rsid w:val="00874E46"/>
    <w:rsid w:val="00877D4C"/>
    <w:rsid w:val="00883903"/>
    <w:rsid w:val="0089763B"/>
    <w:rsid w:val="008B6AE3"/>
    <w:rsid w:val="008D1045"/>
    <w:rsid w:val="008E0A93"/>
    <w:rsid w:val="008E5996"/>
    <w:rsid w:val="008F0AA4"/>
    <w:rsid w:val="00901AE1"/>
    <w:rsid w:val="009205B4"/>
    <w:rsid w:val="0093311F"/>
    <w:rsid w:val="00940965"/>
    <w:rsid w:val="00955B59"/>
    <w:rsid w:val="009726BB"/>
    <w:rsid w:val="00992262"/>
    <w:rsid w:val="009926BC"/>
    <w:rsid w:val="009A4319"/>
    <w:rsid w:val="009A6C3F"/>
    <w:rsid w:val="009B5EED"/>
    <w:rsid w:val="009B73F2"/>
    <w:rsid w:val="009C12BD"/>
    <w:rsid w:val="009C50FE"/>
    <w:rsid w:val="009E490B"/>
    <w:rsid w:val="009F046F"/>
    <w:rsid w:val="00A03E75"/>
    <w:rsid w:val="00A30387"/>
    <w:rsid w:val="00A32BFA"/>
    <w:rsid w:val="00A45FCE"/>
    <w:rsid w:val="00A75671"/>
    <w:rsid w:val="00A773CC"/>
    <w:rsid w:val="00A805F6"/>
    <w:rsid w:val="00A9318B"/>
    <w:rsid w:val="00A94AC1"/>
    <w:rsid w:val="00A97B19"/>
    <w:rsid w:val="00AB18B7"/>
    <w:rsid w:val="00AD335D"/>
    <w:rsid w:val="00AE0723"/>
    <w:rsid w:val="00AF54F4"/>
    <w:rsid w:val="00AF792B"/>
    <w:rsid w:val="00B10399"/>
    <w:rsid w:val="00B55D5E"/>
    <w:rsid w:val="00B73519"/>
    <w:rsid w:val="00B94516"/>
    <w:rsid w:val="00BA10AF"/>
    <w:rsid w:val="00BB2855"/>
    <w:rsid w:val="00BD19C1"/>
    <w:rsid w:val="00BD25B8"/>
    <w:rsid w:val="00BE512B"/>
    <w:rsid w:val="00BF796C"/>
    <w:rsid w:val="00C012E1"/>
    <w:rsid w:val="00C0334C"/>
    <w:rsid w:val="00C06BB4"/>
    <w:rsid w:val="00C10D20"/>
    <w:rsid w:val="00C12E0C"/>
    <w:rsid w:val="00C21916"/>
    <w:rsid w:val="00C31B13"/>
    <w:rsid w:val="00C457CA"/>
    <w:rsid w:val="00C57FB7"/>
    <w:rsid w:val="00C65F3F"/>
    <w:rsid w:val="00C72414"/>
    <w:rsid w:val="00C74C27"/>
    <w:rsid w:val="00C756EB"/>
    <w:rsid w:val="00C8667B"/>
    <w:rsid w:val="00CA4CE3"/>
    <w:rsid w:val="00CD4F3F"/>
    <w:rsid w:val="00CF49FB"/>
    <w:rsid w:val="00D311F8"/>
    <w:rsid w:val="00D36B52"/>
    <w:rsid w:val="00D377C8"/>
    <w:rsid w:val="00D41274"/>
    <w:rsid w:val="00D414FE"/>
    <w:rsid w:val="00D43BF3"/>
    <w:rsid w:val="00D767BB"/>
    <w:rsid w:val="00D939B0"/>
    <w:rsid w:val="00DB0D8D"/>
    <w:rsid w:val="00DB11AD"/>
    <w:rsid w:val="00DB16E0"/>
    <w:rsid w:val="00DB2DF9"/>
    <w:rsid w:val="00DB7E63"/>
    <w:rsid w:val="00DB7ED0"/>
    <w:rsid w:val="00DC2055"/>
    <w:rsid w:val="00DD27E8"/>
    <w:rsid w:val="00DD71E8"/>
    <w:rsid w:val="00DD7F83"/>
    <w:rsid w:val="00DE343D"/>
    <w:rsid w:val="00E0641E"/>
    <w:rsid w:val="00E06664"/>
    <w:rsid w:val="00E304BC"/>
    <w:rsid w:val="00E32853"/>
    <w:rsid w:val="00E401F8"/>
    <w:rsid w:val="00E46425"/>
    <w:rsid w:val="00E47D0E"/>
    <w:rsid w:val="00E65018"/>
    <w:rsid w:val="00E90598"/>
    <w:rsid w:val="00E94339"/>
    <w:rsid w:val="00E960B6"/>
    <w:rsid w:val="00E97563"/>
    <w:rsid w:val="00EB0B63"/>
    <w:rsid w:val="00EC265C"/>
    <w:rsid w:val="00ED11F5"/>
    <w:rsid w:val="00ED61CB"/>
    <w:rsid w:val="00F06A72"/>
    <w:rsid w:val="00F136F0"/>
    <w:rsid w:val="00F20BBB"/>
    <w:rsid w:val="00F43BD8"/>
    <w:rsid w:val="00F54D13"/>
    <w:rsid w:val="00F562F3"/>
    <w:rsid w:val="00F74B89"/>
    <w:rsid w:val="00F75133"/>
    <w:rsid w:val="00FA3899"/>
    <w:rsid w:val="00FA4909"/>
    <w:rsid w:val="00FA6751"/>
    <w:rsid w:val="00FB1048"/>
    <w:rsid w:val="00FB62C4"/>
    <w:rsid w:val="00FB7701"/>
    <w:rsid w:val="00FD1AC5"/>
    <w:rsid w:val="00FD5CF0"/>
    <w:rsid w:val="00FE7239"/>
    <w:rsid w:val="00FF5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C81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979">
      <w:bodyDiv w:val="1"/>
      <w:marLeft w:val="0"/>
      <w:marRight w:val="0"/>
      <w:marTop w:val="0"/>
      <w:marBottom w:val="0"/>
      <w:divBdr>
        <w:top w:val="none" w:sz="0" w:space="0" w:color="auto"/>
        <w:left w:val="none" w:sz="0" w:space="0" w:color="auto"/>
        <w:bottom w:val="none" w:sz="0" w:space="0" w:color="auto"/>
        <w:right w:val="none" w:sz="0" w:space="0" w:color="auto"/>
      </w:divBdr>
    </w:div>
    <w:div w:id="508952831">
      <w:bodyDiv w:val="1"/>
      <w:marLeft w:val="0"/>
      <w:marRight w:val="0"/>
      <w:marTop w:val="0"/>
      <w:marBottom w:val="0"/>
      <w:divBdr>
        <w:top w:val="none" w:sz="0" w:space="0" w:color="auto"/>
        <w:left w:val="none" w:sz="0" w:space="0" w:color="auto"/>
        <w:bottom w:val="none" w:sz="0" w:space="0" w:color="auto"/>
        <w:right w:val="none" w:sz="0" w:space="0" w:color="auto"/>
      </w:divBdr>
    </w:div>
    <w:div w:id="573707061">
      <w:bodyDiv w:val="1"/>
      <w:marLeft w:val="0"/>
      <w:marRight w:val="0"/>
      <w:marTop w:val="0"/>
      <w:marBottom w:val="0"/>
      <w:divBdr>
        <w:top w:val="none" w:sz="0" w:space="0" w:color="auto"/>
        <w:left w:val="none" w:sz="0" w:space="0" w:color="auto"/>
        <w:bottom w:val="none" w:sz="0" w:space="0" w:color="auto"/>
        <w:right w:val="none" w:sz="0" w:space="0" w:color="auto"/>
      </w:divBdr>
    </w:div>
    <w:div w:id="575284643">
      <w:bodyDiv w:val="1"/>
      <w:marLeft w:val="0"/>
      <w:marRight w:val="0"/>
      <w:marTop w:val="0"/>
      <w:marBottom w:val="0"/>
      <w:divBdr>
        <w:top w:val="none" w:sz="0" w:space="0" w:color="auto"/>
        <w:left w:val="none" w:sz="0" w:space="0" w:color="auto"/>
        <w:bottom w:val="none" w:sz="0" w:space="0" w:color="auto"/>
        <w:right w:val="none" w:sz="0" w:space="0" w:color="auto"/>
      </w:divBdr>
      <w:divsChild>
        <w:div w:id="316959128">
          <w:marLeft w:val="-225"/>
          <w:marRight w:val="-225"/>
          <w:marTop w:val="0"/>
          <w:marBottom w:val="0"/>
          <w:divBdr>
            <w:top w:val="none" w:sz="0" w:space="0" w:color="auto"/>
            <w:left w:val="none" w:sz="0" w:space="0" w:color="auto"/>
            <w:bottom w:val="none" w:sz="0" w:space="0" w:color="auto"/>
            <w:right w:val="none" w:sz="0" w:space="0" w:color="auto"/>
          </w:divBdr>
          <w:divsChild>
            <w:div w:id="933442100">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769354192">
      <w:bodyDiv w:val="1"/>
      <w:marLeft w:val="0"/>
      <w:marRight w:val="0"/>
      <w:marTop w:val="0"/>
      <w:marBottom w:val="0"/>
      <w:divBdr>
        <w:top w:val="none" w:sz="0" w:space="0" w:color="auto"/>
        <w:left w:val="none" w:sz="0" w:space="0" w:color="auto"/>
        <w:bottom w:val="none" w:sz="0" w:space="0" w:color="auto"/>
        <w:right w:val="none" w:sz="0" w:space="0" w:color="auto"/>
      </w:divBdr>
    </w:div>
    <w:div w:id="829246605">
      <w:bodyDiv w:val="1"/>
      <w:marLeft w:val="0"/>
      <w:marRight w:val="0"/>
      <w:marTop w:val="0"/>
      <w:marBottom w:val="0"/>
      <w:divBdr>
        <w:top w:val="none" w:sz="0" w:space="0" w:color="auto"/>
        <w:left w:val="none" w:sz="0" w:space="0" w:color="auto"/>
        <w:bottom w:val="none" w:sz="0" w:space="0" w:color="auto"/>
        <w:right w:val="none" w:sz="0" w:space="0" w:color="auto"/>
      </w:divBdr>
    </w:div>
    <w:div w:id="838423561">
      <w:bodyDiv w:val="1"/>
      <w:marLeft w:val="0"/>
      <w:marRight w:val="0"/>
      <w:marTop w:val="0"/>
      <w:marBottom w:val="0"/>
      <w:divBdr>
        <w:top w:val="none" w:sz="0" w:space="0" w:color="auto"/>
        <w:left w:val="none" w:sz="0" w:space="0" w:color="auto"/>
        <w:bottom w:val="none" w:sz="0" w:space="0" w:color="auto"/>
        <w:right w:val="none" w:sz="0" w:space="0" w:color="auto"/>
      </w:divBdr>
    </w:div>
    <w:div w:id="950816253">
      <w:bodyDiv w:val="1"/>
      <w:marLeft w:val="0"/>
      <w:marRight w:val="0"/>
      <w:marTop w:val="0"/>
      <w:marBottom w:val="0"/>
      <w:divBdr>
        <w:top w:val="none" w:sz="0" w:space="0" w:color="auto"/>
        <w:left w:val="none" w:sz="0" w:space="0" w:color="auto"/>
        <w:bottom w:val="none" w:sz="0" w:space="0" w:color="auto"/>
        <w:right w:val="none" w:sz="0" w:space="0" w:color="auto"/>
      </w:divBdr>
    </w:div>
    <w:div w:id="1295409789">
      <w:bodyDiv w:val="1"/>
      <w:marLeft w:val="0"/>
      <w:marRight w:val="0"/>
      <w:marTop w:val="0"/>
      <w:marBottom w:val="0"/>
      <w:divBdr>
        <w:top w:val="none" w:sz="0" w:space="0" w:color="auto"/>
        <w:left w:val="none" w:sz="0" w:space="0" w:color="auto"/>
        <w:bottom w:val="none" w:sz="0" w:space="0" w:color="auto"/>
        <w:right w:val="none" w:sz="0" w:space="0" w:color="auto"/>
      </w:divBdr>
      <w:divsChild>
        <w:div w:id="900487073">
          <w:marLeft w:val="-225"/>
          <w:marRight w:val="-225"/>
          <w:marTop w:val="0"/>
          <w:marBottom w:val="0"/>
          <w:divBdr>
            <w:top w:val="none" w:sz="0" w:space="0" w:color="auto"/>
            <w:left w:val="none" w:sz="0" w:space="0" w:color="auto"/>
            <w:bottom w:val="none" w:sz="0" w:space="0" w:color="auto"/>
            <w:right w:val="none" w:sz="0" w:space="0" w:color="auto"/>
          </w:divBdr>
          <w:divsChild>
            <w:div w:id="181070791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398286568">
      <w:bodyDiv w:val="1"/>
      <w:marLeft w:val="0"/>
      <w:marRight w:val="0"/>
      <w:marTop w:val="0"/>
      <w:marBottom w:val="0"/>
      <w:divBdr>
        <w:top w:val="none" w:sz="0" w:space="0" w:color="auto"/>
        <w:left w:val="none" w:sz="0" w:space="0" w:color="auto"/>
        <w:bottom w:val="none" w:sz="0" w:space="0" w:color="auto"/>
        <w:right w:val="none" w:sz="0" w:space="0" w:color="auto"/>
      </w:divBdr>
      <w:divsChild>
        <w:div w:id="545718898">
          <w:marLeft w:val="-225"/>
          <w:marRight w:val="-225"/>
          <w:marTop w:val="0"/>
          <w:marBottom w:val="0"/>
          <w:divBdr>
            <w:top w:val="none" w:sz="0" w:space="0" w:color="auto"/>
            <w:left w:val="none" w:sz="0" w:space="0" w:color="auto"/>
            <w:bottom w:val="none" w:sz="0" w:space="0" w:color="auto"/>
            <w:right w:val="none" w:sz="0" w:space="0" w:color="auto"/>
          </w:divBdr>
          <w:divsChild>
            <w:div w:id="1169904406">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2015766745">
      <w:bodyDiv w:val="1"/>
      <w:marLeft w:val="0"/>
      <w:marRight w:val="0"/>
      <w:marTop w:val="0"/>
      <w:marBottom w:val="0"/>
      <w:divBdr>
        <w:top w:val="none" w:sz="0" w:space="0" w:color="auto"/>
        <w:left w:val="none" w:sz="0" w:space="0" w:color="auto"/>
        <w:bottom w:val="none" w:sz="0" w:space="0" w:color="auto"/>
        <w:right w:val="none" w:sz="0" w:space="0" w:color="auto"/>
      </w:divBdr>
    </w:div>
    <w:div w:id="211231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emf"/><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2043</Words>
  <Characters>11646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Hagen, Garrett B</cp:lastModifiedBy>
  <cp:revision>4</cp:revision>
  <cp:lastPrinted>2008-12-31T05:29:00Z</cp:lastPrinted>
  <dcterms:created xsi:type="dcterms:W3CDTF">2012-07-13T07:50:00Z</dcterms:created>
  <dcterms:modified xsi:type="dcterms:W3CDTF">2019-07-28T03:07:00Z</dcterms:modified>
</cp:coreProperties>
</file>