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Replication of time estimate experiments</w:t>
      </w:r>
    </w:p>
    <w:p>
      <w:pPr>
        <w:pStyle w:val="Heading1"/>
      </w:pPr>
      <w:r>
        <w:t>1 Paper summary</w:t>
      </w:r>
    </w:p>
    <w:p>
      <w:r>
        <w:rPr>
          <w:i w:val="0"/>
        </w:rPr>
        <w:t>Hu, Gaertig, and Dietvorst (2025) examine how platforms should communicate uncertain completion times. Their question is whether customers evaluate a service more favorably when it provides a point estimate, such as 45 minutes, or a range, such as 35–55 minutes. The argument is that ranges can accommodate uncertain outcomes and reduce perceived expectation violations, but excessively wide ranges sacrifice useful information. This question is relevant to information systems because the presentation of an algorithm’s prediction may influence users’ evaluations even when underlying service performance is unchanged.</w:t>
      </w:r>
    </w:p>
    <w:p>
      <w:r>
        <w:rPr>
          <w:i w:val="0"/>
        </w:rPr>
        <w:t>The authors test three hypotheses. H1 predicts higher satisfaction with range estimates than point estimates after outcomes are revealed. H2 predicts that excessively wide ranges reduce satisfaction relative to reasonably wide ranges or point estimates. H3 predicts that ranges increase satisfaction by reducing perceived expectation violations. Later experiments also examine whether ranges outperform conservative point estimates and whether the findings extend to GPS estimates.</w:t>
      </w:r>
    </w:p>
    <w:p>
      <w:r>
        <w:rPr>
          <w:i w:val="0"/>
        </w:rPr>
        <w:t>The evidence comes from eight preregistered online experiments using participants recruited through Amazon Mechanical Turk or Prolific. Their final samples contain 698, 599, 479, 392, 468, 801, 998, and 888 participants, respectively, totaling 5,323 observations. The authors’ public materials include participant-level data, Stata code, codebooks, experimental materials, and preregistrations (Hu et al., 2025). This project uses the archived replication package rather than collecting new data.</w:t>
      </w:r>
    </w:p>
    <w:p>
      <w:r>
        <w:rPr>
          <w:i w:val="0"/>
        </w:rPr>
        <w:t>In Studies 1–3 and 5–8, participants observe estimates and outcomes for 20 food deliveries or GPS trips. The main dependent variable averages five seven-point items assessing liking, informativeness, usefulness, perceived accuracy, and trust. Study 5 also measures perceived unexpected lateness. Study 4 instead examines participants’ choice between point- and range-estimate models for an incentivized slider task. The unit of analysis is the participant; the 20 observed outcomes are not treated as 20 independent satisfaction observations.</w:t>
      </w:r>
    </w:p>
    <w:p>
      <w:r>
        <w:rPr>
          <w:i w:val="0"/>
        </w:rPr>
        <w:t>Random assignment of estimate conditions identifies differences in evaluations within each experiment. Studies 1–2 use ordinary least squares (OLS) regressions with condition indicators and alternate reference groups to estimate pairwise differences. Study 1 compares point, narrow-range, and moderate-range estimates. Study 2 introduces a much wider range, testing the proposed limit to the benefit. Study 3 varies estimates and outcomes across trials. Study 4 uses a linear probability model, logistic regression, and a binomial test of model choice.</w:t>
      </w:r>
    </w:p>
    <w:p>
      <w:r>
        <w:rPr>
          <w:i w:val="0"/>
        </w:rPr>
        <w:t>Study 5 estimates satisfaction and lateness regressions and bootstraps the indirect effect using 1,000 resamples. Because lateness perceptions are measured rather than randomized, the mediation analysis supports the proposed explanation without independently identifying a causal mediator effect. Study 6 compares ranges with accurate, optimistic, and conservative point estimates. Study 7 crosses format with estimate location and includes their interaction. Study 8 examines short and long GPS trips; pooled regressions control for trip duration. Together, these designs test both the range benefit and qualifications concerning width, conservatism, and setting.</w:t>
      </w:r>
    </w:p>
    <w:p>
      <w:r>
        <w:br w:type="page"/>
      </w:r>
    </w:p>
    <w:p>
      <w:pPr>
        <w:pStyle w:val="Heading1"/>
      </w:pPr>
      <w:r>
        <w:t>2 Replication of main results</w:t>
      </w:r>
    </w:p>
    <w:p>
      <w:r>
        <w:rPr>
          <w:i w:val="0"/>
        </w:rPr>
        <w:t>The replication translated the central analyses in the authors’ Stata scripts into Python using pandas, NumPy, SciPy, and statsmodels. The translation preserved condition coding, exclusion rules, outcome construction, and conventional OLS standard errors. Participant-level Excel files were read directly, so conversion to a different data format was unnecessary. The analysis reproduced the main satisfaction, model-choice, and mediation results across all eight studies, along with the descriptive statistics in published Tables 2, 4, and 5 and the statistical content of Figure 7. It did not reproduce every supplemental result.</w:t>
      </w:r>
    </w:p>
    <w:p>
      <w:r>
        <w:rPr>
          <w:i w:val="0"/>
        </w:rPr>
        <w:t>All eight final sample sizes matched the paper. The 31 targeted regression coefficient/standard-error pairs agreed at the paper’s reported two-decimal precision. All 19 checked means and standard deviations in Tables 2, 4, and 5 also matched. Appendix Tables A1–A4 provide numerical results and published-value comparisons; Figure A1 reproduces the Study 7 pattern.</w:t>
      </w:r>
    </w:p>
    <w:p>
      <w:r>
        <w:rPr>
          <w:i w:val="0"/>
        </w:rPr>
        <w:t>The central findings were preserved. In Study 1, moderate ranges increased satisfaction by 0.562 points relative to point estimates (SE = 0.105). In Study 2, moderate ranges increased satisfaction by 0.683 points (SE = 0.135), whereas excessively wide ranges reduced satisfaction by 0.303 points relative to point estimates (p = .026). Study 3’s range effect was 0.614 points. In Study 4, 70.7% chose the range model; the logistic odds ratio was 5.88, matching the published result.</w:t>
      </w:r>
    </w:p>
    <w:p>
      <w:r>
        <w:rPr>
          <w:i w:val="0"/>
        </w:rPr>
        <w:t>Study 5’s total range effect was 0.822 points, while its direct effect after controlling for perceived lateness was 0.132 (p = .286). The estimated indirect effect was 0.689, with a normal bootstrap 95% confidence interval of [0.511, 0.868]. These values round to the published 0.69 and [0.51, 0.87]. Studies 6–7 again favored ranges, including comparisons with conservative point estimates. In Study 8, the pooled range-versus-accurate-point effect was 0.388 points; the long-trip comparison alone was smaller and did not meet the 5% significance threshold (b = 0.245, p = .062).</w:t>
      </w:r>
    </w:p>
    <w:p>
      <w:pPr>
        <w:pageBreakBefore/>
      </w:pPr>
      <w:r>
        <w:rPr>
          <w:i w:val="0"/>
        </w:rPr>
        <w:t>Several details required attention. Condition numbers differed across studies. Stata’s row-mean command ignores missing items, which required equivalent scale construction in Python. Multi-condition contrasts retained every experimental group so that the pooled residual variance matched the original regression. Study 4 excluded missing choices before duplicate exclusions; Study 8 excluded duplicate IP addresses only because participant IDs were not captured. The main analyses retained end-of-survey attention-check failures, following the original code.</w:t>
      </w:r>
    </w:p>
    <w:p>
      <w:r>
        <w:rPr>
          <w:i w:val="0"/>
        </w:rPr>
        <w:t>The original mediation bootstrap did not specify a random seed. Python therefore used a documented seed and 1,000 resamples; agreement at printed precision does not imply identical bootstrap draws. More generally, this replication illustrates that software translation requires preserving statistical decisions, not merely replacing commands. Sample-size checks and published-value comparisons made the translation auditable. The replicated evidence supports the authors’ central conclusions within the experimental settings, while leaving field effects on purchases, retention, or repeated real-world use untested.</w:t>
      </w:r>
    </w:p>
    <w:p>
      <w:r>
        <w:br w:type="page"/>
      </w:r>
    </w:p>
    <w:p>
      <w:pPr>
        <w:pStyle w:val="Heading1"/>
      </w:pPr>
      <w:r>
        <w:t>3 Additional analyses</w:t>
      </w:r>
    </w:p>
    <w:p>
      <w:r>
        <w:rPr>
          <w:i w:val="0"/>
        </w:rPr>
        <w:t>The following student analyses extend the replication using the original data and exclusions. They are exploratory and are distinguished from the authors’ reported findings.</w:t>
      </w:r>
    </w:p>
    <w:p>
      <w:pPr>
        <w:pStyle w:val="Heading2"/>
      </w:pPr>
      <w:r>
        <w:t>Trust and perceived accuracy in Study 2</w:t>
      </w:r>
    </w:p>
    <w:p>
      <w:r>
        <w:rPr>
          <w:i w:val="0"/>
        </w:rPr>
        <w:t>The first analysis asks whether estimate formats influence trust and perceived accuracy in similar ways. Unlike the composite outcome, separate items can reveal differences between these evaluations. After the original duplicate exclusions, the sample contains 599 participants. Point, moderate-range, and wide-range conditions contain 196, 206, and 197 participants, respectively; neither item has missing responses. Table B1 reports group means and standard deviations, and Figure B1 shows individual 95% t confidence intervals.</w:t>
      </w:r>
    </w:p>
    <w:p>
      <w:r>
        <w:rPr>
          <w:i w:val="0"/>
        </w:rPr>
        <w:t>Separate classical one-way ANOVAs detected condition differences in trust, F(2, 596) = 12.296, p &lt; .001, and perceived accuracy, F(2, 596) = 18.633, p &lt; .001. Both remain significant after Holm correction across the two outcomes. Because the median-centered Levene test indicated unequal variances for accuracy (p &lt; .001), Welch ANOVAs were also estimated; both confirmed the omnibus conclusions (Table B2). Pairwise comparisons use Welch t tests with Holm correction over all six comparisons; Table B3 also reports Bonferroni simultaneous 95% intervals.</w:t>
      </w:r>
    </w:p>
    <w:p>
      <w:r>
        <w:rPr>
          <w:i w:val="0"/>
        </w:rPr>
        <w:t>Moderate ranges produced higher trust and accuracy ratings than both alternatives. Wide ranges exceeded point estimates on accuracy (difference = 0.485; Holm p = 0.0068), but the corresponding trust difference was inconclusive (difference = 0.165; Holm p = 0.2732). Thus, the observed patterns broadly favor moderate ranges, while wider estimates’ accuracy advantage does not translate into detectable higher trust. This describes the two outcomes’ patterns; it does not formally test equality of their treatment effects or show that the nonsignificant trust effect is zero.</w:t>
      </w:r>
    </w:p>
    <w:p>
      <w:r>
        <w:rPr>
          <w:i w:val="0"/>
        </w:rPr>
        <w:t>This analysis overlaps with the authors’ Study 2 exploratory item-level OLS regressions (Study 2.do, section 3.4). ANOVA uses the same underlying group-mean model; the explicit omnibus tests, multiplicity adjustments, Welch sensitivity checks, and figure supplement that existing analysis. It is not a new substantive hypothesis. Supplement 2’s percentage/error accuracy measures differ from the sb_accurate item used here.</w:t>
      </w:r>
    </w:p>
    <w:p>
      <w:pPr>
        <w:pStyle w:val="Heading2"/>
        <w:pageBreakBefore/>
      </w:pPr>
      <w:r>
        <w:t>Pooled study fixed effects and leave one study out</w:t>
      </w:r>
    </w:p>
    <w:p>
      <w:r>
        <w:rPr>
          <w:i w:val="0"/>
        </w:rPr>
        <w:t>The second analysis tests whether the pooled range advantage depends on any single experiment. Comparable point and moderate-range conditions from Studies 1, 2, 3, 5, 6, and 7 were pooled, retaining the original five-item satisfaction composite and exclusion rules. Study 7 contributes its accurate point and accurate range conditions. Study 3 varies estimates across trials. The full sample contains 2,720 participants, with no missing composites. OLS regresses satisfaction on a range indicator and study fixed effects, using conventional OLS standard errors and residual-degrees-of-freedom t intervals. These standard errors assume equal error variance across observations. The identical specification is then estimated six times, omitting one study each time (Table B4 and Figure B2).</w:t>
      </w:r>
    </w:p>
    <w:p>
      <w:r>
        <w:rPr>
          <w:i w:val="0"/>
        </w:rPr>
        <w:t>The full-sample range coefficient is 0.721 points (SE = 0.047; 95% CI [0.629, 0.813]; p &lt; .001). Omission estimates range from 0.695 to 0.754; every confidence interval remains above zero. The largest absolute change occurs when Study 1 is excluded (change = +0.033; coefficient = 0.754). The evidence therefore does not indicate that any single included study drives the positive pooled effect.</w:t>
      </w:r>
    </w:p>
    <w:p>
      <w:r>
        <w:rPr>
          <w:i w:val="0"/>
        </w:rPr>
        <w:t>These related sensitivity models are not independent confirmations and do not establish identical effects across studies. Pooling also assumes independent observations across experiments; cross-study participant overlap cannot be checked using study-specific de-identified IDs. The check addresses study influence rather than field generalizability or every form of heterogeneity. No equivalent six-study fixed-effects leave-one-study-out analysis was found in the reviewed paper, complete supplement, or 11 supplied do-files. The supplement’s app-domain fixed effects concern a different design. This absence claim is limited to the materials reviewed.</w:t>
      </w:r>
    </w:p>
    <w:p>
      <w:r>
        <w:br w:type="page"/>
      </w:r>
    </w:p>
    <w:p>
      <w:pPr>
        <w:pStyle w:val="Heading1"/>
      </w:pPr>
      <w:r>
        <w:t>References</w:t>
      </w:r>
    </w:p>
    <w:p>
      <w:r>
        <w:rPr>
          <w:i w:val="0"/>
        </w:rPr>
        <w:t xml:space="preserve">Hu, B., Gaertig, C., &amp; Dietvorst, B. J. (2025). How should time estimates be structured to increase customer satisfaction? </w:t>
      </w:r>
      <w:r>
        <w:rPr>
          <w:i/>
        </w:rPr>
        <w:t>Management Science, 71</w:t>
      </w:r>
      <w:r>
        <w:rPr>
          <w:i w:val="0"/>
        </w:rPr>
        <w:t>(9), 7497–7515. https://doi.org/10.1287/mnsc.2023.00137</w:t>
      </w:r>
    </w:p>
    <w:p>
      <w:pPr>
        <w:pStyle w:val="Heading1"/>
      </w:pPr>
      <w:r>
        <w:t>Data and reproducibility note</w:t>
      </w:r>
    </w:p>
    <w:p>
      <w:r>
        <w:rPr>
          <w:i w:val="0"/>
        </w:rPr>
        <w:t>The authors’ public replication materials are available at https://researchbox.org/482 and archived at https://zenodo.org/records/15033033. This report uses secondary data and reports no new participant recruitment. The project preserves the original files and supplies Python scripts, an executable notebook, package versions, and numerical comparison files. AI assistance was used to translate code, run checks, and prepare this draft. The student should verify the notebook results and revise the learning reflection to reflect their own experience. Author contributions, funding, conflicts, and any required course disclosures should be confirmed by the student before submission; none are inferred here.</w:t>
      </w:r>
    </w:p>
    <w:p>
      <w:r>
        <w:br w:type="page"/>
      </w:r>
    </w:p>
    <w:p>
      <w:pPr>
        <w:pStyle w:val="Heading1"/>
      </w:pPr>
      <w:r>
        <w:t>A1 Main regression comparisons Studies 1 through 5</w:t>
      </w:r>
    </w:p>
    <w:tbl>
      <w:tblPr>
        <w:tblW w:type="auto" w:w="0"/>
        <w:tblLayout w:type="fixed"/>
        <w:tblLook w:firstColumn="1" w:firstRow="1" w:lastColumn="0" w:lastRow="0" w:noHBand="0" w:noVBand="1" w:val="04A0"/>
      </w:tblPr>
      <w:tblGrid>
        <w:gridCol w:w="720"/>
        <w:gridCol w:w="3744"/>
        <w:gridCol w:w="1008"/>
        <w:gridCol w:w="864"/>
        <w:gridCol w:w="720"/>
        <w:gridCol w:w="2304"/>
      </w:tblGrid>
      <w:tr>
        <w:trPr>
          <w:cantSplit/>
          <w:tblHeader/>
        </w:trPr>
        <w:tc>
          <w:tcPr>
            <w:tcW w:type="dxa" w:w="720"/>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Study</w:t>
            </w:r>
          </w:p>
        </w:tc>
        <w:tc>
          <w:tcPr>
            <w:tcW w:type="dxa" w:w="3744"/>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Comparison</w:t>
            </w:r>
          </w:p>
        </w:tc>
        <w:tc>
          <w:tcPr>
            <w:tcW w:type="dxa" w:w="1008"/>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Python b</w:t>
            </w:r>
          </w:p>
        </w:tc>
        <w:tc>
          <w:tcPr>
            <w:tcW w:type="dxa" w:w="864"/>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SE</w:t>
            </w:r>
          </w:p>
        </w:tc>
        <w:tc>
          <w:tcPr>
            <w:tcW w:type="dxa" w:w="720"/>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p</w:t>
            </w:r>
          </w:p>
        </w:tc>
        <w:tc>
          <w:tcPr>
            <w:tcW w:type="dxa" w:w="2304"/>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Paper b (SE)</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1</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moderate - point</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0.562</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0.105</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0.56 (0.10)</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1</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narrow - point</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0.503</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0.105</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0.50 (0.10)</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1</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moderate - narrow</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0.059</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0.104</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0.571</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0.06 (0.10)</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2</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moderate - point</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0.683</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0.135</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0.68 (0.13)</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2</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wide - moderate</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-0.986</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0.134</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-0.99 (0.13)</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2</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wide - point</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-0.303</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0.136</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0.026</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-0.30 (0.14)</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3</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range effect on satisfaction</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0.614</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0.109</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0.61 (0.11)</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5</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range effect on satisfaction</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0.822</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0.109</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0.82 (0.11)</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5</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path a: range effect on lateness</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-1.674</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0.106</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-1.67 (0.11)</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5</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unadjusted lateness association</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-0.440</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0.035</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-0.44 (0.04)</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5</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path c prime: direct range effect</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0.132</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0.124</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0.286</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0.13 (0.12)</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4</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Model Alpha: range vs point</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0.413</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0.046</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0.41 (0.05)</w:t>
            </w:r>
          </w:p>
        </w:tc>
      </w:tr>
    </w:tbl>
    <w:p>
      <w:pPr>
        <w:spacing w:after="40"/>
      </w:pPr>
    </w:p>
    <w:p>
      <w:pPr>
        <w:spacing w:line="264" w:lineRule="auto"/>
      </w:pPr>
      <w:r>
        <w:rPr>
          <w:i w:val="0"/>
          <w:sz w:val="20"/>
        </w:rPr>
        <w:t>All 31 targeted coefficient and standard-error pairs agree at published precision. Study 4 uses choice of Model Alpha as the dependent variable; its coefficient is in probability units. Other outcomes are identified in the comparison labels. Conventional OLS standard errors. Main-study N: 698, 599, 479, 392, 468, 801, 998, 888.</w:t>
      </w:r>
    </w:p>
    <w:p>
      <w:r>
        <w:br w:type="page"/>
      </w:r>
    </w:p>
    <w:p>
      <w:pPr>
        <w:pStyle w:val="Heading1"/>
      </w:pPr>
      <w:r>
        <w:t>A1 Main regression comparisons Studies 6 through 8</w:t>
      </w:r>
    </w:p>
    <w:tbl>
      <w:tblPr>
        <w:tblW w:type="auto" w:w="0"/>
        <w:tblLayout w:type="fixed"/>
        <w:tblLook w:firstColumn="1" w:firstRow="1" w:lastColumn="0" w:lastRow="0" w:noHBand="0" w:noVBand="1" w:val="04A0"/>
      </w:tblPr>
      <w:tblGrid>
        <w:gridCol w:w="720"/>
        <w:gridCol w:w="3744"/>
        <w:gridCol w:w="1008"/>
        <w:gridCol w:w="864"/>
        <w:gridCol w:w="720"/>
        <w:gridCol w:w="2304"/>
      </w:tblGrid>
      <w:tr>
        <w:trPr>
          <w:cantSplit/>
          <w:tblHeader/>
        </w:trPr>
        <w:tc>
          <w:tcPr>
            <w:tcW w:type="dxa" w:w="720"/>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Study</w:t>
            </w:r>
          </w:p>
        </w:tc>
        <w:tc>
          <w:tcPr>
            <w:tcW w:type="dxa" w:w="3744"/>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Comparison</w:t>
            </w:r>
          </w:p>
        </w:tc>
        <w:tc>
          <w:tcPr>
            <w:tcW w:type="dxa" w:w="1008"/>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Python b</w:t>
            </w:r>
          </w:p>
        </w:tc>
        <w:tc>
          <w:tcPr>
            <w:tcW w:type="dxa" w:w="864"/>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SE</w:t>
            </w:r>
          </w:p>
        </w:tc>
        <w:tc>
          <w:tcPr>
            <w:tcW w:type="dxa" w:w="720"/>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p</w:t>
            </w:r>
          </w:p>
        </w:tc>
        <w:tc>
          <w:tcPr>
            <w:tcW w:type="dxa" w:w="2304"/>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Paper b (SE)</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6</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range - point</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0.868</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0.143</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0.87 (0.14)</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6</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range - conservative</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0.666</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0.144</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0.67 (0.14)</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6</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optimistic - point</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-1.475</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0.142</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-1.47 (0.14)</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6</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optimistic - conservative</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-1.676</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0.144</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-1.68 (0.14)</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6</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conservative - point</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0.202</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0.145</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0.164</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0.20 (0.14)</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7</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range vs point (factorial average)</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0.680</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0.077</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0.68 (0.08)</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7</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range vs point: accurate</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0.788</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0.110</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0.79 (0.11)</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7</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range vs point: conservative</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0.571</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0.109</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0.57 (0.11)</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7</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conservative vs accurate: point</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0.247</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0.118</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0.037</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0.25 (0.12)</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7</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range - conservative</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0.541</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0.110</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0.54 (0.11)</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8</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short: conservative - point</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-0.301</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0.137</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0.028</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-0.30 (0.14)</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8</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short: range - point</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0.532</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0.138</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0.53 (0.14)</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8</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short: range - conservative</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0.832</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0.137</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0.83 (0.14)</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8</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long: conservative - point</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-0.434</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0.132</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0.001</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-0.43 (0.13)</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8</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long: range - point</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0.245</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0.131</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0.062</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0.25 (0.13)</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8</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long: range - conservative</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0.679</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0.130</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0.68 (0.13)</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8</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all: conservative - point</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-0.366</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0.095</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-0.37 (0.09)</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8</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all: range - point</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0.388</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0.095</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0.39 (0.10)</w:t>
            </w:r>
          </w:p>
        </w:tc>
      </w:tr>
      <w:tr>
        <w:trPr>
          <w:cantSplit/>
        </w:trPr>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8</w:t>
            </w:r>
          </w:p>
        </w:tc>
        <w:tc>
          <w:tcPr>
            <w:tcW w:type="dxa" w:w="3744"/>
            <w:tcBorders>
              <w:top w:val="single" w:sz="4" w:color="D9D9D9"/>
              <w:left w:val="single" w:sz="4" w:color="D9D9D9"/>
              <w:bottom w:val="single" w:sz="4" w:color="D9D9D9"/>
              <w:right w:val="single" w:sz="4" w:color="D9D9D9"/>
            </w:tcBorders>
          </w:tcPr>
          <w:p>
            <w:pPr>
              <w:spacing w:line="240" w:lineRule="auto" w:after="80" w:before="80"/>
            </w:pPr>
            <w:r>
              <w:rPr>
                <w:b w:val="0"/>
                <w:sz w:val="20"/>
              </w:rPr>
              <w:t>all: range - conservative</w:t>
            </w:r>
          </w:p>
        </w:tc>
        <w:tc>
          <w:tcPr>
            <w:tcW w:type="dxa" w:w="1008"/>
            <w:tcBorders>
              <w:top w:val="single" w:sz="4" w:color="D9D9D9"/>
              <w:left w:val="single" w:sz="4" w:color="D9D9D9"/>
              <w:bottom w:val="single" w:sz="4" w:color="D9D9D9"/>
              <w:right w:val="single" w:sz="4" w:color="D9D9D9"/>
            </w:tcBorders>
          </w:tcPr>
          <w:p>
            <w:pPr>
              <w:spacing w:line="240" w:lineRule="auto" w:after="80" w:before="80"/>
            </w:pPr>
            <w:r>
              <w:rPr>
                <w:b w:val="0"/>
                <w:sz w:val="20"/>
              </w:rPr>
              <w:t>0.755</w:t>
            </w:r>
          </w:p>
        </w:tc>
        <w:tc>
          <w:tcPr>
            <w:tcW w:type="dxa" w:w="864"/>
            <w:tcBorders>
              <w:top w:val="single" w:sz="4" w:color="D9D9D9"/>
              <w:left w:val="single" w:sz="4" w:color="D9D9D9"/>
              <w:bottom w:val="single" w:sz="4" w:color="D9D9D9"/>
              <w:right w:val="single" w:sz="4" w:color="D9D9D9"/>
            </w:tcBorders>
          </w:tcPr>
          <w:p>
            <w:pPr>
              <w:spacing w:line="240" w:lineRule="auto" w:after="80" w:before="80"/>
            </w:pPr>
            <w:r>
              <w:rPr>
                <w:b w:val="0"/>
                <w:sz w:val="20"/>
              </w:rPr>
              <w:t>0.095</w:t>
            </w:r>
          </w:p>
        </w:tc>
        <w:tc>
          <w:tcPr>
            <w:tcW w:type="dxa" w:w="720"/>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c>
          <w:tcPr>
            <w:tcW w:type="dxa" w:w="2304"/>
            <w:tcBorders>
              <w:top w:val="single" w:sz="4" w:color="D9D9D9"/>
              <w:left w:val="single" w:sz="4" w:color="D9D9D9"/>
              <w:bottom w:val="single" w:sz="4" w:color="D9D9D9"/>
              <w:right w:val="single" w:sz="4" w:color="D9D9D9"/>
            </w:tcBorders>
          </w:tcPr>
          <w:p>
            <w:pPr>
              <w:spacing w:line="240" w:lineRule="auto" w:after="80" w:before="80"/>
            </w:pPr>
            <w:r>
              <w:rPr>
                <w:b w:val="0"/>
                <w:sz w:val="20"/>
              </w:rPr>
              <w:t>0.75 (0.09)</w:t>
            </w:r>
          </w:p>
        </w:tc>
      </w:tr>
    </w:tbl>
    <w:p>
      <w:pPr>
        <w:spacing w:after="40"/>
      </w:pPr>
    </w:p>
    <w:p>
      <w:pPr>
        <w:spacing w:line="264" w:lineRule="auto"/>
      </w:pPr>
      <w:r>
        <w:rPr>
          <w:i w:val="0"/>
          <w:sz w:val="20"/>
        </w:rPr>
        <w:t>All 31 targeted coefficient and standard-error pairs agree at published precision. Study 4 uses choice of Model Alpha as the dependent variable; its coefficient is in probability units. Other outcomes are identified in the comparison labels. Conventional OLS standard errors. Main-study N: 698, 599, 479, 392, 468, 801, 998, 888.</w:t>
      </w:r>
    </w:p>
    <w:p>
      <w:r>
        <w:br w:type="page"/>
      </w:r>
    </w:p>
    <w:p>
      <w:pPr>
        <w:pStyle w:val="Heading1"/>
      </w:pPr>
      <w:r>
        <w:t>A2 Reproduction of published Table 2</w:t>
      </w:r>
    </w:p>
    <w:tbl>
      <w:tblPr>
        <w:tblW w:type="auto" w:w="0"/>
        <w:tblLayout w:type="fixed"/>
        <w:tblLook w:firstColumn="1" w:firstRow="1" w:lastColumn="0" w:lastRow="0" w:noHBand="0" w:noVBand="1" w:val="04A0"/>
      </w:tblPr>
      <w:tblGrid>
        <w:gridCol w:w="1337"/>
        <w:gridCol w:w="1504"/>
        <w:gridCol w:w="1337"/>
        <w:gridCol w:w="1337"/>
        <w:gridCol w:w="1337"/>
        <w:gridCol w:w="2507"/>
      </w:tblGrid>
      <w:tr>
        <w:trPr>
          <w:cantSplit/>
          <w:tblHeader/>
        </w:trPr>
        <w:tc>
          <w:tcPr>
            <w:tcW w:type="dxa" w:w="1337"/>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Study</w:t>
            </w:r>
          </w:p>
        </w:tc>
        <w:tc>
          <w:tcPr>
            <w:tcW w:type="dxa" w:w="1504"/>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Condition</w:t>
            </w:r>
          </w:p>
        </w:tc>
        <w:tc>
          <w:tcPr>
            <w:tcW w:type="dxa" w:w="1337"/>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N</w:t>
            </w:r>
          </w:p>
        </w:tc>
        <w:tc>
          <w:tcPr>
            <w:tcW w:type="dxa" w:w="1337"/>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Mean</w:t>
            </w:r>
          </w:p>
        </w:tc>
        <w:tc>
          <w:tcPr>
            <w:tcW w:type="dxa" w:w="1337"/>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SD</w:t>
            </w:r>
          </w:p>
        </w:tc>
        <w:tc>
          <w:tcPr>
            <w:tcW w:type="dxa" w:w="2507"/>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Paper mean (SD)</w:t>
            </w:r>
          </w:p>
        </w:tc>
      </w:tr>
      <w:tr>
        <w:trPr>
          <w:cantSplit/>
        </w:trPr>
        <w:tc>
          <w:tcPr>
            <w:tcW w:type="dxa" w:w="1337"/>
            <w:tcBorders>
              <w:top w:val="single" w:sz="4" w:color="D9D9D9"/>
              <w:left w:val="single" w:sz="4" w:color="D9D9D9"/>
              <w:bottom w:val="single" w:sz="4" w:color="D9D9D9"/>
              <w:right w:val="single" w:sz="4" w:color="D9D9D9"/>
            </w:tcBorders>
          </w:tcPr>
          <w:p>
            <w:pPr>
              <w:spacing w:line="240" w:lineRule="auto" w:after="80" w:before="80"/>
            </w:pPr>
            <w:r>
              <w:rPr>
                <w:b w:val="0"/>
                <w:sz w:val="20"/>
              </w:rPr>
              <w:t>1</w:t>
            </w:r>
          </w:p>
        </w:tc>
        <w:tc>
          <w:tcPr>
            <w:tcW w:type="dxa" w:w="1504"/>
            <w:tcBorders>
              <w:top w:val="single" w:sz="4" w:color="D9D9D9"/>
              <w:left w:val="single" w:sz="4" w:color="D9D9D9"/>
              <w:bottom w:val="single" w:sz="4" w:color="D9D9D9"/>
              <w:right w:val="single" w:sz="4" w:color="D9D9D9"/>
            </w:tcBorders>
          </w:tcPr>
          <w:p>
            <w:pPr>
              <w:spacing w:line="240" w:lineRule="auto" w:after="80" w:before="80"/>
            </w:pPr>
            <w:r>
              <w:rPr>
                <w:b w:val="0"/>
                <w:sz w:val="20"/>
              </w:rPr>
              <w:t>moderate</w:t>
            </w:r>
          </w:p>
        </w:tc>
        <w:tc>
          <w:tcPr>
            <w:tcW w:type="dxa" w:w="1337"/>
            <w:tcBorders>
              <w:top w:val="single" w:sz="4" w:color="D9D9D9"/>
              <w:left w:val="single" w:sz="4" w:color="D9D9D9"/>
              <w:bottom w:val="single" w:sz="4" w:color="D9D9D9"/>
              <w:right w:val="single" w:sz="4" w:color="D9D9D9"/>
            </w:tcBorders>
          </w:tcPr>
          <w:p>
            <w:pPr>
              <w:spacing w:line="240" w:lineRule="auto" w:after="80" w:before="80"/>
            </w:pPr>
            <w:r>
              <w:rPr>
                <w:b w:val="0"/>
                <w:sz w:val="20"/>
              </w:rPr>
              <w:t>233</w:t>
            </w:r>
          </w:p>
        </w:tc>
        <w:tc>
          <w:tcPr>
            <w:tcW w:type="dxa" w:w="1337"/>
            <w:tcBorders>
              <w:top w:val="single" w:sz="4" w:color="D9D9D9"/>
              <w:left w:val="single" w:sz="4" w:color="D9D9D9"/>
              <w:bottom w:val="single" w:sz="4" w:color="D9D9D9"/>
              <w:right w:val="single" w:sz="4" w:color="D9D9D9"/>
            </w:tcBorders>
          </w:tcPr>
          <w:p>
            <w:pPr>
              <w:spacing w:line="240" w:lineRule="auto" w:after="80" w:before="80"/>
            </w:pPr>
            <w:r>
              <w:rPr>
                <w:b w:val="0"/>
                <w:sz w:val="20"/>
              </w:rPr>
              <w:t>5.374</w:t>
            </w:r>
          </w:p>
        </w:tc>
        <w:tc>
          <w:tcPr>
            <w:tcW w:type="dxa" w:w="1337"/>
            <w:tcBorders>
              <w:top w:val="single" w:sz="4" w:color="D9D9D9"/>
              <w:left w:val="single" w:sz="4" w:color="D9D9D9"/>
              <w:bottom w:val="single" w:sz="4" w:color="D9D9D9"/>
              <w:right w:val="single" w:sz="4" w:color="D9D9D9"/>
            </w:tcBorders>
          </w:tcPr>
          <w:p>
            <w:pPr>
              <w:spacing w:line="240" w:lineRule="auto" w:after="80" w:before="80"/>
            </w:pPr>
            <w:r>
              <w:rPr>
                <w:b w:val="0"/>
                <w:sz w:val="20"/>
              </w:rPr>
              <w:t>1.077</w:t>
            </w:r>
          </w:p>
        </w:tc>
        <w:tc>
          <w:tcPr>
            <w:tcW w:type="dxa" w:w="2507"/>
            <w:tcBorders>
              <w:top w:val="single" w:sz="4" w:color="D9D9D9"/>
              <w:left w:val="single" w:sz="4" w:color="D9D9D9"/>
              <w:bottom w:val="single" w:sz="4" w:color="D9D9D9"/>
              <w:right w:val="single" w:sz="4" w:color="D9D9D9"/>
            </w:tcBorders>
          </w:tcPr>
          <w:p>
            <w:pPr>
              <w:spacing w:line="240" w:lineRule="auto" w:after="80" w:before="80"/>
            </w:pPr>
            <w:r>
              <w:rPr>
                <w:b w:val="0"/>
                <w:sz w:val="20"/>
              </w:rPr>
              <w:t>5.37 (1.08)</w:t>
            </w:r>
          </w:p>
        </w:tc>
      </w:tr>
      <w:tr>
        <w:trPr>
          <w:cantSplit/>
        </w:trPr>
        <w:tc>
          <w:tcPr>
            <w:tcW w:type="dxa" w:w="1337"/>
            <w:tcBorders>
              <w:top w:val="single" w:sz="4" w:color="D9D9D9"/>
              <w:left w:val="single" w:sz="4" w:color="D9D9D9"/>
              <w:bottom w:val="single" w:sz="4" w:color="D9D9D9"/>
              <w:right w:val="single" w:sz="4" w:color="D9D9D9"/>
            </w:tcBorders>
          </w:tcPr>
          <w:p>
            <w:pPr>
              <w:spacing w:line="240" w:lineRule="auto" w:after="80" w:before="80"/>
            </w:pPr>
            <w:r>
              <w:rPr>
                <w:b w:val="0"/>
                <w:sz w:val="20"/>
              </w:rPr>
              <w:t>1</w:t>
            </w:r>
          </w:p>
        </w:tc>
        <w:tc>
          <w:tcPr>
            <w:tcW w:type="dxa" w:w="1504"/>
            <w:tcBorders>
              <w:top w:val="single" w:sz="4" w:color="D9D9D9"/>
              <w:left w:val="single" w:sz="4" w:color="D9D9D9"/>
              <w:bottom w:val="single" w:sz="4" w:color="D9D9D9"/>
              <w:right w:val="single" w:sz="4" w:color="D9D9D9"/>
            </w:tcBorders>
          </w:tcPr>
          <w:p>
            <w:pPr>
              <w:spacing w:line="240" w:lineRule="auto" w:after="80" w:before="80"/>
            </w:pPr>
            <w:r>
              <w:rPr>
                <w:b w:val="0"/>
                <w:sz w:val="20"/>
              </w:rPr>
              <w:t>narrow</w:t>
            </w:r>
          </w:p>
        </w:tc>
        <w:tc>
          <w:tcPr>
            <w:tcW w:type="dxa" w:w="1337"/>
            <w:tcBorders>
              <w:top w:val="single" w:sz="4" w:color="D9D9D9"/>
              <w:left w:val="single" w:sz="4" w:color="D9D9D9"/>
              <w:bottom w:val="single" w:sz="4" w:color="D9D9D9"/>
              <w:right w:val="single" w:sz="4" w:color="D9D9D9"/>
            </w:tcBorders>
          </w:tcPr>
          <w:p>
            <w:pPr>
              <w:spacing w:line="240" w:lineRule="auto" w:after="80" w:before="80"/>
            </w:pPr>
            <w:r>
              <w:rPr>
                <w:b w:val="0"/>
                <w:sz w:val="20"/>
              </w:rPr>
              <w:t>233</w:t>
            </w:r>
          </w:p>
        </w:tc>
        <w:tc>
          <w:tcPr>
            <w:tcW w:type="dxa" w:w="1337"/>
            <w:tcBorders>
              <w:top w:val="single" w:sz="4" w:color="D9D9D9"/>
              <w:left w:val="single" w:sz="4" w:color="D9D9D9"/>
              <w:bottom w:val="single" w:sz="4" w:color="D9D9D9"/>
              <w:right w:val="single" w:sz="4" w:color="D9D9D9"/>
            </w:tcBorders>
          </w:tcPr>
          <w:p>
            <w:pPr>
              <w:spacing w:line="240" w:lineRule="auto" w:after="80" w:before="80"/>
            </w:pPr>
            <w:r>
              <w:rPr>
                <w:b w:val="0"/>
                <w:sz w:val="20"/>
              </w:rPr>
              <w:t>5.315</w:t>
            </w:r>
          </w:p>
        </w:tc>
        <w:tc>
          <w:tcPr>
            <w:tcW w:type="dxa" w:w="1337"/>
            <w:tcBorders>
              <w:top w:val="single" w:sz="4" w:color="D9D9D9"/>
              <w:left w:val="single" w:sz="4" w:color="D9D9D9"/>
              <w:bottom w:val="single" w:sz="4" w:color="D9D9D9"/>
              <w:right w:val="single" w:sz="4" w:color="D9D9D9"/>
            </w:tcBorders>
          </w:tcPr>
          <w:p>
            <w:pPr>
              <w:spacing w:line="240" w:lineRule="auto" w:after="80" w:before="80"/>
            </w:pPr>
            <w:r>
              <w:rPr>
                <w:b w:val="0"/>
                <w:sz w:val="20"/>
              </w:rPr>
              <w:t>1.001</w:t>
            </w:r>
          </w:p>
        </w:tc>
        <w:tc>
          <w:tcPr>
            <w:tcW w:type="dxa" w:w="2507"/>
            <w:tcBorders>
              <w:top w:val="single" w:sz="4" w:color="D9D9D9"/>
              <w:left w:val="single" w:sz="4" w:color="D9D9D9"/>
              <w:bottom w:val="single" w:sz="4" w:color="D9D9D9"/>
              <w:right w:val="single" w:sz="4" w:color="D9D9D9"/>
            </w:tcBorders>
          </w:tcPr>
          <w:p>
            <w:pPr>
              <w:spacing w:line="240" w:lineRule="auto" w:after="80" w:before="80"/>
            </w:pPr>
            <w:r>
              <w:rPr>
                <w:b w:val="0"/>
                <w:sz w:val="20"/>
              </w:rPr>
              <w:t>5.32 (1.00)</w:t>
            </w:r>
          </w:p>
        </w:tc>
      </w:tr>
      <w:tr>
        <w:trPr>
          <w:cantSplit/>
        </w:trPr>
        <w:tc>
          <w:tcPr>
            <w:tcW w:type="dxa" w:w="1337"/>
            <w:tcBorders>
              <w:top w:val="single" w:sz="4" w:color="D9D9D9"/>
              <w:left w:val="single" w:sz="4" w:color="D9D9D9"/>
              <w:bottom w:val="single" w:sz="4" w:color="D9D9D9"/>
              <w:right w:val="single" w:sz="4" w:color="D9D9D9"/>
            </w:tcBorders>
          </w:tcPr>
          <w:p>
            <w:pPr>
              <w:spacing w:line="240" w:lineRule="auto" w:after="80" w:before="80"/>
            </w:pPr>
            <w:r>
              <w:rPr>
                <w:b w:val="0"/>
                <w:sz w:val="20"/>
              </w:rPr>
              <w:t>1</w:t>
            </w:r>
          </w:p>
        </w:tc>
        <w:tc>
          <w:tcPr>
            <w:tcW w:type="dxa" w:w="1504"/>
            <w:tcBorders>
              <w:top w:val="single" w:sz="4" w:color="D9D9D9"/>
              <w:left w:val="single" w:sz="4" w:color="D9D9D9"/>
              <w:bottom w:val="single" w:sz="4" w:color="D9D9D9"/>
              <w:right w:val="single" w:sz="4" w:color="D9D9D9"/>
            </w:tcBorders>
          </w:tcPr>
          <w:p>
            <w:pPr>
              <w:spacing w:line="240" w:lineRule="auto" w:after="80" w:before="80"/>
            </w:pPr>
            <w:r>
              <w:rPr>
                <w:b w:val="0"/>
                <w:sz w:val="20"/>
              </w:rPr>
              <w:t>point</w:t>
            </w:r>
          </w:p>
        </w:tc>
        <w:tc>
          <w:tcPr>
            <w:tcW w:type="dxa" w:w="1337"/>
            <w:tcBorders>
              <w:top w:val="single" w:sz="4" w:color="D9D9D9"/>
              <w:left w:val="single" w:sz="4" w:color="D9D9D9"/>
              <w:bottom w:val="single" w:sz="4" w:color="D9D9D9"/>
              <w:right w:val="single" w:sz="4" w:color="D9D9D9"/>
            </w:tcBorders>
          </w:tcPr>
          <w:p>
            <w:pPr>
              <w:spacing w:line="240" w:lineRule="auto" w:after="80" w:before="80"/>
            </w:pPr>
            <w:r>
              <w:rPr>
                <w:b w:val="0"/>
                <w:sz w:val="20"/>
              </w:rPr>
              <w:t>232</w:t>
            </w:r>
          </w:p>
        </w:tc>
        <w:tc>
          <w:tcPr>
            <w:tcW w:type="dxa" w:w="1337"/>
            <w:tcBorders>
              <w:top w:val="single" w:sz="4" w:color="D9D9D9"/>
              <w:left w:val="single" w:sz="4" w:color="D9D9D9"/>
              <w:bottom w:val="single" w:sz="4" w:color="D9D9D9"/>
              <w:right w:val="single" w:sz="4" w:color="D9D9D9"/>
            </w:tcBorders>
          </w:tcPr>
          <w:p>
            <w:pPr>
              <w:spacing w:line="240" w:lineRule="auto" w:after="80" w:before="80"/>
            </w:pPr>
            <w:r>
              <w:rPr>
                <w:b w:val="0"/>
                <w:sz w:val="20"/>
              </w:rPr>
              <w:t>4.812</w:t>
            </w:r>
          </w:p>
        </w:tc>
        <w:tc>
          <w:tcPr>
            <w:tcW w:type="dxa" w:w="1337"/>
            <w:tcBorders>
              <w:top w:val="single" w:sz="4" w:color="D9D9D9"/>
              <w:left w:val="single" w:sz="4" w:color="D9D9D9"/>
              <w:bottom w:val="single" w:sz="4" w:color="D9D9D9"/>
              <w:right w:val="single" w:sz="4" w:color="D9D9D9"/>
            </w:tcBorders>
          </w:tcPr>
          <w:p>
            <w:pPr>
              <w:spacing w:line="240" w:lineRule="auto" w:after="80" w:before="80"/>
            </w:pPr>
            <w:r>
              <w:rPr>
                <w:b w:val="0"/>
                <w:sz w:val="20"/>
              </w:rPr>
              <w:t>1.284</w:t>
            </w:r>
          </w:p>
        </w:tc>
        <w:tc>
          <w:tcPr>
            <w:tcW w:type="dxa" w:w="2507"/>
            <w:tcBorders>
              <w:top w:val="single" w:sz="4" w:color="D9D9D9"/>
              <w:left w:val="single" w:sz="4" w:color="D9D9D9"/>
              <w:bottom w:val="single" w:sz="4" w:color="D9D9D9"/>
              <w:right w:val="single" w:sz="4" w:color="D9D9D9"/>
            </w:tcBorders>
          </w:tcPr>
          <w:p>
            <w:pPr>
              <w:spacing w:line="240" w:lineRule="auto" w:after="80" w:before="80"/>
            </w:pPr>
            <w:r>
              <w:rPr>
                <w:b w:val="0"/>
                <w:sz w:val="20"/>
              </w:rPr>
              <w:t>4.81 (1.28)</w:t>
            </w:r>
          </w:p>
        </w:tc>
      </w:tr>
      <w:tr>
        <w:trPr>
          <w:cantSplit/>
        </w:trPr>
        <w:tc>
          <w:tcPr>
            <w:tcW w:type="dxa" w:w="1337"/>
            <w:tcBorders>
              <w:top w:val="single" w:sz="4" w:color="D9D9D9"/>
              <w:left w:val="single" w:sz="4" w:color="D9D9D9"/>
              <w:bottom w:val="single" w:sz="4" w:color="D9D9D9"/>
              <w:right w:val="single" w:sz="4" w:color="D9D9D9"/>
            </w:tcBorders>
          </w:tcPr>
          <w:p>
            <w:pPr>
              <w:spacing w:line="240" w:lineRule="auto" w:after="80" w:before="80"/>
            </w:pPr>
            <w:r>
              <w:rPr>
                <w:b w:val="0"/>
                <w:sz w:val="20"/>
              </w:rPr>
              <w:t>2</w:t>
            </w:r>
          </w:p>
        </w:tc>
        <w:tc>
          <w:tcPr>
            <w:tcW w:type="dxa" w:w="1504"/>
            <w:tcBorders>
              <w:top w:val="single" w:sz="4" w:color="D9D9D9"/>
              <w:left w:val="single" w:sz="4" w:color="D9D9D9"/>
              <w:bottom w:val="single" w:sz="4" w:color="D9D9D9"/>
              <w:right w:val="single" w:sz="4" w:color="D9D9D9"/>
            </w:tcBorders>
          </w:tcPr>
          <w:p>
            <w:pPr>
              <w:spacing w:line="240" w:lineRule="auto" w:after="80" w:before="80"/>
            </w:pPr>
            <w:r>
              <w:rPr>
                <w:b w:val="0"/>
                <w:sz w:val="20"/>
              </w:rPr>
              <w:t>moderate</w:t>
            </w:r>
          </w:p>
        </w:tc>
        <w:tc>
          <w:tcPr>
            <w:tcW w:type="dxa" w:w="1337"/>
            <w:tcBorders>
              <w:top w:val="single" w:sz="4" w:color="D9D9D9"/>
              <w:left w:val="single" w:sz="4" w:color="D9D9D9"/>
              <w:bottom w:val="single" w:sz="4" w:color="D9D9D9"/>
              <w:right w:val="single" w:sz="4" w:color="D9D9D9"/>
            </w:tcBorders>
          </w:tcPr>
          <w:p>
            <w:pPr>
              <w:spacing w:line="240" w:lineRule="auto" w:after="80" w:before="80"/>
            </w:pPr>
            <w:r>
              <w:rPr>
                <w:b w:val="0"/>
                <w:sz w:val="20"/>
              </w:rPr>
              <w:t>206</w:t>
            </w:r>
          </w:p>
        </w:tc>
        <w:tc>
          <w:tcPr>
            <w:tcW w:type="dxa" w:w="1337"/>
            <w:tcBorders>
              <w:top w:val="single" w:sz="4" w:color="D9D9D9"/>
              <w:left w:val="single" w:sz="4" w:color="D9D9D9"/>
              <w:bottom w:val="single" w:sz="4" w:color="D9D9D9"/>
              <w:right w:val="single" w:sz="4" w:color="D9D9D9"/>
            </w:tcBorders>
          </w:tcPr>
          <w:p>
            <w:pPr>
              <w:spacing w:line="240" w:lineRule="auto" w:after="80" w:before="80"/>
            </w:pPr>
            <w:r>
              <w:rPr>
                <w:b w:val="0"/>
                <w:sz w:val="20"/>
              </w:rPr>
              <w:t>5.307</w:t>
            </w:r>
          </w:p>
        </w:tc>
        <w:tc>
          <w:tcPr>
            <w:tcW w:type="dxa" w:w="1337"/>
            <w:tcBorders>
              <w:top w:val="single" w:sz="4" w:color="D9D9D9"/>
              <w:left w:val="single" w:sz="4" w:color="D9D9D9"/>
              <w:bottom w:val="single" w:sz="4" w:color="D9D9D9"/>
              <w:right w:val="single" w:sz="4" w:color="D9D9D9"/>
            </w:tcBorders>
          </w:tcPr>
          <w:p>
            <w:pPr>
              <w:spacing w:line="240" w:lineRule="auto" w:after="80" w:before="80"/>
            </w:pPr>
            <w:r>
              <w:rPr>
                <w:b w:val="0"/>
                <w:sz w:val="20"/>
              </w:rPr>
              <w:t>1.113</w:t>
            </w:r>
          </w:p>
        </w:tc>
        <w:tc>
          <w:tcPr>
            <w:tcW w:type="dxa" w:w="2507"/>
            <w:tcBorders>
              <w:top w:val="single" w:sz="4" w:color="D9D9D9"/>
              <w:left w:val="single" w:sz="4" w:color="D9D9D9"/>
              <w:bottom w:val="single" w:sz="4" w:color="D9D9D9"/>
              <w:right w:val="single" w:sz="4" w:color="D9D9D9"/>
            </w:tcBorders>
          </w:tcPr>
          <w:p>
            <w:pPr>
              <w:spacing w:line="240" w:lineRule="auto" w:after="80" w:before="80"/>
            </w:pPr>
            <w:r>
              <w:rPr>
                <w:b w:val="0"/>
                <w:sz w:val="20"/>
              </w:rPr>
              <w:t>5.31 (1.11)</w:t>
            </w:r>
          </w:p>
        </w:tc>
      </w:tr>
      <w:tr>
        <w:trPr>
          <w:cantSplit/>
        </w:trPr>
        <w:tc>
          <w:tcPr>
            <w:tcW w:type="dxa" w:w="1337"/>
            <w:tcBorders>
              <w:top w:val="single" w:sz="4" w:color="D9D9D9"/>
              <w:left w:val="single" w:sz="4" w:color="D9D9D9"/>
              <w:bottom w:val="single" w:sz="4" w:color="D9D9D9"/>
              <w:right w:val="single" w:sz="4" w:color="D9D9D9"/>
            </w:tcBorders>
          </w:tcPr>
          <w:p>
            <w:pPr>
              <w:spacing w:line="240" w:lineRule="auto" w:after="80" w:before="80"/>
            </w:pPr>
            <w:r>
              <w:rPr>
                <w:b w:val="0"/>
                <w:sz w:val="20"/>
              </w:rPr>
              <w:t>2</w:t>
            </w:r>
          </w:p>
        </w:tc>
        <w:tc>
          <w:tcPr>
            <w:tcW w:type="dxa" w:w="1504"/>
            <w:tcBorders>
              <w:top w:val="single" w:sz="4" w:color="D9D9D9"/>
              <w:left w:val="single" w:sz="4" w:color="D9D9D9"/>
              <w:bottom w:val="single" w:sz="4" w:color="D9D9D9"/>
              <w:right w:val="single" w:sz="4" w:color="D9D9D9"/>
            </w:tcBorders>
          </w:tcPr>
          <w:p>
            <w:pPr>
              <w:spacing w:line="240" w:lineRule="auto" w:after="80" w:before="80"/>
            </w:pPr>
            <w:r>
              <w:rPr>
                <w:b w:val="0"/>
                <w:sz w:val="20"/>
              </w:rPr>
              <w:t>point</w:t>
            </w:r>
          </w:p>
        </w:tc>
        <w:tc>
          <w:tcPr>
            <w:tcW w:type="dxa" w:w="1337"/>
            <w:tcBorders>
              <w:top w:val="single" w:sz="4" w:color="D9D9D9"/>
              <w:left w:val="single" w:sz="4" w:color="D9D9D9"/>
              <w:bottom w:val="single" w:sz="4" w:color="D9D9D9"/>
              <w:right w:val="single" w:sz="4" w:color="D9D9D9"/>
            </w:tcBorders>
          </w:tcPr>
          <w:p>
            <w:pPr>
              <w:spacing w:line="240" w:lineRule="auto" w:after="80" w:before="80"/>
            </w:pPr>
            <w:r>
              <w:rPr>
                <w:b w:val="0"/>
                <w:sz w:val="20"/>
              </w:rPr>
              <w:t>196</w:t>
            </w:r>
          </w:p>
        </w:tc>
        <w:tc>
          <w:tcPr>
            <w:tcW w:type="dxa" w:w="1337"/>
            <w:tcBorders>
              <w:top w:val="single" w:sz="4" w:color="D9D9D9"/>
              <w:left w:val="single" w:sz="4" w:color="D9D9D9"/>
              <w:bottom w:val="single" w:sz="4" w:color="D9D9D9"/>
              <w:right w:val="single" w:sz="4" w:color="D9D9D9"/>
            </w:tcBorders>
          </w:tcPr>
          <w:p>
            <w:pPr>
              <w:spacing w:line="240" w:lineRule="auto" w:after="80" w:before="80"/>
            </w:pPr>
            <w:r>
              <w:rPr>
                <w:b w:val="0"/>
                <w:sz w:val="20"/>
              </w:rPr>
              <w:t>4.623</w:t>
            </w:r>
          </w:p>
        </w:tc>
        <w:tc>
          <w:tcPr>
            <w:tcW w:type="dxa" w:w="1337"/>
            <w:tcBorders>
              <w:top w:val="single" w:sz="4" w:color="D9D9D9"/>
              <w:left w:val="single" w:sz="4" w:color="D9D9D9"/>
              <w:bottom w:val="single" w:sz="4" w:color="D9D9D9"/>
              <w:right w:val="single" w:sz="4" w:color="D9D9D9"/>
            </w:tcBorders>
          </w:tcPr>
          <w:p>
            <w:pPr>
              <w:spacing w:line="240" w:lineRule="auto" w:after="80" w:before="80"/>
            </w:pPr>
            <w:r>
              <w:rPr>
                <w:b w:val="0"/>
                <w:sz w:val="20"/>
              </w:rPr>
              <w:t>1.414</w:t>
            </w:r>
          </w:p>
        </w:tc>
        <w:tc>
          <w:tcPr>
            <w:tcW w:type="dxa" w:w="2507"/>
            <w:tcBorders>
              <w:top w:val="single" w:sz="4" w:color="D9D9D9"/>
              <w:left w:val="single" w:sz="4" w:color="D9D9D9"/>
              <w:bottom w:val="single" w:sz="4" w:color="D9D9D9"/>
              <w:right w:val="single" w:sz="4" w:color="D9D9D9"/>
            </w:tcBorders>
          </w:tcPr>
          <w:p>
            <w:pPr>
              <w:spacing w:line="240" w:lineRule="auto" w:after="80" w:before="80"/>
            </w:pPr>
            <w:r>
              <w:rPr>
                <w:b w:val="0"/>
                <w:sz w:val="20"/>
              </w:rPr>
              <w:t>4.62 (1.41)</w:t>
            </w:r>
          </w:p>
        </w:tc>
      </w:tr>
      <w:tr>
        <w:trPr>
          <w:cantSplit/>
        </w:trPr>
        <w:tc>
          <w:tcPr>
            <w:tcW w:type="dxa" w:w="1337"/>
            <w:tcBorders>
              <w:top w:val="single" w:sz="4" w:color="D9D9D9"/>
              <w:left w:val="single" w:sz="4" w:color="D9D9D9"/>
              <w:bottom w:val="single" w:sz="4" w:color="D9D9D9"/>
              <w:right w:val="single" w:sz="4" w:color="D9D9D9"/>
            </w:tcBorders>
          </w:tcPr>
          <w:p>
            <w:pPr>
              <w:spacing w:line="240" w:lineRule="auto" w:after="80" w:before="80"/>
            </w:pPr>
            <w:r>
              <w:rPr>
                <w:b w:val="0"/>
                <w:sz w:val="20"/>
              </w:rPr>
              <w:t>2</w:t>
            </w:r>
          </w:p>
        </w:tc>
        <w:tc>
          <w:tcPr>
            <w:tcW w:type="dxa" w:w="1504"/>
            <w:tcBorders>
              <w:top w:val="single" w:sz="4" w:color="D9D9D9"/>
              <w:left w:val="single" w:sz="4" w:color="D9D9D9"/>
              <w:bottom w:val="single" w:sz="4" w:color="D9D9D9"/>
              <w:right w:val="single" w:sz="4" w:color="D9D9D9"/>
            </w:tcBorders>
          </w:tcPr>
          <w:p>
            <w:pPr>
              <w:spacing w:line="240" w:lineRule="auto" w:after="80" w:before="80"/>
            </w:pPr>
            <w:r>
              <w:rPr>
                <w:b w:val="0"/>
                <w:sz w:val="20"/>
              </w:rPr>
              <w:t>wide</w:t>
            </w:r>
          </w:p>
        </w:tc>
        <w:tc>
          <w:tcPr>
            <w:tcW w:type="dxa" w:w="1337"/>
            <w:tcBorders>
              <w:top w:val="single" w:sz="4" w:color="D9D9D9"/>
              <w:left w:val="single" w:sz="4" w:color="D9D9D9"/>
              <w:bottom w:val="single" w:sz="4" w:color="D9D9D9"/>
              <w:right w:val="single" w:sz="4" w:color="D9D9D9"/>
            </w:tcBorders>
          </w:tcPr>
          <w:p>
            <w:pPr>
              <w:spacing w:line="240" w:lineRule="auto" w:after="80" w:before="80"/>
            </w:pPr>
            <w:r>
              <w:rPr>
                <w:b w:val="0"/>
                <w:sz w:val="20"/>
              </w:rPr>
              <w:t>197</w:t>
            </w:r>
          </w:p>
        </w:tc>
        <w:tc>
          <w:tcPr>
            <w:tcW w:type="dxa" w:w="1337"/>
            <w:tcBorders>
              <w:top w:val="single" w:sz="4" w:color="D9D9D9"/>
              <w:left w:val="single" w:sz="4" w:color="D9D9D9"/>
              <w:bottom w:val="single" w:sz="4" w:color="D9D9D9"/>
              <w:right w:val="single" w:sz="4" w:color="D9D9D9"/>
            </w:tcBorders>
          </w:tcPr>
          <w:p>
            <w:pPr>
              <w:spacing w:line="240" w:lineRule="auto" w:after="80" w:before="80"/>
            </w:pPr>
            <w:r>
              <w:rPr>
                <w:b w:val="0"/>
                <w:sz w:val="20"/>
              </w:rPr>
              <w:t>4.321</w:t>
            </w:r>
          </w:p>
        </w:tc>
        <w:tc>
          <w:tcPr>
            <w:tcW w:type="dxa" w:w="1337"/>
            <w:tcBorders>
              <w:top w:val="single" w:sz="4" w:color="D9D9D9"/>
              <w:left w:val="single" w:sz="4" w:color="D9D9D9"/>
              <w:bottom w:val="single" w:sz="4" w:color="D9D9D9"/>
              <w:right w:val="single" w:sz="4" w:color="D9D9D9"/>
            </w:tcBorders>
          </w:tcPr>
          <w:p>
            <w:pPr>
              <w:spacing w:line="240" w:lineRule="auto" w:after="80" w:before="80"/>
            </w:pPr>
            <w:r>
              <w:rPr>
                <w:b w:val="0"/>
                <w:sz w:val="20"/>
              </w:rPr>
              <w:t>1.497</w:t>
            </w:r>
          </w:p>
        </w:tc>
        <w:tc>
          <w:tcPr>
            <w:tcW w:type="dxa" w:w="2507"/>
            <w:tcBorders>
              <w:top w:val="single" w:sz="4" w:color="D9D9D9"/>
              <w:left w:val="single" w:sz="4" w:color="D9D9D9"/>
              <w:bottom w:val="single" w:sz="4" w:color="D9D9D9"/>
              <w:right w:val="single" w:sz="4" w:color="D9D9D9"/>
            </w:tcBorders>
          </w:tcPr>
          <w:p>
            <w:pPr>
              <w:spacing w:line="240" w:lineRule="auto" w:after="80" w:before="80"/>
            </w:pPr>
            <w:r>
              <w:rPr>
                <w:b w:val="0"/>
                <w:sz w:val="20"/>
              </w:rPr>
              <w:t>4.32 (1.50)</w:t>
            </w:r>
          </w:p>
        </w:tc>
      </w:tr>
    </w:tbl>
    <w:p>
      <w:pPr>
        <w:spacing w:after="40"/>
      </w:pPr>
    </w:p>
    <w:p>
      <w:pPr>
        <w:spacing w:line="264" w:lineRule="auto"/>
      </w:pPr>
      <w:r>
        <w:rPr>
          <w:i w:val="0"/>
          <w:sz w:val="20"/>
        </w:rPr>
        <w:t>Satisfaction is the mean of five seven-point items. All six means and standard deviations match the published values at two decimals.</w:t>
      </w:r>
    </w:p>
    <w:p>
      <w:pPr>
        <w:pStyle w:val="Heading1"/>
      </w:pPr>
      <w:r>
        <w:t>A3 Reproduction of published Table 4 Study 6</w:t>
      </w:r>
    </w:p>
    <w:tbl>
      <w:tblPr>
        <w:tblW w:type="auto" w:w="0"/>
        <w:tblLayout w:type="fixed"/>
        <w:tblLook w:firstColumn="1" w:firstRow="1" w:lastColumn="0" w:lastRow="0" w:noHBand="0" w:noVBand="1" w:val="04A0"/>
      </w:tblPr>
      <w:tblGrid>
        <w:gridCol w:w="1269"/>
        <w:gridCol w:w="4283"/>
        <w:gridCol w:w="1269"/>
        <w:gridCol w:w="1269"/>
        <w:gridCol w:w="1269"/>
      </w:tblGrid>
      <w:tr>
        <w:trPr>
          <w:cantSplit/>
          <w:tblHeader/>
        </w:trPr>
        <w:tc>
          <w:tcPr>
            <w:tcW w:type="dxa" w:w="1269"/>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Sample</w:t>
            </w:r>
          </w:p>
        </w:tc>
        <w:tc>
          <w:tcPr>
            <w:tcW w:type="dxa" w:w="4283"/>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Estimate</w:t>
            </w:r>
          </w:p>
        </w:tc>
        <w:tc>
          <w:tcPr>
            <w:tcW w:type="dxa" w:w="1269"/>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N</w:t>
            </w:r>
          </w:p>
        </w:tc>
        <w:tc>
          <w:tcPr>
            <w:tcW w:type="dxa" w:w="1269"/>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Mean</w:t>
            </w:r>
          </w:p>
        </w:tc>
        <w:tc>
          <w:tcPr>
            <w:tcW w:type="dxa" w:w="1269"/>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SD</w:t>
            </w:r>
          </w:p>
        </w:tc>
      </w:tr>
      <w:tr>
        <w:trPr>
          <w:cantSplit/>
        </w:trPr>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all</w:t>
            </w:r>
          </w:p>
        </w:tc>
        <w:tc>
          <w:tcPr>
            <w:tcW w:type="dxa" w:w="4283"/>
            <w:tcBorders>
              <w:top w:val="single" w:sz="4" w:color="D9D9D9"/>
              <w:left w:val="single" w:sz="4" w:color="D9D9D9"/>
              <w:bottom w:val="single" w:sz="4" w:color="D9D9D9"/>
              <w:right w:val="single" w:sz="4" w:color="D9D9D9"/>
            </w:tcBorders>
          </w:tcPr>
          <w:p>
            <w:pPr>
              <w:spacing w:line="240" w:lineRule="auto" w:after="80" w:before="80"/>
            </w:pPr>
            <w:r>
              <w:rPr>
                <w:b w:val="0"/>
                <w:sz w:val="20"/>
              </w:rPr>
              <w:t>Optimistic point (35 min)</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205</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3.053</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1.657</w:t>
            </w:r>
          </w:p>
        </w:tc>
      </w:tr>
      <w:tr>
        <w:trPr>
          <w:cantSplit/>
        </w:trPr>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all</w:t>
            </w:r>
          </w:p>
        </w:tc>
        <w:tc>
          <w:tcPr>
            <w:tcW w:type="dxa" w:w="4283"/>
            <w:tcBorders>
              <w:top w:val="single" w:sz="4" w:color="D9D9D9"/>
              <w:left w:val="single" w:sz="4" w:color="D9D9D9"/>
              <w:bottom w:val="single" w:sz="4" w:color="D9D9D9"/>
              <w:right w:val="single" w:sz="4" w:color="D9D9D9"/>
            </w:tcBorders>
          </w:tcPr>
          <w:p>
            <w:pPr>
              <w:spacing w:line="240" w:lineRule="auto" w:after="80" w:before="80"/>
            </w:pPr>
            <w:r>
              <w:rPr>
                <w:b w:val="0"/>
                <w:sz w:val="20"/>
              </w:rPr>
              <w:t>Accurate point (45 min)</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201</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4.527</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1.509</w:t>
            </w:r>
          </w:p>
        </w:tc>
      </w:tr>
      <w:tr>
        <w:trPr>
          <w:cantSplit/>
        </w:trPr>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all</w:t>
            </w:r>
          </w:p>
        </w:tc>
        <w:tc>
          <w:tcPr>
            <w:tcW w:type="dxa" w:w="4283"/>
            <w:tcBorders>
              <w:top w:val="single" w:sz="4" w:color="D9D9D9"/>
              <w:left w:val="single" w:sz="4" w:color="D9D9D9"/>
              <w:bottom w:val="single" w:sz="4" w:color="D9D9D9"/>
              <w:right w:val="single" w:sz="4" w:color="D9D9D9"/>
            </w:tcBorders>
          </w:tcPr>
          <w:p>
            <w:pPr>
              <w:spacing w:line="240" w:lineRule="auto" w:after="80" w:before="80"/>
            </w:pPr>
            <w:r>
              <w:rPr>
                <w:b w:val="0"/>
                <w:sz w:val="20"/>
              </w:rPr>
              <w:t>Conservative point (55 min)</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192</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4.729</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1.413</w:t>
            </w:r>
          </w:p>
        </w:tc>
      </w:tr>
      <w:tr>
        <w:trPr>
          <w:cantSplit/>
        </w:trPr>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all</w:t>
            </w:r>
          </w:p>
        </w:tc>
        <w:tc>
          <w:tcPr>
            <w:tcW w:type="dxa" w:w="4283"/>
            <w:tcBorders>
              <w:top w:val="single" w:sz="4" w:color="D9D9D9"/>
              <w:left w:val="single" w:sz="4" w:color="D9D9D9"/>
              <w:bottom w:val="single" w:sz="4" w:color="D9D9D9"/>
              <w:right w:val="single" w:sz="4" w:color="D9D9D9"/>
            </w:tcBorders>
          </w:tcPr>
          <w:p>
            <w:pPr>
              <w:spacing w:line="240" w:lineRule="auto" w:after="80" w:before="80"/>
            </w:pPr>
            <w:r>
              <w:rPr>
                <w:b w:val="0"/>
                <w:sz w:val="20"/>
              </w:rPr>
              <w:t>Range (35–55 min)</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203</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5.395</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1.096</w:t>
            </w:r>
          </w:p>
        </w:tc>
      </w:tr>
    </w:tbl>
    <w:p>
      <w:pPr>
        <w:spacing w:after="40"/>
      </w:pPr>
    </w:p>
    <w:p>
      <w:pPr>
        <w:spacing w:line="264" w:lineRule="auto"/>
      </w:pPr>
      <w:r>
        <w:rPr>
          <w:i w:val="0"/>
          <w:sz w:val="20"/>
        </w:rPr>
        <w:t>All displayed means and standard deviations match the corresponding published table at two decimals. Complete original estimates remain in the study-specific replication notebooks.</w:t>
      </w:r>
    </w:p>
    <w:p>
      <w:r>
        <w:br w:type="page"/>
      </w:r>
    </w:p>
    <w:p>
      <w:pPr>
        <w:pStyle w:val="Heading1"/>
      </w:pPr>
      <w:r>
        <w:t>A4 Reproduction of published Table 5 Study 8</w:t>
      </w:r>
    </w:p>
    <w:tbl>
      <w:tblPr>
        <w:tblW w:type="auto" w:w="0"/>
        <w:tblLayout w:type="fixed"/>
        <w:tblLook w:firstColumn="1" w:firstRow="1" w:lastColumn="0" w:lastRow="0" w:noHBand="0" w:noVBand="1" w:val="04A0"/>
      </w:tblPr>
      <w:tblGrid>
        <w:gridCol w:w="1498"/>
        <w:gridCol w:w="3370"/>
        <w:gridCol w:w="1498"/>
        <w:gridCol w:w="1498"/>
        <w:gridCol w:w="1498"/>
      </w:tblGrid>
      <w:tr>
        <w:trPr>
          <w:cantSplit/>
          <w:tblHeader/>
        </w:trPr>
        <w:tc>
          <w:tcPr>
            <w:tcW w:type="dxa" w:w="1498"/>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Sample</w:t>
            </w:r>
          </w:p>
        </w:tc>
        <w:tc>
          <w:tcPr>
            <w:tcW w:type="dxa" w:w="3370"/>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Estimate</w:t>
            </w:r>
          </w:p>
        </w:tc>
        <w:tc>
          <w:tcPr>
            <w:tcW w:type="dxa" w:w="1498"/>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N</w:t>
            </w:r>
          </w:p>
        </w:tc>
        <w:tc>
          <w:tcPr>
            <w:tcW w:type="dxa" w:w="1498"/>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Mean</w:t>
            </w:r>
          </w:p>
        </w:tc>
        <w:tc>
          <w:tcPr>
            <w:tcW w:type="dxa" w:w="1498"/>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SD</w:t>
            </w:r>
          </w:p>
        </w:tc>
      </w:tr>
      <w:tr>
        <w:trPr>
          <w:cantSplit/>
        </w:trPr>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all</w:t>
            </w:r>
          </w:p>
        </w:tc>
        <w:tc>
          <w:tcPr>
            <w:tcW w:type="dxa" w:w="3370"/>
            <w:tcBorders>
              <w:top w:val="single" w:sz="4" w:color="D9D9D9"/>
              <w:left w:val="single" w:sz="4" w:color="D9D9D9"/>
              <w:bottom w:val="single" w:sz="4" w:color="D9D9D9"/>
              <w:right w:val="single" w:sz="4" w:color="D9D9D9"/>
            </w:tcBorders>
          </w:tcPr>
          <w:p>
            <w:pPr>
              <w:spacing w:line="240" w:lineRule="auto" w:after="80" w:before="80"/>
            </w:pPr>
            <w:r>
              <w:rPr>
                <w:b w:val="0"/>
                <w:sz w:val="20"/>
              </w:rPr>
              <w:t>Accurate point</w:t>
            </w:r>
          </w:p>
        </w:tc>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292</w:t>
            </w:r>
          </w:p>
        </w:tc>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5.188</w:t>
            </w:r>
          </w:p>
        </w:tc>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1.155</w:t>
            </w:r>
          </w:p>
        </w:tc>
      </w:tr>
      <w:tr>
        <w:trPr>
          <w:cantSplit/>
        </w:trPr>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all</w:t>
            </w:r>
          </w:p>
        </w:tc>
        <w:tc>
          <w:tcPr>
            <w:tcW w:type="dxa" w:w="3370"/>
            <w:tcBorders>
              <w:top w:val="single" w:sz="4" w:color="D9D9D9"/>
              <w:left w:val="single" w:sz="4" w:color="D9D9D9"/>
              <w:bottom w:val="single" w:sz="4" w:color="D9D9D9"/>
              <w:right w:val="single" w:sz="4" w:color="D9D9D9"/>
            </w:tcBorders>
          </w:tcPr>
          <w:p>
            <w:pPr>
              <w:spacing w:line="240" w:lineRule="auto" w:after="80" w:before="80"/>
            </w:pPr>
            <w:r>
              <w:rPr>
                <w:b w:val="0"/>
                <w:sz w:val="20"/>
              </w:rPr>
              <w:t>Conservative point</w:t>
            </w:r>
          </w:p>
        </w:tc>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299</w:t>
            </w:r>
          </w:p>
        </w:tc>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4.822</w:t>
            </w:r>
          </w:p>
        </w:tc>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1.280</w:t>
            </w:r>
          </w:p>
        </w:tc>
      </w:tr>
      <w:tr>
        <w:trPr>
          <w:cantSplit/>
        </w:trPr>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all</w:t>
            </w:r>
          </w:p>
        </w:tc>
        <w:tc>
          <w:tcPr>
            <w:tcW w:type="dxa" w:w="3370"/>
            <w:tcBorders>
              <w:top w:val="single" w:sz="4" w:color="D9D9D9"/>
              <w:left w:val="single" w:sz="4" w:color="D9D9D9"/>
              <w:bottom w:val="single" w:sz="4" w:color="D9D9D9"/>
              <w:right w:val="single" w:sz="4" w:color="D9D9D9"/>
            </w:tcBorders>
          </w:tcPr>
          <w:p>
            <w:pPr>
              <w:spacing w:line="240" w:lineRule="auto" w:after="80" w:before="80"/>
            </w:pPr>
            <w:r>
              <w:rPr>
                <w:b w:val="0"/>
                <w:sz w:val="20"/>
              </w:rPr>
              <w:t>Range</w:t>
            </w:r>
          </w:p>
        </w:tc>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297</w:t>
            </w:r>
          </w:p>
        </w:tc>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5.576</w:t>
            </w:r>
          </w:p>
        </w:tc>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1.006</w:t>
            </w:r>
          </w:p>
        </w:tc>
      </w:tr>
      <w:tr>
        <w:trPr>
          <w:cantSplit/>
        </w:trPr>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short</w:t>
            </w:r>
          </w:p>
        </w:tc>
        <w:tc>
          <w:tcPr>
            <w:tcW w:type="dxa" w:w="3370"/>
            <w:tcBorders>
              <w:top w:val="single" w:sz="4" w:color="D9D9D9"/>
              <w:left w:val="single" w:sz="4" w:color="D9D9D9"/>
              <w:bottom w:val="single" w:sz="4" w:color="D9D9D9"/>
              <w:right w:val="single" w:sz="4" w:color="D9D9D9"/>
            </w:tcBorders>
          </w:tcPr>
          <w:p>
            <w:pPr>
              <w:spacing w:line="240" w:lineRule="auto" w:after="80" w:before="80"/>
            </w:pPr>
            <w:r>
              <w:rPr>
                <w:b w:val="0"/>
                <w:sz w:val="20"/>
              </w:rPr>
              <w:t>Accurate point</w:t>
            </w:r>
          </w:p>
        </w:tc>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148</w:t>
            </w:r>
          </w:p>
        </w:tc>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5.126</w:t>
            </w:r>
          </w:p>
        </w:tc>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1.210</w:t>
            </w:r>
          </w:p>
        </w:tc>
      </w:tr>
      <w:tr>
        <w:trPr>
          <w:cantSplit/>
        </w:trPr>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short</w:t>
            </w:r>
          </w:p>
        </w:tc>
        <w:tc>
          <w:tcPr>
            <w:tcW w:type="dxa" w:w="3370"/>
            <w:tcBorders>
              <w:top w:val="single" w:sz="4" w:color="D9D9D9"/>
              <w:left w:val="single" w:sz="4" w:color="D9D9D9"/>
              <w:bottom w:val="single" w:sz="4" w:color="D9D9D9"/>
              <w:right w:val="single" w:sz="4" w:color="D9D9D9"/>
            </w:tcBorders>
          </w:tcPr>
          <w:p>
            <w:pPr>
              <w:spacing w:line="240" w:lineRule="auto" w:after="80" w:before="80"/>
            </w:pPr>
            <w:r>
              <w:rPr>
                <w:b w:val="0"/>
                <w:sz w:val="20"/>
              </w:rPr>
              <w:t>Conservative point</w:t>
            </w:r>
          </w:p>
        </w:tc>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151</w:t>
            </w:r>
          </w:p>
        </w:tc>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4.825</w:t>
            </w:r>
          </w:p>
        </w:tc>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1.328</w:t>
            </w:r>
          </w:p>
        </w:tc>
      </w:tr>
      <w:tr>
        <w:trPr>
          <w:cantSplit/>
        </w:trPr>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short</w:t>
            </w:r>
          </w:p>
        </w:tc>
        <w:tc>
          <w:tcPr>
            <w:tcW w:type="dxa" w:w="3370"/>
            <w:tcBorders>
              <w:top w:val="single" w:sz="4" w:color="D9D9D9"/>
              <w:left w:val="single" w:sz="4" w:color="D9D9D9"/>
              <w:bottom w:val="single" w:sz="4" w:color="D9D9D9"/>
              <w:right w:val="single" w:sz="4" w:color="D9D9D9"/>
            </w:tcBorders>
          </w:tcPr>
          <w:p>
            <w:pPr>
              <w:spacing w:line="240" w:lineRule="auto" w:after="80" w:before="80"/>
            </w:pPr>
            <w:r>
              <w:rPr>
                <w:b w:val="0"/>
                <w:sz w:val="20"/>
              </w:rPr>
              <w:t>Range</w:t>
            </w:r>
          </w:p>
        </w:tc>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146</w:t>
            </w:r>
          </w:p>
        </w:tc>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5.658</w:t>
            </w:r>
          </w:p>
        </w:tc>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0.975</w:t>
            </w:r>
          </w:p>
        </w:tc>
      </w:tr>
      <w:tr>
        <w:trPr>
          <w:cantSplit/>
        </w:trPr>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long</w:t>
            </w:r>
          </w:p>
        </w:tc>
        <w:tc>
          <w:tcPr>
            <w:tcW w:type="dxa" w:w="3370"/>
            <w:tcBorders>
              <w:top w:val="single" w:sz="4" w:color="D9D9D9"/>
              <w:left w:val="single" w:sz="4" w:color="D9D9D9"/>
              <w:bottom w:val="single" w:sz="4" w:color="D9D9D9"/>
              <w:right w:val="single" w:sz="4" w:color="D9D9D9"/>
            </w:tcBorders>
          </w:tcPr>
          <w:p>
            <w:pPr>
              <w:spacing w:line="240" w:lineRule="auto" w:after="80" w:before="80"/>
            </w:pPr>
            <w:r>
              <w:rPr>
                <w:b w:val="0"/>
                <w:sz w:val="20"/>
              </w:rPr>
              <w:t>Accurate point</w:t>
            </w:r>
          </w:p>
        </w:tc>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144</w:t>
            </w:r>
          </w:p>
        </w:tc>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5.253</w:t>
            </w:r>
          </w:p>
        </w:tc>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1.095</w:t>
            </w:r>
          </w:p>
        </w:tc>
      </w:tr>
      <w:tr>
        <w:trPr>
          <w:cantSplit/>
        </w:trPr>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long</w:t>
            </w:r>
          </w:p>
        </w:tc>
        <w:tc>
          <w:tcPr>
            <w:tcW w:type="dxa" w:w="3370"/>
            <w:tcBorders>
              <w:top w:val="single" w:sz="4" w:color="D9D9D9"/>
              <w:left w:val="single" w:sz="4" w:color="D9D9D9"/>
              <w:bottom w:val="single" w:sz="4" w:color="D9D9D9"/>
              <w:right w:val="single" w:sz="4" w:color="D9D9D9"/>
            </w:tcBorders>
          </w:tcPr>
          <w:p>
            <w:pPr>
              <w:spacing w:line="240" w:lineRule="auto" w:after="80" w:before="80"/>
            </w:pPr>
            <w:r>
              <w:rPr>
                <w:b w:val="0"/>
                <w:sz w:val="20"/>
              </w:rPr>
              <w:t>Conservative point</w:t>
            </w:r>
          </w:p>
        </w:tc>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148</w:t>
            </w:r>
          </w:p>
        </w:tc>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4.819</w:t>
            </w:r>
          </w:p>
        </w:tc>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1.235</w:t>
            </w:r>
          </w:p>
        </w:tc>
      </w:tr>
      <w:tr>
        <w:trPr>
          <w:cantSplit/>
        </w:trPr>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long</w:t>
            </w:r>
          </w:p>
        </w:tc>
        <w:tc>
          <w:tcPr>
            <w:tcW w:type="dxa" w:w="3370"/>
            <w:tcBorders>
              <w:top w:val="single" w:sz="4" w:color="D9D9D9"/>
              <w:left w:val="single" w:sz="4" w:color="D9D9D9"/>
              <w:bottom w:val="single" w:sz="4" w:color="D9D9D9"/>
              <w:right w:val="single" w:sz="4" w:color="D9D9D9"/>
            </w:tcBorders>
          </w:tcPr>
          <w:p>
            <w:pPr>
              <w:spacing w:line="240" w:lineRule="auto" w:after="80" w:before="80"/>
            </w:pPr>
            <w:r>
              <w:rPr>
                <w:b w:val="0"/>
                <w:sz w:val="20"/>
              </w:rPr>
              <w:t>Range</w:t>
            </w:r>
          </w:p>
        </w:tc>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151</w:t>
            </w:r>
          </w:p>
        </w:tc>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5.498</w:t>
            </w:r>
          </w:p>
        </w:tc>
        <w:tc>
          <w:tcPr>
            <w:tcW w:type="dxa" w:w="1498"/>
            <w:tcBorders>
              <w:top w:val="single" w:sz="4" w:color="D9D9D9"/>
              <w:left w:val="single" w:sz="4" w:color="D9D9D9"/>
              <w:bottom w:val="single" w:sz="4" w:color="D9D9D9"/>
              <w:right w:val="single" w:sz="4" w:color="D9D9D9"/>
            </w:tcBorders>
          </w:tcPr>
          <w:p>
            <w:pPr>
              <w:spacing w:line="240" w:lineRule="auto" w:after="80" w:before="80"/>
            </w:pPr>
            <w:r>
              <w:rPr>
                <w:b w:val="0"/>
                <w:sz w:val="20"/>
              </w:rPr>
              <w:t>1.032</w:t>
            </w:r>
          </w:p>
        </w:tc>
      </w:tr>
    </w:tbl>
    <w:p>
      <w:pPr>
        <w:spacing w:after="40"/>
      </w:pPr>
    </w:p>
    <w:p>
      <w:pPr>
        <w:spacing w:line="264" w:lineRule="auto"/>
      </w:pPr>
      <w:r>
        <w:rPr>
          <w:i w:val="0"/>
          <w:sz w:val="20"/>
        </w:rPr>
        <w:t>All displayed means and standard deviations match the corresponding published table at two decimals. Complete original estimates remain in the study-specific replication notebooks.</w:t>
      </w:r>
    </w:p>
    <w:p>
      <w:r>
        <w:br w:type="page"/>
      </w:r>
    </w:p>
    <w:p>
      <w:pPr>
        <w:pStyle w:val="Heading1"/>
      </w:pPr>
      <w:r>
        <w:t>Figure A1 Reproduction of Figure 7</w:t>
      </w:r>
    </w:p>
    <w:p>
      <w:r>
        <w:rPr>
          <w:i w:val="0"/>
        </w:rPr>
        <w:t>Study 7 satisfaction means by estimate format and location. Error bars are within-condition Student-t 95% confidence intervals. The figure reproduces the statistical content using a new visual style. N = 998.</w:t>
      </w:r>
    </w:p>
    <w:p>
      <w:r>
        <w:drawing>
          <wp:inline xmlns:a="http://schemas.openxmlformats.org/drawingml/2006/main" xmlns:pic="http://schemas.openxmlformats.org/drawingml/2006/picture">
            <wp:extent cx="5943600" cy="3845859"/>
            <wp:docPr id="1" name="Picture 1"/>
            <wp:cNvGraphicFramePr>
              <a:graphicFrameLocks noChangeAspect="1"/>
            </wp:cNvGraphicFramePr>
            <a:graphic>
              <a:graphicData uri="http://schemas.openxmlformats.org/drawingml/2006/picture">
                <pic:pic>
                  <pic:nvPicPr>
                    <pic:cNvPr id="0" name="original_study7.png"/>
                    <pic:cNvPicPr/>
                  </pic:nvPicPr>
                  <pic:blipFill>
                    <a:blip r:embed="rId10"/>
                    <a:stretch>
                      <a:fillRect/>
                    </a:stretch>
                  </pic:blipFill>
                  <pic:spPr>
                    <a:xfrm>
                      <a:off x="0" y="0"/>
                      <a:ext cx="5943600" cy="3845859"/>
                    </a:xfrm>
                    <a:prstGeom prst="rect"/>
                  </pic:spPr>
                </pic:pic>
              </a:graphicData>
            </a:graphic>
          </wp:inline>
        </w:drawing>
      </w:r>
    </w:p>
    <w:p>
      <w:r>
        <w:br w:type="page"/>
      </w:r>
    </w:p>
    <w:p>
      <w:pPr>
        <w:pStyle w:val="Heading1"/>
      </w:pPr>
      <w:r>
        <w:t>B1 Study 2 item descriptives</w:t>
      </w:r>
    </w:p>
    <w:tbl>
      <w:tblPr>
        <w:tblW w:type="auto" w:w="0"/>
        <w:tblLayout w:type="fixed"/>
        <w:tblLook w:firstColumn="1" w:firstRow="1" w:lastColumn="0" w:lastRow="0" w:noHBand="0" w:noVBand="1" w:val="04A0"/>
      </w:tblPr>
      <w:tblGrid>
        <w:gridCol w:w="2407"/>
        <w:gridCol w:w="1872"/>
        <w:gridCol w:w="1070"/>
        <w:gridCol w:w="1070"/>
        <w:gridCol w:w="1070"/>
        <w:gridCol w:w="1872"/>
      </w:tblGrid>
      <w:tr>
        <w:trPr>
          <w:cantSplit/>
          <w:tblHeader/>
        </w:trPr>
        <w:tc>
          <w:tcPr>
            <w:tcW w:type="dxa" w:w="2407"/>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Outcome</w:t>
            </w:r>
          </w:p>
        </w:tc>
        <w:tc>
          <w:tcPr>
            <w:tcW w:type="dxa" w:w="1872"/>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Condition</w:t>
            </w:r>
          </w:p>
        </w:tc>
        <w:tc>
          <w:tcPr>
            <w:tcW w:type="dxa" w:w="1070"/>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N</w:t>
            </w:r>
          </w:p>
        </w:tc>
        <w:tc>
          <w:tcPr>
            <w:tcW w:type="dxa" w:w="1070"/>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Mean</w:t>
            </w:r>
          </w:p>
        </w:tc>
        <w:tc>
          <w:tcPr>
            <w:tcW w:type="dxa" w:w="1070"/>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SD</w:t>
            </w:r>
          </w:p>
        </w:tc>
        <w:tc>
          <w:tcPr>
            <w:tcW w:type="dxa" w:w="1872"/>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95% CI</w:t>
            </w:r>
          </w:p>
        </w:tc>
      </w:tr>
      <w:tr>
        <w:trPr>
          <w:cantSplit/>
        </w:trPr>
        <w:tc>
          <w:tcPr>
            <w:tcW w:type="dxa" w:w="2407"/>
            <w:tcBorders>
              <w:top w:val="single" w:sz="4" w:color="D9D9D9"/>
              <w:left w:val="single" w:sz="4" w:color="D9D9D9"/>
              <w:bottom w:val="single" w:sz="4" w:color="D9D9D9"/>
              <w:right w:val="single" w:sz="4" w:color="D9D9D9"/>
            </w:tcBorders>
          </w:tcPr>
          <w:p>
            <w:pPr>
              <w:spacing w:line="240" w:lineRule="auto" w:after="80" w:before="80"/>
            </w:pPr>
            <w:r>
              <w:rPr>
                <w:b w:val="0"/>
                <w:sz w:val="20"/>
              </w:rPr>
              <w:t>Trust</w:t>
            </w:r>
          </w:p>
        </w:tc>
        <w:tc>
          <w:tcPr>
            <w:tcW w:type="dxa" w:w="1872"/>
            <w:tcBorders>
              <w:top w:val="single" w:sz="4" w:color="D9D9D9"/>
              <w:left w:val="single" w:sz="4" w:color="D9D9D9"/>
              <w:bottom w:val="single" w:sz="4" w:color="D9D9D9"/>
              <w:right w:val="single" w:sz="4" w:color="D9D9D9"/>
            </w:tcBorders>
          </w:tcPr>
          <w:p>
            <w:pPr>
              <w:spacing w:line="240" w:lineRule="auto" w:after="80" w:before="80"/>
            </w:pPr>
            <w:r>
              <w:rPr>
                <w:b w:val="0"/>
                <w:sz w:val="20"/>
              </w:rPr>
              <w:t>Point</w:t>
            </w:r>
          </w:p>
        </w:tc>
        <w:tc>
          <w:tcPr>
            <w:tcW w:type="dxa" w:w="1070"/>
            <w:tcBorders>
              <w:top w:val="single" w:sz="4" w:color="D9D9D9"/>
              <w:left w:val="single" w:sz="4" w:color="D9D9D9"/>
              <w:bottom w:val="single" w:sz="4" w:color="D9D9D9"/>
              <w:right w:val="single" w:sz="4" w:color="D9D9D9"/>
            </w:tcBorders>
          </w:tcPr>
          <w:p>
            <w:pPr>
              <w:spacing w:line="240" w:lineRule="auto" w:after="80" w:before="80"/>
            </w:pPr>
            <w:r>
              <w:rPr>
                <w:b w:val="0"/>
                <w:sz w:val="20"/>
              </w:rPr>
              <w:t>196</w:t>
            </w:r>
          </w:p>
        </w:tc>
        <w:tc>
          <w:tcPr>
            <w:tcW w:type="dxa" w:w="1070"/>
            <w:tcBorders>
              <w:top w:val="single" w:sz="4" w:color="D9D9D9"/>
              <w:left w:val="single" w:sz="4" w:color="D9D9D9"/>
              <w:bottom w:val="single" w:sz="4" w:color="D9D9D9"/>
              <w:right w:val="single" w:sz="4" w:color="D9D9D9"/>
            </w:tcBorders>
          </w:tcPr>
          <w:p>
            <w:pPr>
              <w:spacing w:line="240" w:lineRule="auto" w:after="80" w:before="80"/>
            </w:pPr>
            <w:r>
              <w:rPr>
                <w:b w:val="0"/>
                <w:sz w:val="20"/>
              </w:rPr>
              <w:t>4.444</w:t>
            </w:r>
          </w:p>
        </w:tc>
        <w:tc>
          <w:tcPr>
            <w:tcW w:type="dxa" w:w="1070"/>
            <w:tcBorders>
              <w:top w:val="single" w:sz="4" w:color="D9D9D9"/>
              <w:left w:val="single" w:sz="4" w:color="D9D9D9"/>
              <w:bottom w:val="single" w:sz="4" w:color="D9D9D9"/>
              <w:right w:val="single" w:sz="4" w:color="D9D9D9"/>
            </w:tcBorders>
          </w:tcPr>
          <w:p>
            <w:pPr>
              <w:spacing w:line="240" w:lineRule="auto" w:after="80" w:before="80"/>
            </w:pPr>
            <w:r>
              <w:rPr>
                <w:b w:val="0"/>
                <w:sz w:val="20"/>
              </w:rPr>
              <w:t>1.506</w:t>
            </w:r>
          </w:p>
        </w:tc>
        <w:tc>
          <w:tcPr>
            <w:tcW w:type="dxa" w:w="1872"/>
            <w:tcBorders>
              <w:top w:val="single" w:sz="4" w:color="D9D9D9"/>
              <w:left w:val="single" w:sz="4" w:color="D9D9D9"/>
              <w:bottom w:val="single" w:sz="4" w:color="D9D9D9"/>
              <w:right w:val="single" w:sz="4" w:color="D9D9D9"/>
            </w:tcBorders>
          </w:tcPr>
          <w:p>
            <w:pPr>
              <w:spacing w:line="240" w:lineRule="auto" w:after="80" w:before="80"/>
            </w:pPr>
            <w:r>
              <w:rPr>
                <w:b w:val="0"/>
                <w:sz w:val="20"/>
              </w:rPr>
              <w:t>[4.232, 4.656]</w:t>
            </w:r>
          </w:p>
        </w:tc>
      </w:tr>
      <w:tr>
        <w:trPr>
          <w:cantSplit/>
        </w:trPr>
        <w:tc>
          <w:tcPr>
            <w:tcW w:type="dxa" w:w="2407"/>
            <w:tcBorders>
              <w:top w:val="single" w:sz="4" w:color="D9D9D9"/>
              <w:left w:val="single" w:sz="4" w:color="D9D9D9"/>
              <w:bottom w:val="single" w:sz="4" w:color="D9D9D9"/>
              <w:right w:val="single" w:sz="4" w:color="D9D9D9"/>
            </w:tcBorders>
          </w:tcPr>
          <w:p>
            <w:pPr>
              <w:spacing w:line="240" w:lineRule="auto" w:after="80" w:before="80"/>
            </w:pPr>
            <w:r>
              <w:rPr>
                <w:b w:val="0"/>
                <w:sz w:val="20"/>
              </w:rPr>
              <w:t>Trust</w:t>
            </w:r>
          </w:p>
        </w:tc>
        <w:tc>
          <w:tcPr>
            <w:tcW w:type="dxa" w:w="1872"/>
            <w:tcBorders>
              <w:top w:val="single" w:sz="4" w:color="D9D9D9"/>
              <w:left w:val="single" w:sz="4" w:color="D9D9D9"/>
              <w:bottom w:val="single" w:sz="4" w:color="D9D9D9"/>
              <w:right w:val="single" w:sz="4" w:color="D9D9D9"/>
            </w:tcBorders>
          </w:tcPr>
          <w:p>
            <w:pPr>
              <w:spacing w:line="240" w:lineRule="auto" w:after="80" w:before="80"/>
            </w:pPr>
            <w:r>
              <w:rPr>
                <w:b w:val="0"/>
                <w:sz w:val="20"/>
              </w:rPr>
              <w:t>Moderate range</w:t>
            </w:r>
          </w:p>
        </w:tc>
        <w:tc>
          <w:tcPr>
            <w:tcW w:type="dxa" w:w="1070"/>
            <w:tcBorders>
              <w:top w:val="single" w:sz="4" w:color="D9D9D9"/>
              <w:left w:val="single" w:sz="4" w:color="D9D9D9"/>
              <w:bottom w:val="single" w:sz="4" w:color="D9D9D9"/>
              <w:right w:val="single" w:sz="4" w:color="D9D9D9"/>
            </w:tcBorders>
          </w:tcPr>
          <w:p>
            <w:pPr>
              <w:spacing w:line="240" w:lineRule="auto" w:after="80" w:before="80"/>
            </w:pPr>
            <w:r>
              <w:rPr>
                <w:b w:val="0"/>
                <w:sz w:val="20"/>
              </w:rPr>
              <w:t>206</w:t>
            </w:r>
          </w:p>
        </w:tc>
        <w:tc>
          <w:tcPr>
            <w:tcW w:type="dxa" w:w="1070"/>
            <w:tcBorders>
              <w:top w:val="single" w:sz="4" w:color="D9D9D9"/>
              <w:left w:val="single" w:sz="4" w:color="D9D9D9"/>
              <w:bottom w:val="single" w:sz="4" w:color="D9D9D9"/>
              <w:right w:val="single" w:sz="4" w:color="D9D9D9"/>
            </w:tcBorders>
          </w:tcPr>
          <w:p>
            <w:pPr>
              <w:spacing w:line="240" w:lineRule="auto" w:after="80" w:before="80"/>
            </w:pPr>
            <w:r>
              <w:rPr>
                <w:b w:val="0"/>
                <w:sz w:val="20"/>
              </w:rPr>
              <w:t>5.121</w:t>
            </w:r>
          </w:p>
        </w:tc>
        <w:tc>
          <w:tcPr>
            <w:tcW w:type="dxa" w:w="1070"/>
            <w:tcBorders>
              <w:top w:val="single" w:sz="4" w:color="D9D9D9"/>
              <w:left w:val="single" w:sz="4" w:color="D9D9D9"/>
              <w:bottom w:val="single" w:sz="4" w:color="D9D9D9"/>
              <w:right w:val="single" w:sz="4" w:color="D9D9D9"/>
            </w:tcBorders>
          </w:tcPr>
          <w:p>
            <w:pPr>
              <w:spacing w:line="240" w:lineRule="auto" w:after="80" w:before="80"/>
            </w:pPr>
            <w:r>
              <w:rPr>
                <w:b w:val="0"/>
                <w:sz w:val="20"/>
              </w:rPr>
              <w:t>1.310</w:t>
            </w:r>
          </w:p>
        </w:tc>
        <w:tc>
          <w:tcPr>
            <w:tcW w:type="dxa" w:w="1872"/>
            <w:tcBorders>
              <w:top w:val="single" w:sz="4" w:color="D9D9D9"/>
              <w:left w:val="single" w:sz="4" w:color="D9D9D9"/>
              <w:bottom w:val="single" w:sz="4" w:color="D9D9D9"/>
              <w:right w:val="single" w:sz="4" w:color="D9D9D9"/>
            </w:tcBorders>
          </w:tcPr>
          <w:p>
            <w:pPr>
              <w:spacing w:line="240" w:lineRule="auto" w:after="80" w:before="80"/>
            </w:pPr>
            <w:r>
              <w:rPr>
                <w:b w:val="0"/>
                <w:sz w:val="20"/>
              </w:rPr>
              <w:t>[4.941, 5.301]</w:t>
            </w:r>
          </w:p>
        </w:tc>
      </w:tr>
      <w:tr>
        <w:trPr>
          <w:cantSplit/>
        </w:trPr>
        <w:tc>
          <w:tcPr>
            <w:tcW w:type="dxa" w:w="2407"/>
            <w:tcBorders>
              <w:top w:val="single" w:sz="4" w:color="D9D9D9"/>
              <w:left w:val="single" w:sz="4" w:color="D9D9D9"/>
              <w:bottom w:val="single" w:sz="4" w:color="D9D9D9"/>
              <w:right w:val="single" w:sz="4" w:color="D9D9D9"/>
            </w:tcBorders>
          </w:tcPr>
          <w:p>
            <w:pPr>
              <w:spacing w:line="240" w:lineRule="auto" w:after="80" w:before="80"/>
            </w:pPr>
            <w:r>
              <w:rPr>
                <w:b w:val="0"/>
                <w:sz w:val="20"/>
              </w:rPr>
              <w:t>Trust</w:t>
            </w:r>
          </w:p>
        </w:tc>
        <w:tc>
          <w:tcPr>
            <w:tcW w:type="dxa" w:w="1872"/>
            <w:tcBorders>
              <w:top w:val="single" w:sz="4" w:color="D9D9D9"/>
              <w:left w:val="single" w:sz="4" w:color="D9D9D9"/>
              <w:bottom w:val="single" w:sz="4" w:color="D9D9D9"/>
              <w:right w:val="single" w:sz="4" w:color="D9D9D9"/>
            </w:tcBorders>
          </w:tcPr>
          <w:p>
            <w:pPr>
              <w:spacing w:line="240" w:lineRule="auto" w:after="80" w:before="80"/>
            </w:pPr>
            <w:r>
              <w:rPr>
                <w:b w:val="0"/>
                <w:sz w:val="20"/>
              </w:rPr>
              <w:t>Wide range</w:t>
            </w:r>
          </w:p>
        </w:tc>
        <w:tc>
          <w:tcPr>
            <w:tcW w:type="dxa" w:w="1070"/>
            <w:tcBorders>
              <w:top w:val="single" w:sz="4" w:color="D9D9D9"/>
              <w:left w:val="single" w:sz="4" w:color="D9D9D9"/>
              <w:bottom w:val="single" w:sz="4" w:color="D9D9D9"/>
              <w:right w:val="single" w:sz="4" w:color="D9D9D9"/>
            </w:tcBorders>
          </w:tcPr>
          <w:p>
            <w:pPr>
              <w:spacing w:line="240" w:lineRule="auto" w:after="80" w:before="80"/>
            </w:pPr>
            <w:r>
              <w:rPr>
                <w:b w:val="0"/>
                <w:sz w:val="20"/>
              </w:rPr>
              <w:t>197</w:t>
            </w:r>
          </w:p>
        </w:tc>
        <w:tc>
          <w:tcPr>
            <w:tcW w:type="dxa" w:w="1070"/>
            <w:tcBorders>
              <w:top w:val="single" w:sz="4" w:color="D9D9D9"/>
              <w:left w:val="single" w:sz="4" w:color="D9D9D9"/>
              <w:bottom w:val="single" w:sz="4" w:color="D9D9D9"/>
              <w:right w:val="single" w:sz="4" w:color="D9D9D9"/>
            </w:tcBorders>
          </w:tcPr>
          <w:p>
            <w:pPr>
              <w:spacing w:line="240" w:lineRule="auto" w:after="80" w:before="80"/>
            </w:pPr>
            <w:r>
              <w:rPr>
                <w:b w:val="0"/>
                <w:sz w:val="20"/>
              </w:rPr>
              <w:t>4.609</w:t>
            </w:r>
          </w:p>
        </w:tc>
        <w:tc>
          <w:tcPr>
            <w:tcW w:type="dxa" w:w="1070"/>
            <w:tcBorders>
              <w:top w:val="single" w:sz="4" w:color="D9D9D9"/>
              <w:left w:val="single" w:sz="4" w:color="D9D9D9"/>
              <w:bottom w:val="single" w:sz="4" w:color="D9D9D9"/>
              <w:right w:val="single" w:sz="4" w:color="D9D9D9"/>
            </w:tcBorders>
          </w:tcPr>
          <w:p>
            <w:pPr>
              <w:spacing w:line="240" w:lineRule="auto" w:after="80" w:before="80"/>
            </w:pPr>
            <w:r>
              <w:rPr>
                <w:b w:val="0"/>
                <w:sz w:val="20"/>
              </w:rPr>
              <w:t>1.479</w:t>
            </w:r>
          </w:p>
        </w:tc>
        <w:tc>
          <w:tcPr>
            <w:tcW w:type="dxa" w:w="1872"/>
            <w:tcBorders>
              <w:top w:val="single" w:sz="4" w:color="D9D9D9"/>
              <w:left w:val="single" w:sz="4" w:color="D9D9D9"/>
              <w:bottom w:val="single" w:sz="4" w:color="D9D9D9"/>
              <w:right w:val="single" w:sz="4" w:color="D9D9D9"/>
            </w:tcBorders>
          </w:tcPr>
          <w:p>
            <w:pPr>
              <w:spacing w:line="240" w:lineRule="auto" w:after="80" w:before="80"/>
            </w:pPr>
            <w:r>
              <w:rPr>
                <w:b w:val="0"/>
                <w:sz w:val="20"/>
              </w:rPr>
              <w:t>[4.401, 4.817]</w:t>
            </w:r>
          </w:p>
        </w:tc>
      </w:tr>
      <w:tr>
        <w:trPr>
          <w:cantSplit/>
        </w:trPr>
        <w:tc>
          <w:tcPr>
            <w:tcW w:type="dxa" w:w="2407"/>
            <w:tcBorders>
              <w:top w:val="single" w:sz="4" w:color="D9D9D9"/>
              <w:left w:val="single" w:sz="4" w:color="D9D9D9"/>
              <w:bottom w:val="single" w:sz="4" w:color="D9D9D9"/>
              <w:right w:val="single" w:sz="4" w:color="D9D9D9"/>
            </w:tcBorders>
          </w:tcPr>
          <w:p>
            <w:pPr>
              <w:spacing w:line="240" w:lineRule="auto" w:after="80" w:before="80"/>
            </w:pPr>
            <w:r>
              <w:rPr>
                <w:b w:val="0"/>
                <w:sz w:val="20"/>
              </w:rPr>
              <w:t>Perceived accuracy</w:t>
            </w:r>
          </w:p>
        </w:tc>
        <w:tc>
          <w:tcPr>
            <w:tcW w:type="dxa" w:w="1872"/>
            <w:tcBorders>
              <w:top w:val="single" w:sz="4" w:color="D9D9D9"/>
              <w:left w:val="single" w:sz="4" w:color="D9D9D9"/>
              <w:bottom w:val="single" w:sz="4" w:color="D9D9D9"/>
              <w:right w:val="single" w:sz="4" w:color="D9D9D9"/>
            </w:tcBorders>
          </w:tcPr>
          <w:p>
            <w:pPr>
              <w:spacing w:line="240" w:lineRule="auto" w:after="80" w:before="80"/>
            </w:pPr>
            <w:r>
              <w:rPr>
                <w:b w:val="0"/>
                <w:sz w:val="20"/>
              </w:rPr>
              <w:t>Point</w:t>
            </w:r>
          </w:p>
        </w:tc>
        <w:tc>
          <w:tcPr>
            <w:tcW w:type="dxa" w:w="1070"/>
            <w:tcBorders>
              <w:top w:val="single" w:sz="4" w:color="D9D9D9"/>
              <w:left w:val="single" w:sz="4" w:color="D9D9D9"/>
              <w:bottom w:val="single" w:sz="4" w:color="D9D9D9"/>
              <w:right w:val="single" w:sz="4" w:color="D9D9D9"/>
            </w:tcBorders>
          </w:tcPr>
          <w:p>
            <w:pPr>
              <w:spacing w:line="240" w:lineRule="auto" w:after="80" w:before="80"/>
            </w:pPr>
            <w:r>
              <w:rPr>
                <w:b w:val="0"/>
                <w:sz w:val="20"/>
              </w:rPr>
              <w:t>196</w:t>
            </w:r>
          </w:p>
        </w:tc>
        <w:tc>
          <w:tcPr>
            <w:tcW w:type="dxa" w:w="1070"/>
            <w:tcBorders>
              <w:top w:val="single" w:sz="4" w:color="D9D9D9"/>
              <w:left w:val="single" w:sz="4" w:color="D9D9D9"/>
              <w:bottom w:val="single" w:sz="4" w:color="D9D9D9"/>
              <w:right w:val="single" w:sz="4" w:color="D9D9D9"/>
            </w:tcBorders>
          </w:tcPr>
          <w:p>
            <w:pPr>
              <w:spacing w:line="240" w:lineRule="auto" w:after="80" w:before="80"/>
            </w:pPr>
            <w:r>
              <w:rPr>
                <w:b w:val="0"/>
                <w:sz w:val="20"/>
              </w:rPr>
              <w:t>4.439</w:t>
            </w:r>
          </w:p>
        </w:tc>
        <w:tc>
          <w:tcPr>
            <w:tcW w:type="dxa" w:w="1070"/>
            <w:tcBorders>
              <w:top w:val="single" w:sz="4" w:color="D9D9D9"/>
              <w:left w:val="single" w:sz="4" w:color="D9D9D9"/>
              <w:bottom w:val="single" w:sz="4" w:color="D9D9D9"/>
              <w:right w:val="single" w:sz="4" w:color="D9D9D9"/>
            </w:tcBorders>
          </w:tcPr>
          <w:p>
            <w:pPr>
              <w:spacing w:line="240" w:lineRule="auto" w:after="80" w:before="80"/>
            </w:pPr>
            <w:r>
              <w:rPr>
                <w:b w:val="0"/>
                <w:sz w:val="20"/>
              </w:rPr>
              <w:t>1.472</w:t>
            </w:r>
          </w:p>
        </w:tc>
        <w:tc>
          <w:tcPr>
            <w:tcW w:type="dxa" w:w="1872"/>
            <w:tcBorders>
              <w:top w:val="single" w:sz="4" w:color="D9D9D9"/>
              <w:left w:val="single" w:sz="4" w:color="D9D9D9"/>
              <w:bottom w:val="single" w:sz="4" w:color="D9D9D9"/>
              <w:right w:val="single" w:sz="4" w:color="D9D9D9"/>
            </w:tcBorders>
          </w:tcPr>
          <w:p>
            <w:pPr>
              <w:spacing w:line="240" w:lineRule="auto" w:after="80" w:before="80"/>
            </w:pPr>
            <w:r>
              <w:rPr>
                <w:b w:val="0"/>
                <w:sz w:val="20"/>
              </w:rPr>
              <w:t>[4.231, 4.646]</w:t>
            </w:r>
          </w:p>
        </w:tc>
      </w:tr>
      <w:tr>
        <w:trPr>
          <w:cantSplit/>
        </w:trPr>
        <w:tc>
          <w:tcPr>
            <w:tcW w:type="dxa" w:w="2407"/>
            <w:tcBorders>
              <w:top w:val="single" w:sz="4" w:color="D9D9D9"/>
              <w:left w:val="single" w:sz="4" w:color="D9D9D9"/>
              <w:bottom w:val="single" w:sz="4" w:color="D9D9D9"/>
              <w:right w:val="single" w:sz="4" w:color="D9D9D9"/>
            </w:tcBorders>
          </w:tcPr>
          <w:p>
            <w:pPr>
              <w:spacing w:line="240" w:lineRule="auto" w:after="80" w:before="80"/>
            </w:pPr>
            <w:r>
              <w:rPr>
                <w:b w:val="0"/>
                <w:sz w:val="20"/>
              </w:rPr>
              <w:t>Perceived accuracy</w:t>
            </w:r>
          </w:p>
        </w:tc>
        <w:tc>
          <w:tcPr>
            <w:tcW w:type="dxa" w:w="1872"/>
            <w:tcBorders>
              <w:top w:val="single" w:sz="4" w:color="D9D9D9"/>
              <w:left w:val="single" w:sz="4" w:color="D9D9D9"/>
              <w:bottom w:val="single" w:sz="4" w:color="D9D9D9"/>
              <w:right w:val="single" w:sz="4" w:color="D9D9D9"/>
            </w:tcBorders>
          </w:tcPr>
          <w:p>
            <w:pPr>
              <w:spacing w:line="240" w:lineRule="auto" w:after="80" w:before="80"/>
            </w:pPr>
            <w:r>
              <w:rPr>
                <w:b w:val="0"/>
                <w:sz w:val="20"/>
              </w:rPr>
              <w:t>Moderate range</w:t>
            </w:r>
          </w:p>
        </w:tc>
        <w:tc>
          <w:tcPr>
            <w:tcW w:type="dxa" w:w="1070"/>
            <w:tcBorders>
              <w:top w:val="single" w:sz="4" w:color="D9D9D9"/>
              <w:left w:val="single" w:sz="4" w:color="D9D9D9"/>
              <w:bottom w:val="single" w:sz="4" w:color="D9D9D9"/>
              <w:right w:val="single" w:sz="4" w:color="D9D9D9"/>
            </w:tcBorders>
          </w:tcPr>
          <w:p>
            <w:pPr>
              <w:spacing w:line="240" w:lineRule="auto" w:after="80" w:before="80"/>
            </w:pPr>
            <w:r>
              <w:rPr>
                <w:b w:val="0"/>
                <w:sz w:val="20"/>
              </w:rPr>
              <w:t>206</w:t>
            </w:r>
          </w:p>
        </w:tc>
        <w:tc>
          <w:tcPr>
            <w:tcW w:type="dxa" w:w="1070"/>
            <w:tcBorders>
              <w:top w:val="single" w:sz="4" w:color="D9D9D9"/>
              <w:left w:val="single" w:sz="4" w:color="D9D9D9"/>
              <w:bottom w:val="single" w:sz="4" w:color="D9D9D9"/>
              <w:right w:val="single" w:sz="4" w:color="D9D9D9"/>
            </w:tcBorders>
          </w:tcPr>
          <w:p>
            <w:pPr>
              <w:spacing w:line="240" w:lineRule="auto" w:after="80" w:before="80"/>
            </w:pPr>
            <w:r>
              <w:rPr>
                <w:b w:val="0"/>
                <w:sz w:val="20"/>
              </w:rPr>
              <w:t>5.311</w:t>
            </w:r>
          </w:p>
        </w:tc>
        <w:tc>
          <w:tcPr>
            <w:tcW w:type="dxa" w:w="1070"/>
            <w:tcBorders>
              <w:top w:val="single" w:sz="4" w:color="D9D9D9"/>
              <w:left w:val="single" w:sz="4" w:color="D9D9D9"/>
              <w:bottom w:val="single" w:sz="4" w:color="D9D9D9"/>
              <w:right w:val="single" w:sz="4" w:color="D9D9D9"/>
            </w:tcBorders>
          </w:tcPr>
          <w:p>
            <w:pPr>
              <w:spacing w:line="240" w:lineRule="auto" w:after="80" w:before="80"/>
            </w:pPr>
            <w:r>
              <w:rPr>
                <w:b w:val="0"/>
                <w:sz w:val="20"/>
              </w:rPr>
              <w:t>1.139</w:t>
            </w:r>
          </w:p>
        </w:tc>
        <w:tc>
          <w:tcPr>
            <w:tcW w:type="dxa" w:w="1872"/>
            <w:tcBorders>
              <w:top w:val="single" w:sz="4" w:color="D9D9D9"/>
              <w:left w:val="single" w:sz="4" w:color="D9D9D9"/>
              <w:bottom w:val="single" w:sz="4" w:color="D9D9D9"/>
              <w:right w:val="single" w:sz="4" w:color="D9D9D9"/>
            </w:tcBorders>
          </w:tcPr>
          <w:p>
            <w:pPr>
              <w:spacing w:line="240" w:lineRule="auto" w:after="80" w:before="80"/>
            </w:pPr>
            <w:r>
              <w:rPr>
                <w:b w:val="0"/>
                <w:sz w:val="20"/>
              </w:rPr>
              <w:t>[5.154, 5.467]</w:t>
            </w:r>
          </w:p>
        </w:tc>
      </w:tr>
      <w:tr>
        <w:trPr>
          <w:cantSplit/>
        </w:trPr>
        <w:tc>
          <w:tcPr>
            <w:tcW w:type="dxa" w:w="2407"/>
            <w:tcBorders>
              <w:top w:val="single" w:sz="4" w:color="D9D9D9"/>
              <w:left w:val="single" w:sz="4" w:color="D9D9D9"/>
              <w:bottom w:val="single" w:sz="4" w:color="D9D9D9"/>
              <w:right w:val="single" w:sz="4" w:color="D9D9D9"/>
            </w:tcBorders>
          </w:tcPr>
          <w:p>
            <w:pPr>
              <w:spacing w:line="240" w:lineRule="auto" w:after="80" w:before="80"/>
            </w:pPr>
            <w:r>
              <w:rPr>
                <w:b w:val="0"/>
                <w:sz w:val="20"/>
              </w:rPr>
              <w:t>Perceived accuracy</w:t>
            </w:r>
          </w:p>
        </w:tc>
        <w:tc>
          <w:tcPr>
            <w:tcW w:type="dxa" w:w="1872"/>
            <w:tcBorders>
              <w:top w:val="single" w:sz="4" w:color="D9D9D9"/>
              <w:left w:val="single" w:sz="4" w:color="D9D9D9"/>
              <w:bottom w:val="single" w:sz="4" w:color="D9D9D9"/>
              <w:right w:val="single" w:sz="4" w:color="D9D9D9"/>
            </w:tcBorders>
          </w:tcPr>
          <w:p>
            <w:pPr>
              <w:spacing w:line="240" w:lineRule="auto" w:after="80" w:before="80"/>
            </w:pPr>
            <w:r>
              <w:rPr>
                <w:b w:val="0"/>
                <w:sz w:val="20"/>
              </w:rPr>
              <w:t>Wide range</w:t>
            </w:r>
          </w:p>
        </w:tc>
        <w:tc>
          <w:tcPr>
            <w:tcW w:type="dxa" w:w="1070"/>
            <w:tcBorders>
              <w:top w:val="single" w:sz="4" w:color="D9D9D9"/>
              <w:left w:val="single" w:sz="4" w:color="D9D9D9"/>
              <w:bottom w:val="single" w:sz="4" w:color="D9D9D9"/>
              <w:right w:val="single" w:sz="4" w:color="D9D9D9"/>
            </w:tcBorders>
          </w:tcPr>
          <w:p>
            <w:pPr>
              <w:spacing w:line="240" w:lineRule="auto" w:after="80" w:before="80"/>
            </w:pPr>
            <w:r>
              <w:rPr>
                <w:b w:val="0"/>
                <w:sz w:val="20"/>
              </w:rPr>
              <w:t>197</w:t>
            </w:r>
          </w:p>
        </w:tc>
        <w:tc>
          <w:tcPr>
            <w:tcW w:type="dxa" w:w="1070"/>
            <w:tcBorders>
              <w:top w:val="single" w:sz="4" w:color="D9D9D9"/>
              <w:left w:val="single" w:sz="4" w:color="D9D9D9"/>
              <w:bottom w:val="single" w:sz="4" w:color="D9D9D9"/>
              <w:right w:val="single" w:sz="4" w:color="D9D9D9"/>
            </w:tcBorders>
          </w:tcPr>
          <w:p>
            <w:pPr>
              <w:spacing w:line="240" w:lineRule="auto" w:after="80" w:before="80"/>
            </w:pPr>
            <w:r>
              <w:rPr>
                <w:b w:val="0"/>
                <w:sz w:val="20"/>
              </w:rPr>
              <w:t>4.924</w:t>
            </w:r>
          </w:p>
        </w:tc>
        <w:tc>
          <w:tcPr>
            <w:tcW w:type="dxa" w:w="1070"/>
            <w:tcBorders>
              <w:top w:val="single" w:sz="4" w:color="D9D9D9"/>
              <w:left w:val="single" w:sz="4" w:color="D9D9D9"/>
              <w:bottom w:val="single" w:sz="4" w:color="D9D9D9"/>
              <w:right w:val="single" w:sz="4" w:color="D9D9D9"/>
            </w:tcBorders>
          </w:tcPr>
          <w:p>
            <w:pPr>
              <w:spacing w:line="240" w:lineRule="auto" w:after="80" w:before="80"/>
            </w:pPr>
            <w:r>
              <w:rPr>
                <w:b w:val="0"/>
                <w:sz w:val="20"/>
              </w:rPr>
              <w:t>1.653</w:t>
            </w:r>
          </w:p>
        </w:tc>
        <w:tc>
          <w:tcPr>
            <w:tcW w:type="dxa" w:w="1872"/>
            <w:tcBorders>
              <w:top w:val="single" w:sz="4" w:color="D9D9D9"/>
              <w:left w:val="single" w:sz="4" w:color="D9D9D9"/>
              <w:bottom w:val="single" w:sz="4" w:color="D9D9D9"/>
              <w:right w:val="single" w:sz="4" w:color="D9D9D9"/>
            </w:tcBorders>
          </w:tcPr>
          <w:p>
            <w:pPr>
              <w:spacing w:line="240" w:lineRule="auto" w:after="80" w:before="80"/>
            </w:pPr>
            <w:r>
              <w:rPr>
                <w:b w:val="0"/>
                <w:sz w:val="20"/>
              </w:rPr>
              <w:t>[4.692, 5.156]</w:t>
            </w:r>
          </w:p>
        </w:tc>
      </w:tr>
    </w:tbl>
    <w:p>
      <w:pPr>
        <w:spacing w:after="40"/>
      </w:pPr>
    </w:p>
    <w:p>
      <w:pPr>
        <w:spacing w:line="264" w:lineRule="auto"/>
      </w:pPr>
      <w:r>
        <w:rPr>
          <w:i w:val="0"/>
          <w:sz w:val="20"/>
        </w:rPr>
        <w:t>Student additional analysis. Each interval is an individual within-group t interval, not a simultaneous pairwise interval.</w:t>
      </w:r>
    </w:p>
    <w:p>
      <w:pPr>
        <w:pStyle w:val="Heading1"/>
      </w:pPr>
      <w:r>
        <w:t>B2 Study 2 omnibus tests</w:t>
      </w:r>
    </w:p>
    <w:tbl>
      <w:tblPr>
        <w:tblW w:type="auto" w:w="0"/>
        <w:tblLayout w:type="fixed"/>
        <w:tblLook w:firstColumn="1" w:firstRow="1" w:lastColumn="0" w:lastRow="0" w:noHBand="0" w:noVBand="1" w:val="04A0"/>
      </w:tblPr>
      <w:tblGrid>
        <w:gridCol w:w="2856"/>
        <w:gridCol w:w="1428"/>
        <w:gridCol w:w="1269"/>
        <w:gridCol w:w="1269"/>
        <w:gridCol w:w="1269"/>
        <w:gridCol w:w="1269"/>
      </w:tblGrid>
      <w:tr>
        <w:trPr>
          <w:cantSplit/>
          <w:tblHeader/>
        </w:trPr>
        <w:tc>
          <w:tcPr>
            <w:tcW w:type="dxa" w:w="2856"/>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Outcome</w:t>
            </w:r>
          </w:p>
        </w:tc>
        <w:tc>
          <w:tcPr>
            <w:tcW w:type="dxa" w:w="1428"/>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Test</w:t>
            </w:r>
          </w:p>
        </w:tc>
        <w:tc>
          <w:tcPr>
            <w:tcW w:type="dxa" w:w="1269"/>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F</w:t>
            </w:r>
          </w:p>
        </w:tc>
        <w:tc>
          <w:tcPr>
            <w:tcW w:type="dxa" w:w="1269"/>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df1</w:t>
            </w:r>
          </w:p>
        </w:tc>
        <w:tc>
          <w:tcPr>
            <w:tcW w:type="dxa" w:w="1269"/>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df2</w:t>
            </w:r>
          </w:p>
        </w:tc>
        <w:tc>
          <w:tcPr>
            <w:tcW w:type="dxa" w:w="1269"/>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p</w:t>
            </w:r>
          </w:p>
        </w:tc>
      </w:tr>
      <w:tr>
        <w:trPr>
          <w:cantSplit/>
        </w:trPr>
        <w:tc>
          <w:tcPr>
            <w:tcW w:type="dxa" w:w="2856"/>
            <w:tcBorders>
              <w:top w:val="single" w:sz="4" w:color="D9D9D9"/>
              <w:left w:val="single" w:sz="4" w:color="D9D9D9"/>
              <w:bottom w:val="single" w:sz="4" w:color="D9D9D9"/>
              <w:right w:val="single" w:sz="4" w:color="D9D9D9"/>
            </w:tcBorders>
          </w:tcPr>
          <w:p>
            <w:pPr>
              <w:spacing w:line="240" w:lineRule="auto" w:after="80" w:before="80"/>
            </w:pPr>
            <w:r>
              <w:rPr>
                <w:b w:val="0"/>
                <w:sz w:val="20"/>
              </w:rPr>
              <w:t>Trust</w:t>
            </w:r>
          </w:p>
        </w:tc>
        <w:tc>
          <w:tcPr>
            <w:tcW w:type="dxa" w:w="1428"/>
            <w:tcBorders>
              <w:top w:val="single" w:sz="4" w:color="D9D9D9"/>
              <w:left w:val="single" w:sz="4" w:color="D9D9D9"/>
              <w:bottom w:val="single" w:sz="4" w:color="D9D9D9"/>
              <w:right w:val="single" w:sz="4" w:color="D9D9D9"/>
            </w:tcBorders>
          </w:tcPr>
          <w:p>
            <w:pPr>
              <w:spacing w:line="240" w:lineRule="auto" w:after="80" w:before="80"/>
            </w:pPr>
            <w:r>
              <w:rPr>
                <w:b w:val="0"/>
                <w:sz w:val="20"/>
              </w:rPr>
              <w:t>Classical</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12.296</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2.00</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596.00</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r>
      <w:tr>
        <w:trPr>
          <w:cantSplit/>
        </w:trPr>
        <w:tc>
          <w:tcPr>
            <w:tcW w:type="dxa" w:w="2856"/>
            <w:tcBorders>
              <w:top w:val="single" w:sz="4" w:color="D9D9D9"/>
              <w:left w:val="single" w:sz="4" w:color="D9D9D9"/>
              <w:bottom w:val="single" w:sz="4" w:color="D9D9D9"/>
              <w:right w:val="single" w:sz="4" w:color="D9D9D9"/>
            </w:tcBorders>
          </w:tcPr>
          <w:p>
            <w:pPr>
              <w:spacing w:line="240" w:lineRule="auto" w:after="80" w:before="80"/>
            </w:pPr>
            <w:r>
              <w:rPr>
                <w:b w:val="0"/>
                <w:sz w:val="20"/>
              </w:rPr>
              <w:t>Trust</w:t>
            </w:r>
          </w:p>
        </w:tc>
        <w:tc>
          <w:tcPr>
            <w:tcW w:type="dxa" w:w="1428"/>
            <w:tcBorders>
              <w:top w:val="single" w:sz="4" w:color="D9D9D9"/>
              <w:left w:val="single" w:sz="4" w:color="D9D9D9"/>
              <w:bottom w:val="single" w:sz="4" w:color="D9D9D9"/>
              <w:right w:val="single" w:sz="4" w:color="D9D9D9"/>
            </w:tcBorders>
          </w:tcPr>
          <w:p>
            <w:pPr>
              <w:spacing w:line="240" w:lineRule="auto" w:after="80" w:before="80"/>
            </w:pPr>
            <w:r>
              <w:rPr>
                <w:b w:val="0"/>
                <w:sz w:val="20"/>
              </w:rPr>
              <w:t>Welch</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13.143</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2.00</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393.55</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r>
      <w:tr>
        <w:trPr>
          <w:cantSplit/>
        </w:trPr>
        <w:tc>
          <w:tcPr>
            <w:tcW w:type="dxa" w:w="2856"/>
            <w:tcBorders>
              <w:top w:val="single" w:sz="4" w:color="D9D9D9"/>
              <w:left w:val="single" w:sz="4" w:color="D9D9D9"/>
              <w:bottom w:val="single" w:sz="4" w:color="D9D9D9"/>
              <w:right w:val="single" w:sz="4" w:color="D9D9D9"/>
            </w:tcBorders>
          </w:tcPr>
          <w:p>
            <w:pPr>
              <w:spacing w:line="240" w:lineRule="auto" w:after="80" w:before="80"/>
            </w:pPr>
            <w:r>
              <w:rPr>
                <w:b w:val="0"/>
                <w:sz w:val="20"/>
              </w:rPr>
              <w:t>Perceived accuracy</w:t>
            </w:r>
          </w:p>
        </w:tc>
        <w:tc>
          <w:tcPr>
            <w:tcW w:type="dxa" w:w="1428"/>
            <w:tcBorders>
              <w:top w:val="single" w:sz="4" w:color="D9D9D9"/>
              <w:left w:val="single" w:sz="4" w:color="D9D9D9"/>
              <w:bottom w:val="single" w:sz="4" w:color="D9D9D9"/>
              <w:right w:val="single" w:sz="4" w:color="D9D9D9"/>
            </w:tcBorders>
          </w:tcPr>
          <w:p>
            <w:pPr>
              <w:spacing w:line="240" w:lineRule="auto" w:after="80" w:before="80"/>
            </w:pPr>
            <w:r>
              <w:rPr>
                <w:b w:val="0"/>
                <w:sz w:val="20"/>
              </w:rPr>
              <w:t>Classical</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18.633</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2.00</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596.00</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r>
      <w:tr>
        <w:trPr>
          <w:cantSplit/>
        </w:trPr>
        <w:tc>
          <w:tcPr>
            <w:tcW w:type="dxa" w:w="2856"/>
            <w:tcBorders>
              <w:top w:val="single" w:sz="4" w:color="D9D9D9"/>
              <w:left w:val="single" w:sz="4" w:color="D9D9D9"/>
              <w:bottom w:val="single" w:sz="4" w:color="D9D9D9"/>
              <w:right w:val="single" w:sz="4" w:color="D9D9D9"/>
            </w:tcBorders>
          </w:tcPr>
          <w:p>
            <w:pPr>
              <w:spacing w:line="240" w:lineRule="auto" w:after="80" w:before="80"/>
            </w:pPr>
            <w:r>
              <w:rPr>
                <w:b w:val="0"/>
                <w:sz w:val="20"/>
              </w:rPr>
              <w:t>Perceived accuracy</w:t>
            </w:r>
          </w:p>
        </w:tc>
        <w:tc>
          <w:tcPr>
            <w:tcW w:type="dxa" w:w="1428"/>
            <w:tcBorders>
              <w:top w:val="single" w:sz="4" w:color="D9D9D9"/>
              <w:left w:val="single" w:sz="4" w:color="D9D9D9"/>
              <w:bottom w:val="single" w:sz="4" w:color="D9D9D9"/>
              <w:right w:val="single" w:sz="4" w:color="D9D9D9"/>
            </w:tcBorders>
          </w:tcPr>
          <w:p>
            <w:pPr>
              <w:spacing w:line="240" w:lineRule="auto" w:after="80" w:before="80"/>
            </w:pPr>
            <w:r>
              <w:rPr>
                <w:b w:val="0"/>
                <w:sz w:val="20"/>
              </w:rPr>
              <w:t>Welch</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22.008</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2.00</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382.88</w:t>
            </w:r>
          </w:p>
        </w:tc>
        <w:tc>
          <w:tcPr>
            <w:tcW w:type="dxa" w:w="1269"/>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r>
    </w:tbl>
    <w:p>
      <w:pPr>
        <w:spacing w:after="40"/>
      </w:pPr>
    </w:p>
    <w:p>
      <w:pPr>
        <w:spacing w:line="264" w:lineRule="auto"/>
      </w:pPr>
      <w:r>
        <w:rPr>
          <w:i w:val="0"/>
          <w:sz w:val="20"/>
        </w:rPr>
        <w:t>Student additional analysis. Holm correction across the two classical tests, and separately across the two Welch sensitivity tests, retains both rejections. Exact p-values, adjusted p-values, and Levene diagnostics are in anova_tests.csv.</w:t>
      </w:r>
    </w:p>
    <w:p>
      <w:r>
        <w:br w:type="page"/>
      </w:r>
    </w:p>
    <w:p>
      <w:pPr>
        <w:pStyle w:val="Heading1"/>
      </w:pPr>
      <w:r>
        <w:t>B3 Study 2 pairwise comparisons</w:t>
      </w:r>
    </w:p>
    <w:tbl>
      <w:tblPr>
        <w:tblW w:type="auto" w:w="0"/>
        <w:tblLayout w:type="fixed"/>
        <w:tblLook w:firstColumn="1" w:firstRow="1" w:lastColumn="0" w:lastRow="0" w:noHBand="0" w:noVBand="1" w:val="04A0"/>
      </w:tblPr>
      <w:tblGrid>
        <w:gridCol w:w="2133"/>
        <w:gridCol w:w="3199"/>
        <w:gridCol w:w="1185"/>
        <w:gridCol w:w="1896"/>
        <w:gridCol w:w="948"/>
      </w:tblGrid>
      <w:tr>
        <w:trPr>
          <w:cantSplit/>
          <w:tblHeader/>
        </w:trPr>
        <w:tc>
          <w:tcPr>
            <w:tcW w:type="dxa" w:w="2133"/>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Outcome</w:t>
            </w:r>
          </w:p>
        </w:tc>
        <w:tc>
          <w:tcPr>
            <w:tcW w:type="dxa" w:w="3199"/>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Contrast</w:t>
            </w:r>
          </w:p>
        </w:tc>
        <w:tc>
          <w:tcPr>
            <w:tcW w:type="dxa" w:w="1185"/>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Difference</w:t>
            </w:r>
          </w:p>
        </w:tc>
        <w:tc>
          <w:tcPr>
            <w:tcW w:type="dxa" w:w="1896"/>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Family 95% CI</w:t>
            </w:r>
          </w:p>
        </w:tc>
        <w:tc>
          <w:tcPr>
            <w:tcW w:type="dxa" w:w="948"/>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Holm p</w:t>
            </w:r>
          </w:p>
        </w:tc>
      </w:tr>
      <w:tr>
        <w:trPr>
          <w:cantSplit/>
        </w:trPr>
        <w:tc>
          <w:tcPr>
            <w:tcW w:type="dxa" w:w="2133"/>
            <w:tcBorders>
              <w:top w:val="single" w:sz="4" w:color="D9D9D9"/>
              <w:left w:val="single" w:sz="4" w:color="D9D9D9"/>
              <w:bottom w:val="single" w:sz="4" w:color="D9D9D9"/>
              <w:right w:val="single" w:sz="4" w:color="D9D9D9"/>
            </w:tcBorders>
          </w:tcPr>
          <w:p>
            <w:pPr>
              <w:spacing w:line="240" w:lineRule="auto" w:after="80" w:before="80"/>
            </w:pPr>
            <w:r>
              <w:rPr>
                <w:b w:val="0"/>
                <w:sz w:val="20"/>
              </w:rPr>
              <w:t>Trust</w:t>
            </w:r>
          </w:p>
        </w:tc>
        <w:tc>
          <w:tcPr>
            <w:tcW w:type="dxa" w:w="3199"/>
            <w:tcBorders>
              <w:top w:val="single" w:sz="4" w:color="D9D9D9"/>
              <w:left w:val="single" w:sz="4" w:color="D9D9D9"/>
              <w:bottom w:val="single" w:sz="4" w:color="D9D9D9"/>
              <w:right w:val="single" w:sz="4" w:color="D9D9D9"/>
            </w:tcBorders>
          </w:tcPr>
          <w:p>
            <w:pPr>
              <w:spacing w:line="240" w:lineRule="auto" w:after="80" w:before="80"/>
            </w:pPr>
            <w:r>
              <w:rPr>
                <w:b w:val="0"/>
                <w:sz w:val="20"/>
              </w:rPr>
              <w:t>Moderate range - Point</w:t>
            </w:r>
          </w:p>
        </w:tc>
        <w:tc>
          <w:tcPr>
            <w:tcW w:type="dxa" w:w="1185"/>
            <w:tcBorders>
              <w:top w:val="single" w:sz="4" w:color="D9D9D9"/>
              <w:left w:val="single" w:sz="4" w:color="D9D9D9"/>
              <w:bottom w:val="single" w:sz="4" w:color="D9D9D9"/>
              <w:right w:val="single" w:sz="4" w:color="D9D9D9"/>
            </w:tcBorders>
          </w:tcPr>
          <w:p>
            <w:pPr>
              <w:spacing w:line="240" w:lineRule="auto" w:after="80" w:before="80"/>
            </w:pPr>
            <w:r>
              <w:rPr>
                <w:b w:val="0"/>
                <w:sz w:val="20"/>
              </w:rPr>
              <w:t>0.677</w:t>
            </w:r>
          </w:p>
        </w:tc>
        <w:tc>
          <w:tcPr>
            <w:tcW w:type="dxa" w:w="1896"/>
            <w:tcBorders>
              <w:top w:val="single" w:sz="4" w:color="D9D9D9"/>
              <w:left w:val="single" w:sz="4" w:color="D9D9D9"/>
              <w:bottom w:val="single" w:sz="4" w:color="D9D9D9"/>
              <w:right w:val="single" w:sz="4" w:color="D9D9D9"/>
            </w:tcBorders>
          </w:tcPr>
          <w:p>
            <w:pPr>
              <w:spacing w:line="240" w:lineRule="auto" w:after="80" w:before="80"/>
            </w:pPr>
            <w:r>
              <w:rPr>
                <w:b w:val="0"/>
                <w:sz w:val="20"/>
              </w:rPr>
              <w:t>[0.303, 1.052]</w:t>
            </w:r>
          </w:p>
        </w:tc>
        <w:tc>
          <w:tcPr>
            <w:tcW w:type="dxa" w:w="948"/>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r>
      <w:tr>
        <w:trPr>
          <w:cantSplit/>
        </w:trPr>
        <w:tc>
          <w:tcPr>
            <w:tcW w:type="dxa" w:w="2133"/>
            <w:tcBorders>
              <w:top w:val="single" w:sz="4" w:color="D9D9D9"/>
              <w:left w:val="single" w:sz="4" w:color="D9D9D9"/>
              <w:bottom w:val="single" w:sz="4" w:color="D9D9D9"/>
              <w:right w:val="single" w:sz="4" w:color="D9D9D9"/>
            </w:tcBorders>
          </w:tcPr>
          <w:p>
            <w:pPr>
              <w:spacing w:line="240" w:lineRule="auto" w:after="80" w:before="80"/>
            </w:pPr>
            <w:r>
              <w:rPr>
                <w:b w:val="0"/>
                <w:sz w:val="20"/>
              </w:rPr>
              <w:t>Trust</w:t>
            </w:r>
          </w:p>
        </w:tc>
        <w:tc>
          <w:tcPr>
            <w:tcW w:type="dxa" w:w="3199"/>
            <w:tcBorders>
              <w:top w:val="single" w:sz="4" w:color="D9D9D9"/>
              <w:left w:val="single" w:sz="4" w:color="D9D9D9"/>
              <w:bottom w:val="single" w:sz="4" w:color="D9D9D9"/>
              <w:right w:val="single" w:sz="4" w:color="D9D9D9"/>
            </w:tcBorders>
          </w:tcPr>
          <w:p>
            <w:pPr>
              <w:spacing w:line="240" w:lineRule="auto" w:after="80" w:before="80"/>
            </w:pPr>
            <w:r>
              <w:rPr>
                <w:b w:val="0"/>
                <w:sz w:val="20"/>
              </w:rPr>
              <w:t>Wide range - Point</w:t>
            </w:r>
          </w:p>
        </w:tc>
        <w:tc>
          <w:tcPr>
            <w:tcW w:type="dxa" w:w="1185"/>
            <w:tcBorders>
              <w:top w:val="single" w:sz="4" w:color="D9D9D9"/>
              <w:left w:val="single" w:sz="4" w:color="D9D9D9"/>
              <w:bottom w:val="single" w:sz="4" w:color="D9D9D9"/>
              <w:right w:val="single" w:sz="4" w:color="D9D9D9"/>
            </w:tcBorders>
          </w:tcPr>
          <w:p>
            <w:pPr>
              <w:spacing w:line="240" w:lineRule="auto" w:after="80" w:before="80"/>
            </w:pPr>
            <w:r>
              <w:rPr>
                <w:b w:val="0"/>
                <w:sz w:val="20"/>
              </w:rPr>
              <w:t>0.165</w:t>
            </w:r>
          </w:p>
        </w:tc>
        <w:tc>
          <w:tcPr>
            <w:tcW w:type="dxa" w:w="1896"/>
            <w:tcBorders>
              <w:top w:val="single" w:sz="4" w:color="D9D9D9"/>
              <w:left w:val="single" w:sz="4" w:color="D9D9D9"/>
              <w:bottom w:val="single" w:sz="4" w:color="D9D9D9"/>
              <w:right w:val="single" w:sz="4" w:color="D9D9D9"/>
            </w:tcBorders>
          </w:tcPr>
          <w:p>
            <w:pPr>
              <w:spacing w:line="240" w:lineRule="auto" w:after="80" w:before="80"/>
            </w:pPr>
            <w:r>
              <w:rPr>
                <w:b w:val="0"/>
                <w:sz w:val="20"/>
              </w:rPr>
              <w:t>[-0.234, 0.565]</w:t>
            </w:r>
          </w:p>
        </w:tc>
        <w:tc>
          <w:tcPr>
            <w:tcW w:type="dxa" w:w="948"/>
            <w:tcBorders>
              <w:top w:val="single" w:sz="4" w:color="D9D9D9"/>
              <w:left w:val="single" w:sz="4" w:color="D9D9D9"/>
              <w:bottom w:val="single" w:sz="4" w:color="D9D9D9"/>
              <w:right w:val="single" w:sz="4" w:color="D9D9D9"/>
            </w:tcBorders>
          </w:tcPr>
          <w:p>
            <w:pPr>
              <w:spacing w:line="240" w:lineRule="auto" w:after="80" w:before="80"/>
            </w:pPr>
            <w:r>
              <w:rPr>
                <w:b w:val="0"/>
                <w:sz w:val="20"/>
              </w:rPr>
              <w:t>0.2732</w:t>
            </w:r>
          </w:p>
        </w:tc>
      </w:tr>
      <w:tr>
        <w:trPr>
          <w:cantSplit/>
        </w:trPr>
        <w:tc>
          <w:tcPr>
            <w:tcW w:type="dxa" w:w="2133"/>
            <w:tcBorders>
              <w:top w:val="single" w:sz="4" w:color="D9D9D9"/>
              <w:left w:val="single" w:sz="4" w:color="D9D9D9"/>
              <w:bottom w:val="single" w:sz="4" w:color="D9D9D9"/>
              <w:right w:val="single" w:sz="4" w:color="D9D9D9"/>
            </w:tcBorders>
          </w:tcPr>
          <w:p>
            <w:pPr>
              <w:spacing w:line="240" w:lineRule="auto" w:after="80" w:before="80"/>
            </w:pPr>
            <w:r>
              <w:rPr>
                <w:b w:val="0"/>
                <w:sz w:val="20"/>
              </w:rPr>
              <w:t>Trust</w:t>
            </w:r>
          </w:p>
        </w:tc>
        <w:tc>
          <w:tcPr>
            <w:tcW w:type="dxa" w:w="3199"/>
            <w:tcBorders>
              <w:top w:val="single" w:sz="4" w:color="D9D9D9"/>
              <w:left w:val="single" w:sz="4" w:color="D9D9D9"/>
              <w:bottom w:val="single" w:sz="4" w:color="D9D9D9"/>
              <w:right w:val="single" w:sz="4" w:color="D9D9D9"/>
            </w:tcBorders>
          </w:tcPr>
          <w:p>
            <w:pPr>
              <w:spacing w:line="240" w:lineRule="auto" w:after="80" w:before="80"/>
            </w:pPr>
            <w:r>
              <w:rPr>
                <w:b w:val="0"/>
                <w:sz w:val="20"/>
              </w:rPr>
              <w:t>Wide range - Moderate range</w:t>
            </w:r>
          </w:p>
        </w:tc>
        <w:tc>
          <w:tcPr>
            <w:tcW w:type="dxa" w:w="1185"/>
            <w:tcBorders>
              <w:top w:val="single" w:sz="4" w:color="D9D9D9"/>
              <w:left w:val="single" w:sz="4" w:color="D9D9D9"/>
              <w:bottom w:val="single" w:sz="4" w:color="D9D9D9"/>
              <w:right w:val="single" w:sz="4" w:color="D9D9D9"/>
            </w:tcBorders>
          </w:tcPr>
          <w:p>
            <w:pPr>
              <w:spacing w:line="240" w:lineRule="auto" w:after="80" w:before="80"/>
            </w:pPr>
            <w:r>
              <w:rPr>
                <w:b w:val="0"/>
                <w:sz w:val="20"/>
              </w:rPr>
              <w:t>-0.512</w:t>
            </w:r>
          </w:p>
        </w:tc>
        <w:tc>
          <w:tcPr>
            <w:tcW w:type="dxa" w:w="1896"/>
            <w:tcBorders>
              <w:top w:val="single" w:sz="4" w:color="D9D9D9"/>
              <w:left w:val="single" w:sz="4" w:color="D9D9D9"/>
              <w:bottom w:val="single" w:sz="4" w:color="D9D9D9"/>
              <w:right w:val="single" w:sz="4" w:color="D9D9D9"/>
            </w:tcBorders>
          </w:tcPr>
          <w:p>
            <w:pPr>
              <w:spacing w:line="240" w:lineRule="auto" w:after="80" w:before="80"/>
            </w:pPr>
            <w:r>
              <w:rPr>
                <w:b w:val="0"/>
                <w:sz w:val="20"/>
              </w:rPr>
              <w:t>[-0.882, -0.142]</w:t>
            </w:r>
          </w:p>
        </w:tc>
        <w:tc>
          <w:tcPr>
            <w:tcW w:type="dxa" w:w="948"/>
            <w:tcBorders>
              <w:top w:val="single" w:sz="4" w:color="D9D9D9"/>
              <w:left w:val="single" w:sz="4" w:color="D9D9D9"/>
              <w:bottom w:val="single" w:sz="4" w:color="D9D9D9"/>
              <w:right w:val="single" w:sz="4" w:color="D9D9D9"/>
            </w:tcBorders>
          </w:tcPr>
          <w:p>
            <w:pPr>
              <w:spacing w:line="240" w:lineRule="auto" w:after="80" w:before="80"/>
            </w:pPr>
            <w:r>
              <w:rPr>
                <w:b w:val="0"/>
                <w:sz w:val="20"/>
              </w:rPr>
              <w:t>0.0011</w:t>
            </w:r>
          </w:p>
        </w:tc>
      </w:tr>
      <w:tr>
        <w:trPr>
          <w:cantSplit/>
        </w:trPr>
        <w:tc>
          <w:tcPr>
            <w:tcW w:type="dxa" w:w="2133"/>
            <w:tcBorders>
              <w:top w:val="single" w:sz="4" w:color="D9D9D9"/>
              <w:left w:val="single" w:sz="4" w:color="D9D9D9"/>
              <w:bottom w:val="single" w:sz="4" w:color="D9D9D9"/>
              <w:right w:val="single" w:sz="4" w:color="D9D9D9"/>
            </w:tcBorders>
          </w:tcPr>
          <w:p>
            <w:pPr>
              <w:spacing w:line="240" w:lineRule="auto" w:after="80" w:before="80"/>
            </w:pPr>
            <w:r>
              <w:rPr>
                <w:b w:val="0"/>
                <w:sz w:val="20"/>
              </w:rPr>
              <w:t>Perceived accuracy</w:t>
            </w:r>
          </w:p>
        </w:tc>
        <w:tc>
          <w:tcPr>
            <w:tcW w:type="dxa" w:w="3199"/>
            <w:tcBorders>
              <w:top w:val="single" w:sz="4" w:color="D9D9D9"/>
              <w:left w:val="single" w:sz="4" w:color="D9D9D9"/>
              <w:bottom w:val="single" w:sz="4" w:color="D9D9D9"/>
              <w:right w:val="single" w:sz="4" w:color="D9D9D9"/>
            </w:tcBorders>
          </w:tcPr>
          <w:p>
            <w:pPr>
              <w:spacing w:line="240" w:lineRule="auto" w:after="80" w:before="80"/>
            </w:pPr>
            <w:r>
              <w:rPr>
                <w:b w:val="0"/>
                <w:sz w:val="20"/>
              </w:rPr>
              <w:t>Moderate range - Point</w:t>
            </w:r>
          </w:p>
        </w:tc>
        <w:tc>
          <w:tcPr>
            <w:tcW w:type="dxa" w:w="1185"/>
            <w:tcBorders>
              <w:top w:val="single" w:sz="4" w:color="D9D9D9"/>
              <w:left w:val="single" w:sz="4" w:color="D9D9D9"/>
              <w:bottom w:val="single" w:sz="4" w:color="D9D9D9"/>
              <w:right w:val="single" w:sz="4" w:color="D9D9D9"/>
            </w:tcBorders>
          </w:tcPr>
          <w:p>
            <w:pPr>
              <w:spacing w:line="240" w:lineRule="auto" w:after="80" w:before="80"/>
            </w:pPr>
            <w:r>
              <w:rPr>
                <w:b w:val="0"/>
                <w:sz w:val="20"/>
              </w:rPr>
              <w:t>0.872</w:t>
            </w:r>
          </w:p>
        </w:tc>
        <w:tc>
          <w:tcPr>
            <w:tcW w:type="dxa" w:w="1896"/>
            <w:tcBorders>
              <w:top w:val="single" w:sz="4" w:color="D9D9D9"/>
              <w:left w:val="single" w:sz="4" w:color="D9D9D9"/>
              <w:bottom w:val="single" w:sz="4" w:color="D9D9D9"/>
              <w:right w:val="single" w:sz="4" w:color="D9D9D9"/>
            </w:tcBorders>
          </w:tcPr>
          <w:p>
            <w:pPr>
              <w:spacing w:line="240" w:lineRule="auto" w:after="80" w:before="80"/>
            </w:pPr>
            <w:r>
              <w:rPr>
                <w:b w:val="0"/>
                <w:sz w:val="20"/>
              </w:rPr>
              <w:t>[0.523, 1.221]</w:t>
            </w:r>
          </w:p>
        </w:tc>
        <w:tc>
          <w:tcPr>
            <w:tcW w:type="dxa" w:w="948"/>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r>
      <w:tr>
        <w:trPr>
          <w:cantSplit/>
        </w:trPr>
        <w:tc>
          <w:tcPr>
            <w:tcW w:type="dxa" w:w="2133"/>
            <w:tcBorders>
              <w:top w:val="single" w:sz="4" w:color="D9D9D9"/>
              <w:left w:val="single" w:sz="4" w:color="D9D9D9"/>
              <w:bottom w:val="single" w:sz="4" w:color="D9D9D9"/>
              <w:right w:val="single" w:sz="4" w:color="D9D9D9"/>
            </w:tcBorders>
          </w:tcPr>
          <w:p>
            <w:pPr>
              <w:spacing w:line="240" w:lineRule="auto" w:after="80" w:before="80"/>
            </w:pPr>
            <w:r>
              <w:rPr>
                <w:b w:val="0"/>
                <w:sz w:val="20"/>
              </w:rPr>
              <w:t>Perceived accuracy</w:t>
            </w:r>
          </w:p>
        </w:tc>
        <w:tc>
          <w:tcPr>
            <w:tcW w:type="dxa" w:w="3199"/>
            <w:tcBorders>
              <w:top w:val="single" w:sz="4" w:color="D9D9D9"/>
              <w:left w:val="single" w:sz="4" w:color="D9D9D9"/>
              <w:bottom w:val="single" w:sz="4" w:color="D9D9D9"/>
              <w:right w:val="single" w:sz="4" w:color="D9D9D9"/>
            </w:tcBorders>
          </w:tcPr>
          <w:p>
            <w:pPr>
              <w:spacing w:line="240" w:lineRule="auto" w:after="80" w:before="80"/>
            </w:pPr>
            <w:r>
              <w:rPr>
                <w:b w:val="0"/>
                <w:sz w:val="20"/>
              </w:rPr>
              <w:t>Wide range - Point</w:t>
            </w:r>
          </w:p>
        </w:tc>
        <w:tc>
          <w:tcPr>
            <w:tcW w:type="dxa" w:w="1185"/>
            <w:tcBorders>
              <w:top w:val="single" w:sz="4" w:color="D9D9D9"/>
              <w:left w:val="single" w:sz="4" w:color="D9D9D9"/>
              <w:bottom w:val="single" w:sz="4" w:color="D9D9D9"/>
              <w:right w:val="single" w:sz="4" w:color="D9D9D9"/>
            </w:tcBorders>
          </w:tcPr>
          <w:p>
            <w:pPr>
              <w:spacing w:line="240" w:lineRule="auto" w:after="80" w:before="80"/>
            </w:pPr>
            <w:r>
              <w:rPr>
                <w:b w:val="0"/>
                <w:sz w:val="20"/>
              </w:rPr>
              <w:t>0.485</w:t>
            </w:r>
          </w:p>
        </w:tc>
        <w:tc>
          <w:tcPr>
            <w:tcW w:type="dxa" w:w="1896"/>
            <w:tcBorders>
              <w:top w:val="single" w:sz="4" w:color="D9D9D9"/>
              <w:left w:val="single" w:sz="4" w:color="D9D9D9"/>
              <w:bottom w:val="single" w:sz="4" w:color="D9D9D9"/>
              <w:right w:val="single" w:sz="4" w:color="D9D9D9"/>
            </w:tcBorders>
          </w:tcPr>
          <w:p>
            <w:pPr>
              <w:spacing w:line="240" w:lineRule="auto" w:after="80" w:before="80"/>
            </w:pPr>
            <w:r>
              <w:rPr>
                <w:b w:val="0"/>
                <w:sz w:val="20"/>
              </w:rPr>
              <w:t>[0.066, 0.904]</w:t>
            </w:r>
          </w:p>
        </w:tc>
        <w:tc>
          <w:tcPr>
            <w:tcW w:type="dxa" w:w="948"/>
            <w:tcBorders>
              <w:top w:val="single" w:sz="4" w:color="D9D9D9"/>
              <w:left w:val="single" w:sz="4" w:color="D9D9D9"/>
              <w:bottom w:val="single" w:sz="4" w:color="D9D9D9"/>
              <w:right w:val="single" w:sz="4" w:color="D9D9D9"/>
            </w:tcBorders>
          </w:tcPr>
          <w:p>
            <w:pPr>
              <w:spacing w:line="240" w:lineRule="auto" w:after="80" w:before="80"/>
            </w:pPr>
            <w:r>
              <w:rPr>
                <w:b w:val="0"/>
                <w:sz w:val="20"/>
              </w:rPr>
              <w:t>0.0068</w:t>
            </w:r>
          </w:p>
        </w:tc>
      </w:tr>
      <w:tr>
        <w:trPr>
          <w:cantSplit/>
        </w:trPr>
        <w:tc>
          <w:tcPr>
            <w:tcW w:type="dxa" w:w="2133"/>
            <w:tcBorders>
              <w:top w:val="single" w:sz="4" w:color="D9D9D9"/>
              <w:left w:val="single" w:sz="4" w:color="D9D9D9"/>
              <w:bottom w:val="single" w:sz="4" w:color="D9D9D9"/>
              <w:right w:val="single" w:sz="4" w:color="D9D9D9"/>
            </w:tcBorders>
          </w:tcPr>
          <w:p>
            <w:pPr>
              <w:spacing w:line="240" w:lineRule="auto" w:after="80" w:before="80"/>
            </w:pPr>
            <w:r>
              <w:rPr>
                <w:b w:val="0"/>
                <w:sz w:val="20"/>
              </w:rPr>
              <w:t>Perceived accuracy</w:t>
            </w:r>
          </w:p>
        </w:tc>
        <w:tc>
          <w:tcPr>
            <w:tcW w:type="dxa" w:w="3199"/>
            <w:tcBorders>
              <w:top w:val="single" w:sz="4" w:color="D9D9D9"/>
              <w:left w:val="single" w:sz="4" w:color="D9D9D9"/>
              <w:bottom w:val="single" w:sz="4" w:color="D9D9D9"/>
              <w:right w:val="single" w:sz="4" w:color="D9D9D9"/>
            </w:tcBorders>
          </w:tcPr>
          <w:p>
            <w:pPr>
              <w:spacing w:line="240" w:lineRule="auto" w:after="80" w:before="80"/>
            </w:pPr>
            <w:r>
              <w:rPr>
                <w:b w:val="0"/>
                <w:sz w:val="20"/>
              </w:rPr>
              <w:t>Wide range - Moderate range</w:t>
            </w:r>
          </w:p>
        </w:tc>
        <w:tc>
          <w:tcPr>
            <w:tcW w:type="dxa" w:w="1185"/>
            <w:tcBorders>
              <w:top w:val="single" w:sz="4" w:color="D9D9D9"/>
              <w:left w:val="single" w:sz="4" w:color="D9D9D9"/>
              <w:bottom w:val="single" w:sz="4" w:color="D9D9D9"/>
              <w:right w:val="single" w:sz="4" w:color="D9D9D9"/>
            </w:tcBorders>
          </w:tcPr>
          <w:p>
            <w:pPr>
              <w:spacing w:line="240" w:lineRule="auto" w:after="80" w:before="80"/>
            </w:pPr>
            <w:r>
              <w:rPr>
                <w:b w:val="0"/>
                <w:sz w:val="20"/>
              </w:rPr>
              <w:t>-0.387</w:t>
            </w:r>
          </w:p>
        </w:tc>
        <w:tc>
          <w:tcPr>
            <w:tcW w:type="dxa" w:w="1896"/>
            <w:tcBorders>
              <w:top w:val="single" w:sz="4" w:color="D9D9D9"/>
              <w:left w:val="single" w:sz="4" w:color="D9D9D9"/>
              <w:bottom w:val="single" w:sz="4" w:color="D9D9D9"/>
              <w:right w:val="single" w:sz="4" w:color="D9D9D9"/>
            </w:tcBorders>
          </w:tcPr>
          <w:p>
            <w:pPr>
              <w:spacing w:line="240" w:lineRule="auto" w:after="80" w:before="80"/>
            </w:pPr>
            <w:r>
              <w:rPr>
                <w:b w:val="0"/>
                <w:sz w:val="20"/>
              </w:rPr>
              <w:t>[-0.764, -0.010]</w:t>
            </w:r>
          </w:p>
        </w:tc>
        <w:tc>
          <w:tcPr>
            <w:tcW w:type="dxa" w:w="948"/>
            <w:tcBorders>
              <w:top w:val="single" w:sz="4" w:color="D9D9D9"/>
              <w:left w:val="single" w:sz="4" w:color="D9D9D9"/>
              <w:bottom w:val="single" w:sz="4" w:color="D9D9D9"/>
              <w:right w:val="single" w:sz="4" w:color="D9D9D9"/>
            </w:tcBorders>
          </w:tcPr>
          <w:p>
            <w:pPr>
              <w:spacing w:line="240" w:lineRule="auto" w:after="80" w:before="80"/>
            </w:pPr>
            <w:r>
              <w:rPr>
                <w:b w:val="0"/>
                <w:sz w:val="20"/>
              </w:rPr>
              <w:t>0.0136</w:t>
            </w:r>
          </w:p>
        </w:tc>
      </w:tr>
    </w:tbl>
    <w:p>
      <w:pPr>
        <w:spacing w:after="40"/>
      </w:pPr>
    </w:p>
    <w:p>
      <w:pPr>
        <w:spacing w:line="264" w:lineRule="auto"/>
      </w:pPr>
      <w:r>
        <w:rPr>
          <w:i w:val="0"/>
          <w:sz w:val="20"/>
        </w:rPr>
        <w:t>Student additional analysis. Unequal-variance Welch comparisons. Holm p-values control the family of all six pairwise tests across both outcomes. Intervals use Bonferroni correction over the same six contrasts and can be more conservative than Holm decisions. Positive differences favor the first condition.</w:t>
      </w:r>
    </w:p>
    <w:p>
      <w:pPr>
        <w:pStyle w:val="Heading1"/>
      </w:pPr>
      <w:r>
        <w:t>B4 Study fixed effects and study omissions</w:t>
      </w:r>
    </w:p>
    <w:tbl>
      <w:tblPr>
        <w:tblW w:type="auto" w:w="0"/>
        <w:tblLayout w:type="fixed"/>
        <w:tblLook w:firstColumn="1" w:firstRow="1" w:lastColumn="0" w:lastRow="0" w:noHBand="0" w:noVBand="1" w:val="04A0"/>
      </w:tblPr>
      <w:tblGrid>
        <w:gridCol w:w="2302"/>
        <w:gridCol w:w="1228"/>
        <w:gridCol w:w="1228"/>
        <w:gridCol w:w="1228"/>
        <w:gridCol w:w="2148"/>
        <w:gridCol w:w="1228"/>
      </w:tblGrid>
      <w:tr>
        <w:trPr>
          <w:cantSplit/>
          <w:tblHeader/>
        </w:trPr>
        <w:tc>
          <w:tcPr>
            <w:tcW w:type="dxa" w:w="2302"/>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Sample</w:t>
            </w:r>
          </w:p>
        </w:tc>
        <w:tc>
          <w:tcPr>
            <w:tcW w:type="dxa" w:w="1228"/>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N</w:t>
            </w:r>
          </w:p>
        </w:tc>
        <w:tc>
          <w:tcPr>
            <w:tcW w:type="dxa" w:w="1228"/>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b</w:t>
            </w:r>
          </w:p>
        </w:tc>
        <w:tc>
          <w:tcPr>
            <w:tcW w:type="dxa" w:w="1228"/>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OLS SE</w:t>
            </w:r>
          </w:p>
        </w:tc>
        <w:tc>
          <w:tcPr>
            <w:tcW w:type="dxa" w:w="2148"/>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95% CI</w:t>
            </w:r>
          </w:p>
        </w:tc>
        <w:tc>
          <w:tcPr>
            <w:tcW w:type="dxa" w:w="1228"/>
            <w:tcBorders>
              <w:top w:val="single" w:sz="4" w:color="D9D9D9"/>
              <w:left w:val="single" w:sz="4" w:color="D9D9D9"/>
              <w:bottom w:val="single" w:sz="4" w:color="D9D9D9"/>
              <w:right w:val="single" w:sz="4" w:color="D9D9D9"/>
            </w:tcBorders>
            <w:shd w:fill="E7EDF2"/>
          </w:tcPr>
          <w:p>
            <w:pPr>
              <w:spacing w:line="240" w:lineRule="auto" w:after="80" w:before="80"/>
            </w:pPr>
            <w:r>
              <w:rPr>
                <w:b/>
                <w:sz w:val="20"/>
              </w:rPr>
              <w:t>p</w:t>
            </w:r>
          </w:p>
        </w:tc>
      </w:tr>
      <w:tr>
        <w:trPr>
          <w:cantSplit/>
        </w:trPr>
        <w:tc>
          <w:tcPr>
            <w:tcW w:type="dxa" w:w="2302"/>
            <w:tcBorders>
              <w:top w:val="single" w:sz="4" w:color="D9D9D9"/>
              <w:left w:val="single" w:sz="4" w:color="D9D9D9"/>
              <w:bottom w:val="single" w:sz="4" w:color="D9D9D9"/>
              <w:right w:val="single" w:sz="4" w:color="D9D9D9"/>
            </w:tcBorders>
          </w:tcPr>
          <w:p>
            <w:pPr>
              <w:spacing w:line="240" w:lineRule="auto" w:after="80" w:before="80"/>
            </w:pPr>
            <w:r>
              <w:rPr>
                <w:b w:val="0"/>
                <w:sz w:val="20"/>
              </w:rPr>
              <w:t>Full sample</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2720</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0.721</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0.047</w:t>
            </w:r>
          </w:p>
        </w:tc>
        <w:tc>
          <w:tcPr>
            <w:tcW w:type="dxa" w:w="2148"/>
            <w:tcBorders>
              <w:top w:val="single" w:sz="4" w:color="D9D9D9"/>
              <w:left w:val="single" w:sz="4" w:color="D9D9D9"/>
              <w:bottom w:val="single" w:sz="4" w:color="D9D9D9"/>
              <w:right w:val="single" w:sz="4" w:color="D9D9D9"/>
            </w:tcBorders>
          </w:tcPr>
          <w:p>
            <w:pPr>
              <w:spacing w:line="240" w:lineRule="auto" w:after="80" w:before="80"/>
            </w:pPr>
            <w:r>
              <w:rPr>
                <w:b w:val="0"/>
                <w:sz w:val="20"/>
              </w:rPr>
              <w:t>[0.629, 0.813]</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r>
      <w:tr>
        <w:trPr>
          <w:cantSplit/>
        </w:trPr>
        <w:tc>
          <w:tcPr>
            <w:tcW w:type="dxa" w:w="2302"/>
            <w:tcBorders>
              <w:top w:val="single" w:sz="4" w:color="D9D9D9"/>
              <w:left w:val="single" w:sz="4" w:color="D9D9D9"/>
              <w:bottom w:val="single" w:sz="4" w:color="D9D9D9"/>
              <w:right w:val="single" w:sz="4" w:color="D9D9D9"/>
            </w:tcBorders>
          </w:tcPr>
          <w:p>
            <w:pPr>
              <w:spacing w:line="240" w:lineRule="auto" w:after="80" w:before="80"/>
            </w:pPr>
            <w:r>
              <w:rPr>
                <w:b w:val="0"/>
                <w:sz w:val="20"/>
              </w:rPr>
              <w:t>Exclude Study 1</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2255</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0.754</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0.052</w:t>
            </w:r>
          </w:p>
        </w:tc>
        <w:tc>
          <w:tcPr>
            <w:tcW w:type="dxa" w:w="2148"/>
            <w:tcBorders>
              <w:top w:val="single" w:sz="4" w:color="D9D9D9"/>
              <w:left w:val="single" w:sz="4" w:color="D9D9D9"/>
              <w:bottom w:val="single" w:sz="4" w:color="D9D9D9"/>
              <w:right w:val="single" w:sz="4" w:color="D9D9D9"/>
            </w:tcBorders>
          </w:tcPr>
          <w:p>
            <w:pPr>
              <w:spacing w:line="240" w:lineRule="auto" w:after="80" w:before="80"/>
            </w:pPr>
            <w:r>
              <w:rPr>
                <w:b w:val="0"/>
                <w:sz w:val="20"/>
              </w:rPr>
              <w:t>[0.652, 0.856]</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r>
      <w:tr>
        <w:trPr>
          <w:cantSplit/>
        </w:trPr>
        <w:tc>
          <w:tcPr>
            <w:tcW w:type="dxa" w:w="2302"/>
            <w:tcBorders>
              <w:top w:val="single" w:sz="4" w:color="D9D9D9"/>
              <w:left w:val="single" w:sz="4" w:color="D9D9D9"/>
              <w:bottom w:val="single" w:sz="4" w:color="D9D9D9"/>
              <w:right w:val="single" w:sz="4" w:color="D9D9D9"/>
            </w:tcBorders>
          </w:tcPr>
          <w:p>
            <w:pPr>
              <w:spacing w:line="240" w:lineRule="auto" w:after="80" w:before="80"/>
            </w:pPr>
            <w:r>
              <w:rPr>
                <w:b w:val="0"/>
                <w:sz w:val="20"/>
              </w:rPr>
              <w:t>Exclude Study 2</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2318</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0.728</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0.051</w:t>
            </w:r>
          </w:p>
        </w:tc>
        <w:tc>
          <w:tcPr>
            <w:tcW w:type="dxa" w:w="2148"/>
            <w:tcBorders>
              <w:top w:val="single" w:sz="4" w:color="D9D9D9"/>
              <w:left w:val="single" w:sz="4" w:color="D9D9D9"/>
              <w:bottom w:val="single" w:sz="4" w:color="D9D9D9"/>
              <w:right w:val="single" w:sz="4" w:color="D9D9D9"/>
            </w:tcBorders>
          </w:tcPr>
          <w:p>
            <w:pPr>
              <w:spacing w:line="240" w:lineRule="auto" w:after="80" w:before="80"/>
            </w:pPr>
            <w:r>
              <w:rPr>
                <w:b w:val="0"/>
                <w:sz w:val="20"/>
              </w:rPr>
              <w:t>[0.628, 0.827]</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r>
      <w:tr>
        <w:trPr>
          <w:cantSplit/>
        </w:trPr>
        <w:tc>
          <w:tcPr>
            <w:tcW w:type="dxa" w:w="2302"/>
            <w:tcBorders>
              <w:top w:val="single" w:sz="4" w:color="D9D9D9"/>
              <w:left w:val="single" w:sz="4" w:color="D9D9D9"/>
              <w:bottom w:val="single" w:sz="4" w:color="D9D9D9"/>
              <w:right w:val="single" w:sz="4" w:color="D9D9D9"/>
            </w:tcBorders>
          </w:tcPr>
          <w:p>
            <w:pPr>
              <w:spacing w:line="240" w:lineRule="auto" w:after="80" w:before="80"/>
            </w:pPr>
            <w:r>
              <w:rPr>
                <w:b w:val="0"/>
                <w:sz w:val="20"/>
              </w:rPr>
              <w:t>Exclude Study 3</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2241</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0.744</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0.052</w:t>
            </w:r>
          </w:p>
        </w:tc>
        <w:tc>
          <w:tcPr>
            <w:tcW w:type="dxa" w:w="2148"/>
            <w:tcBorders>
              <w:top w:val="single" w:sz="4" w:color="D9D9D9"/>
              <w:left w:val="single" w:sz="4" w:color="D9D9D9"/>
              <w:bottom w:val="single" w:sz="4" w:color="D9D9D9"/>
              <w:right w:val="single" w:sz="4" w:color="D9D9D9"/>
            </w:tcBorders>
          </w:tcPr>
          <w:p>
            <w:pPr>
              <w:spacing w:line="240" w:lineRule="auto" w:after="80" w:before="80"/>
            </w:pPr>
            <w:r>
              <w:rPr>
                <w:b w:val="0"/>
                <w:sz w:val="20"/>
              </w:rPr>
              <w:t>[0.642, 0.846]</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r>
      <w:tr>
        <w:trPr>
          <w:cantSplit/>
        </w:trPr>
        <w:tc>
          <w:tcPr>
            <w:tcW w:type="dxa" w:w="2302"/>
            <w:tcBorders>
              <w:top w:val="single" w:sz="4" w:color="D9D9D9"/>
              <w:left w:val="single" w:sz="4" w:color="D9D9D9"/>
              <w:bottom w:val="single" w:sz="4" w:color="D9D9D9"/>
              <w:right w:val="single" w:sz="4" w:color="D9D9D9"/>
            </w:tcBorders>
          </w:tcPr>
          <w:p>
            <w:pPr>
              <w:spacing w:line="240" w:lineRule="auto" w:after="80" w:before="80"/>
            </w:pPr>
            <w:r>
              <w:rPr>
                <w:b w:val="0"/>
                <w:sz w:val="20"/>
              </w:rPr>
              <w:t>Exclude Study 5</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2252</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0.700</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0.052</w:t>
            </w:r>
          </w:p>
        </w:tc>
        <w:tc>
          <w:tcPr>
            <w:tcW w:type="dxa" w:w="2148"/>
            <w:tcBorders>
              <w:top w:val="single" w:sz="4" w:color="D9D9D9"/>
              <w:left w:val="single" w:sz="4" w:color="D9D9D9"/>
              <w:bottom w:val="single" w:sz="4" w:color="D9D9D9"/>
              <w:right w:val="single" w:sz="4" w:color="D9D9D9"/>
            </w:tcBorders>
          </w:tcPr>
          <w:p>
            <w:pPr>
              <w:spacing w:line="240" w:lineRule="auto" w:after="80" w:before="80"/>
            </w:pPr>
            <w:r>
              <w:rPr>
                <w:b w:val="0"/>
                <w:sz w:val="20"/>
              </w:rPr>
              <w:t>[0.598, 0.802]</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r>
      <w:tr>
        <w:trPr>
          <w:cantSplit/>
        </w:trPr>
        <w:tc>
          <w:tcPr>
            <w:tcW w:type="dxa" w:w="2302"/>
            <w:tcBorders>
              <w:top w:val="single" w:sz="4" w:color="D9D9D9"/>
              <w:left w:val="single" w:sz="4" w:color="D9D9D9"/>
              <w:bottom w:val="single" w:sz="4" w:color="D9D9D9"/>
              <w:right w:val="single" w:sz="4" w:color="D9D9D9"/>
            </w:tcBorders>
          </w:tcPr>
          <w:p>
            <w:pPr>
              <w:spacing w:line="240" w:lineRule="auto" w:after="80" w:before="80"/>
            </w:pPr>
            <w:r>
              <w:rPr>
                <w:b w:val="0"/>
                <w:sz w:val="20"/>
              </w:rPr>
              <w:t>Exclude Study 6</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2316</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0.695</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0.050</w:t>
            </w:r>
          </w:p>
        </w:tc>
        <w:tc>
          <w:tcPr>
            <w:tcW w:type="dxa" w:w="2148"/>
            <w:tcBorders>
              <w:top w:val="single" w:sz="4" w:color="D9D9D9"/>
              <w:left w:val="single" w:sz="4" w:color="D9D9D9"/>
              <w:bottom w:val="single" w:sz="4" w:color="D9D9D9"/>
              <w:right w:val="single" w:sz="4" w:color="D9D9D9"/>
            </w:tcBorders>
          </w:tcPr>
          <w:p>
            <w:pPr>
              <w:spacing w:line="240" w:lineRule="auto" w:after="80" w:before="80"/>
            </w:pPr>
            <w:r>
              <w:rPr>
                <w:b w:val="0"/>
                <w:sz w:val="20"/>
              </w:rPr>
              <w:t>[0.597, 0.794]</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r>
      <w:tr>
        <w:trPr>
          <w:cantSplit/>
        </w:trPr>
        <w:tc>
          <w:tcPr>
            <w:tcW w:type="dxa" w:w="2302"/>
            <w:tcBorders>
              <w:top w:val="single" w:sz="4" w:color="D9D9D9"/>
              <w:left w:val="single" w:sz="4" w:color="D9D9D9"/>
              <w:bottom w:val="single" w:sz="4" w:color="D9D9D9"/>
              <w:right w:val="single" w:sz="4" w:color="D9D9D9"/>
            </w:tcBorders>
          </w:tcPr>
          <w:p>
            <w:pPr>
              <w:spacing w:line="240" w:lineRule="auto" w:after="80" w:before="80"/>
            </w:pPr>
            <w:r>
              <w:rPr>
                <w:b w:val="0"/>
                <w:sz w:val="20"/>
              </w:rPr>
              <w:t>Exclude Study 7</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2218</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0.706</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0.052</w:t>
            </w:r>
          </w:p>
        </w:tc>
        <w:tc>
          <w:tcPr>
            <w:tcW w:type="dxa" w:w="2148"/>
            <w:tcBorders>
              <w:top w:val="single" w:sz="4" w:color="D9D9D9"/>
              <w:left w:val="single" w:sz="4" w:color="D9D9D9"/>
              <w:bottom w:val="single" w:sz="4" w:color="D9D9D9"/>
              <w:right w:val="single" w:sz="4" w:color="D9D9D9"/>
            </w:tcBorders>
          </w:tcPr>
          <w:p>
            <w:pPr>
              <w:spacing w:line="240" w:lineRule="auto" w:after="80" w:before="80"/>
            </w:pPr>
            <w:r>
              <w:rPr>
                <w:b w:val="0"/>
                <w:sz w:val="20"/>
              </w:rPr>
              <w:t>[0.604, 0.808]</w:t>
            </w:r>
          </w:p>
        </w:tc>
        <w:tc>
          <w:tcPr>
            <w:tcW w:type="dxa" w:w="1228"/>
            <w:tcBorders>
              <w:top w:val="single" w:sz="4" w:color="D9D9D9"/>
              <w:left w:val="single" w:sz="4" w:color="D9D9D9"/>
              <w:bottom w:val="single" w:sz="4" w:color="D9D9D9"/>
              <w:right w:val="single" w:sz="4" w:color="D9D9D9"/>
            </w:tcBorders>
          </w:tcPr>
          <w:p>
            <w:pPr>
              <w:spacing w:line="240" w:lineRule="auto" w:after="80" w:before="80"/>
            </w:pPr>
            <w:r>
              <w:rPr>
                <w:b w:val="0"/>
                <w:sz w:val="20"/>
              </w:rPr>
              <w:t>&lt;.001</w:t>
            </w:r>
          </w:p>
        </w:tc>
      </w:tr>
    </w:tbl>
    <w:p>
      <w:pPr>
        <w:spacing w:after="40"/>
      </w:pPr>
    </w:p>
    <w:p>
      <w:pPr>
        <w:spacing w:line="264" w:lineRule="auto"/>
      </w:pPr>
      <w:r>
        <w:rPr>
          <w:i w:val="0"/>
          <w:sz w:val="20"/>
        </w:rPr>
        <w:t>Student additional analysis. All models use the original five-item composite, study fixed effects, a range indicator, conventional OLS standard errors, and t-based intervals. Omission models assess study influence; they are not independent confirmatory tests.</w:t>
      </w:r>
    </w:p>
    <w:p>
      <w:r>
        <w:br w:type="page"/>
      </w:r>
    </w:p>
    <w:p>
      <w:pPr>
        <w:pStyle w:val="Heading1"/>
      </w:pPr>
      <w:r>
        <w:t>Figure B1 Study 2 trust and perceived accuracy</w:t>
      </w:r>
    </w:p>
    <w:p>
      <w:r>
        <w:drawing>
          <wp:inline xmlns:a="http://schemas.openxmlformats.org/drawingml/2006/main" xmlns:pic="http://schemas.openxmlformats.org/drawingml/2006/picture">
            <wp:extent cx="5943600" cy="2729976"/>
            <wp:docPr id="2" name="Picture 2"/>
            <wp:cNvGraphicFramePr>
              <a:graphicFrameLocks noChangeAspect="1"/>
            </wp:cNvGraphicFramePr>
            <a:graphic>
              <a:graphicData uri="http://schemas.openxmlformats.org/drawingml/2006/picture">
                <pic:pic>
                  <pic:nvPicPr>
                    <pic:cNvPr id="0" name="study2_trust_accuracy.png"/>
                    <pic:cNvPicPr/>
                  </pic:nvPicPr>
                  <pic:blipFill>
                    <a:blip r:embed="rId11"/>
                    <a:stretch>
                      <a:fillRect/>
                    </a:stretch>
                  </pic:blipFill>
                  <pic:spPr>
                    <a:xfrm>
                      <a:off x="0" y="0"/>
                      <a:ext cx="5943600" cy="2729976"/>
                    </a:xfrm>
                    <a:prstGeom prst="rect"/>
                  </pic:spPr>
                </pic:pic>
              </a:graphicData>
            </a:graphic>
          </wp:inline>
        </w:drawing>
      </w:r>
    </w:p>
    <w:p>
      <w:pPr>
        <w:spacing w:line="264" w:lineRule="auto"/>
      </w:pPr>
      <w:r>
        <w:rPr>
          <w:i w:val="0"/>
          <w:sz w:val="20"/>
        </w:rPr>
        <w:t>Student additional analysis. Points are condition means; error bars are individual 95% t intervals.</w:t>
      </w:r>
    </w:p>
    <w:p>
      <w:r>
        <w:br w:type="page"/>
      </w:r>
    </w:p>
    <w:p>
      <w:pPr>
        <w:pStyle w:val="Heading1"/>
      </w:pPr>
      <w:r>
        <w:t>Figure B2 Leave one study out</w:t>
      </w:r>
    </w:p>
    <w:p>
      <w:r>
        <w:drawing>
          <wp:inline xmlns:a="http://schemas.openxmlformats.org/drawingml/2006/main" xmlns:pic="http://schemas.openxmlformats.org/drawingml/2006/picture">
            <wp:extent cx="5943600" cy="3821470"/>
            <wp:docPr id="3" name="Picture 3"/>
            <wp:cNvGraphicFramePr>
              <a:graphicFrameLocks noChangeAspect="1"/>
            </wp:cNvGraphicFramePr>
            <a:graphic>
              <a:graphicData uri="http://schemas.openxmlformats.org/drawingml/2006/picture">
                <pic:pic>
                  <pic:nvPicPr>
                    <pic:cNvPr id="0" name="leave_one_study_out.png"/>
                    <pic:cNvPicPr/>
                  </pic:nvPicPr>
                  <pic:blipFill>
                    <a:blip r:embed="rId12"/>
                    <a:stretch>
                      <a:fillRect/>
                    </a:stretch>
                  </pic:blipFill>
                  <pic:spPr>
                    <a:xfrm>
                      <a:off x="0" y="0"/>
                      <a:ext cx="5943600" cy="3821470"/>
                    </a:xfrm>
                    <a:prstGeom prst="rect"/>
                  </pic:spPr>
                </pic:pic>
              </a:graphicData>
            </a:graphic>
          </wp:inline>
        </w:drawing>
      </w:r>
    </w:p>
    <w:p>
      <w:pPr>
        <w:spacing w:line="264" w:lineRule="auto"/>
      </w:pPr>
      <w:r>
        <w:rPr>
          <w:i w:val="0"/>
          <w:sz w:val="20"/>
        </w:rPr>
        <w:t>Student additional analysis. Points are range coefficients and error bars are conventional OLS 95% t intervals. The dashed line marks the full-sample estimate.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