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DFB77E" w14:textId="62968D54" w:rsidR="00E06328" w:rsidRPr="00E06328" w:rsidRDefault="009E5A29" w:rsidP="00E06328">
      <w:pPr>
        <w:pStyle w:val="Title"/>
        <w:jc w:val="center"/>
        <w:rPr>
          <w:sz w:val="64"/>
          <w:szCs w:val="64"/>
        </w:rPr>
      </w:pPr>
      <w:r>
        <w:rPr>
          <w:sz w:val="64"/>
          <w:szCs w:val="64"/>
        </w:rPr>
        <w:t>Garrett’s</w:t>
      </w:r>
      <w:r w:rsidR="00E06328">
        <w:rPr>
          <w:sz w:val="64"/>
          <w:szCs w:val="64"/>
        </w:rPr>
        <w:t xml:space="preserve"> Workshop</w:t>
      </w:r>
    </w:p>
    <w:p w14:paraId="7848CC01" w14:textId="77777777" w:rsidR="00E06328" w:rsidRDefault="00E06328" w:rsidP="00577950">
      <w:pPr>
        <w:pStyle w:val="Title"/>
        <w:jc w:val="center"/>
        <w:rPr>
          <w:sz w:val="64"/>
          <w:szCs w:val="64"/>
        </w:rPr>
      </w:pPr>
    </w:p>
    <w:p w14:paraId="25BDAB47" w14:textId="29036BBF" w:rsidR="00577950" w:rsidRDefault="00577950" w:rsidP="00577950">
      <w:pPr>
        <w:pStyle w:val="Title"/>
        <w:jc w:val="center"/>
        <w:rPr>
          <w:sz w:val="64"/>
          <w:szCs w:val="64"/>
        </w:rPr>
      </w:pPr>
      <w:r>
        <w:rPr>
          <w:sz w:val="64"/>
          <w:szCs w:val="64"/>
        </w:rPr>
        <w:t>GW420</w:t>
      </w:r>
      <w:r w:rsidR="002A0B1A">
        <w:rPr>
          <w:sz w:val="64"/>
          <w:szCs w:val="64"/>
        </w:rPr>
        <w:t>3B</w:t>
      </w:r>
      <w:r>
        <w:rPr>
          <w:sz w:val="64"/>
          <w:szCs w:val="64"/>
        </w:rPr>
        <w:t xml:space="preserve"> “RAM2</w:t>
      </w:r>
      <w:r w:rsidR="002A0B1A">
        <w:rPr>
          <w:sz w:val="64"/>
          <w:szCs w:val="64"/>
        </w:rPr>
        <w:t>E</w:t>
      </w:r>
      <w:r w:rsidR="00674EEE">
        <w:rPr>
          <w:sz w:val="64"/>
          <w:szCs w:val="64"/>
        </w:rPr>
        <w:t xml:space="preserve"> II</w:t>
      </w:r>
      <w:r>
        <w:rPr>
          <w:sz w:val="64"/>
          <w:szCs w:val="64"/>
        </w:rPr>
        <w:t>”</w:t>
      </w:r>
    </w:p>
    <w:p w14:paraId="558B1E5C" w14:textId="0F01CD74" w:rsidR="00577950" w:rsidRDefault="00E208D4" w:rsidP="00577950">
      <w:pPr>
        <w:pStyle w:val="Subtitle"/>
        <w:jc w:val="center"/>
      </w:pPr>
      <w:proofErr w:type="spellStart"/>
      <w:r>
        <w:t>RAMWorks</w:t>
      </w:r>
      <w:proofErr w:type="spellEnd"/>
      <w:r>
        <w:t xml:space="preserve">-compatible </w:t>
      </w:r>
      <w:r w:rsidR="00577950">
        <w:t xml:space="preserve">RAM Expansion Card for Apple </w:t>
      </w:r>
      <w:proofErr w:type="spellStart"/>
      <w:r w:rsidR="00577950">
        <w:t>II</w:t>
      </w:r>
      <w:r w:rsidR="002A0B1A">
        <w:t>e</w:t>
      </w:r>
      <w:proofErr w:type="spellEnd"/>
    </w:p>
    <w:p w14:paraId="0A45054A" w14:textId="761AA869" w:rsidR="00FC1C32" w:rsidRPr="00FC1C32" w:rsidRDefault="00A91348" w:rsidP="006E082D">
      <w:pPr>
        <w:pStyle w:val="Title"/>
        <w:jc w:val="center"/>
      </w:pPr>
      <w:r>
        <w:t>User’s</w:t>
      </w:r>
      <w:r w:rsidR="00674EEE">
        <w:t xml:space="preserve"> Guide</w:t>
      </w:r>
    </w:p>
    <w:p w14:paraId="399AC8F3" w14:textId="38F09438" w:rsidR="00E06328" w:rsidRDefault="00FC1C32" w:rsidP="00FC1C32">
      <w:pPr>
        <w:spacing w:after="0"/>
        <w:jc w:val="center"/>
      </w:pPr>
      <w:r>
        <w:rPr>
          <w:noProof/>
        </w:rPr>
        <w:drawing>
          <wp:inline distT="0" distB="0" distL="0" distR="0" wp14:anchorId="0072E7AA" wp14:editId="05AA6CC0">
            <wp:extent cx="5029200" cy="37367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87329" cy="3779898"/>
                    </a:xfrm>
                    <a:prstGeom prst="rect">
                      <a:avLst/>
                    </a:prstGeom>
                  </pic:spPr>
                </pic:pic>
              </a:graphicData>
            </a:graphic>
          </wp:inline>
        </w:drawing>
      </w:r>
      <w:r w:rsidR="00E06328">
        <w:br w:type="page"/>
      </w:r>
    </w:p>
    <w:p w14:paraId="6D9FB802" w14:textId="02126E3D" w:rsidR="00E06328" w:rsidRDefault="00E06328" w:rsidP="00E06328">
      <w:pPr>
        <w:pStyle w:val="Heading1"/>
      </w:pPr>
      <w:r>
        <w:lastRenderedPageBreak/>
        <w:t>Overview</w:t>
      </w:r>
    </w:p>
    <w:p w14:paraId="6A5F9BD0" w14:textId="01BA6B31" w:rsidR="00352AA7" w:rsidRDefault="00352AA7" w:rsidP="00352AA7">
      <w:r>
        <w:t xml:space="preserve">RAM2E II (GW4203B) provides the Apple </w:t>
      </w:r>
      <w:proofErr w:type="spellStart"/>
      <w:r>
        <w:t>IIe</w:t>
      </w:r>
      <w:proofErr w:type="spellEnd"/>
      <w:r>
        <w:t xml:space="preserve"> with 8 MB of auxiliary memory and enables double-high-resolution graphics and 80-column text display modes.</w:t>
      </w:r>
    </w:p>
    <w:p w14:paraId="70E95AB1" w14:textId="77777777" w:rsidR="00352AA7" w:rsidRDefault="00352AA7" w:rsidP="00352AA7">
      <w:pPr>
        <w:pStyle w:val="Heading2"/>
      </w:pPr>
      <w:r>
        <w:t>Low-Power, SDRAM-Based Design</w:t>
      </w:r>
    </w:p>
    <w:p w14:paraId="43493A3A" w14:textId="0C6AD6DF" w:rsidR="00352AA7" w:rsidRDefault="00352AA7" w:rsidP="00352AA7">
      <w:r>
        <w:t xml:space="preserve">Thanks to a modern, low-power design, RAM2E II uses </w:t>
      </w:r>
      <w:r w:rsidR="00E048FE">
        <w:t xml:space="preserve">only </w:t>
      </w:r>
      <w:r>
        <w:t>0.2 watts</w:t>
      </w:r>
      <w:r w:rsidR="00116FBB">
        <w:t xml:space="preserve"> (40 mA @ 5V)</w:t>
      </w:r>
      <w:r>
        <w:t xml:space="preserve"> </w:t>
      </w:r>
      <w:r w:rsidR="00E048FE">
        <w:t>in</w:t>
      </w:r>
      <w:r w:rsidR="00C25753">
        <w:t xml:space="preserve"> </w:t>
      </w:r>
      <w:r w:rsidR="00AC3108">
        <w:t>typical</w:t>
      </w:r>
      <w:r w:rsidR="00C25753">
        <w:t xml:space="preserve"> use</w:t>
      </w:r>
      <w:r>
        <w:t xml:space="preserve"> and 0.</w:t>
      </w:r>
      <w:r w:rsidR="00C25753">
        <w:t>4</w:t>
      </w:r>
      <w:r w:rsidR="00944C07">
        <w:t xml:space="preserve"> watts</w:t>
      </w:r>
      <w:r w:rsidR="00116FBB">
        <w:t xml:space="preserve"> (80 mA @ 5V)</w:t>
      </w:r>
      <w:r>
        <w:t xml:space="preserve"> in </w:t>
      </w:r>
      <w:r w:rsidR="00C25753">
        <w:t>heavy</w:t>
      </w:r>
      <w:r>
        <w:t xml:space="preserve"> use</w:t>
      </w:r>
      <w:r w:rsidR="00C25753">
        <w:t xml:space="preserve"> </w:t>
      </w:r>
      <w:r w:rsidR="00E048FE">
        <w:t xml:space="preserve">with </w:t>
      </w:r>
      <w:r w:rsidR="00C25753">
        <w:t>an accelerator</w:t>
      </w:r>
      <w:r w:rsidR="00C25753">
        <w:rPr>
          <w:rStyle w:val="FootnoteReference"/>
        </w:rPr>
        <w:footnoteReference w:id="1"/>
      </w:r>
      <w:r>
        <w:t>.</w:t>
      </w:r>
      <w:r w:rsidR="00466DBE">
        <w:t xml:space="preserve"> In contrast, a</w:t>
      </w:r>
      <w:r w:rsidR="001F3306">
        <w:t xml:space="preserve"> typical 80-column card consumes over 1 watt of power, and a</w:t>
      </w:r>
      <w:r w:rsidR="00466DBE">
        <w:t xml:space="preserve"> 1 MB </w:t>
      </w:r>
      <w:proofErr w:type="spellStart"/>
      <w:r w:rsidR="00466DBE">
        <w:t>RAMWorks</w:t>
      </w:r>
      <w:proofErr w:type="spellEnd"/>
      <w:r w:rsidR="00466DBE">
        <w:t xml:space="preserve"> III consumes 2 watts</w:t>
      </w:r>
      <w:r w:rsidR="001F3306">
        <w:t xml:space="preserve"> or </w:t>
      </w:r>
      <w:r w:rsidR="00466DBE">
        <w:t>more.</w:t>
      </w:r>
      <w:r>
        <w:t xml:space="preserve"> Unlike other </w:t>
      </w:r>
      <w:proofErr w:type="spellStart"/>
      <w:r>
        <w:t>IIe</w:t>
      </w:r>
      <w:proofErr w:type="spellEnd"/>
      <w:r>
        <w:t xml:space="preserve"> auxiliary memory cards, which are built with vintage asynchronous DRAM chips, RAM2E II uses modern SDRAM. This design allows for low power consumption and improved reliability over other memory cards using 15+ year old chips.</w:t>
      </w:r>
    </w:p>
    <w:p w14:paraId="6B4B9BB5" w14:textId="77777777" w:rsidR="00352AA7" w:rsidRDefault="00352AA7" w:rsidP="00352AA7">
      <w:pPr>
        <w:pStyle w:val="Heading2"/>
      </w:pPr>
      <w:r>
        <w:t>Small Size, Low-Profile</w:t>
      </w:r>
    </w:p>
    <w:p w14:paraId="4EA16A63" w14:textId="77777777" w:rsidR="00352AA7" w:rsidRDefault="00352AA7" w:rsidP="00352AA7">
      <w:r>
        <w:t xml:space="preserve">RAM2E II features a small board outline and is the thinnest Apple </w:t>
      </w:r>
      <w:proofErr w:type="spellStart"/>
      <w:r>
        <w:t>IIe</w:t>
      </w:r>
      <w:proofErr w:type="spellEnd"/>
      <w:r>
        <w:t xml:space="preserve"> auxiliary memory card ever produced, at under 4mm thin. Small and thin dimensions improve the mechanical compatibility between RAM2E </w:t>
      </w:r>
      <w:proofErr w:type="gramStart"/>
      <w:r>
        <w:t>II</w:t>
      </w:r>
      <w:proofErr w:type="gramEnd"/>
      <w:r>
        <w:t xml:space="preserve"> and peripheral cards installed into the </w:t>
      </w:r>
      <w:proofErr w:type="spellStart"/>
      <w:r>
        <w:t>IIe's</w:t>
      </w:r>
      <w:proofErr w:type="spellEnd"/>
      <w:r>
        <w:t xml:space="preserve"> Slot 1.</w:t>
      </w:r>
    </w:p>
    <w:p w14:paraId="217B26B7" w14:textId="77777777" w:rsidR="00352AA7" w:rsidRDefault="00352AA7" w:rsidP="00352AA7">
      <w:pPr>
        <w:pStyle w:val="Heading2"/>
      </w:pPr>
      <w:r>
        <w:t>Adjustable Capacity, Highly Compatible</w:t>
      </w:r>
    </w:p>
    <w:p w14:paraId="0929C69E" w14:textId="200F1DF4" w:rsidR="00352AA7" w:rsidRDefault="00352AA7" w:rsidP="00352AA7">
      <w:r>
        <w:t>RAM2E II is highly compatible with existing software</w:t>
      </w:r>
      <w:r w:rsidR="00395BA2">
        <w:t xml:space="preserve"> that </w:t>
      </w:r>
      <w:r w:rsidR="007D4A95">
        <w:t>utilizes</w:t>
      </w:r>
      <w:r w:rsidR="00395BA2">
        <w:t xml:space="preserve"> </w:t>
      </w:r>
      <w:proofErr w:type="spellStart"/>
      <w:r w:rsidR="00395BA2">
        <w:t>RAMWorks</w:t>
      </w:r>
      <w:proofErr w:type="spellEnd"/>
      <w:r w:rsidR="00395BA2">
        <w:t xml:space="preserve"> memory standard</w:t>
      </w:r>
      <w:r>
        <w:t>. An adjustable capacity feature allows the memory size to be set to 64 kB, 512 kB, 1 MB, 4 MB, or 8 MB, improving compatibility with software expecting a particular memory capacity. Capacity settings can be set temporarily or saved in nonvolatile memory. The capacity adjustment utility is available on our websit</w:t>
      </w:r>
      <w:r w:rsidR="00947679">
        <w:t>e:</w:t>
      </w:r>
      <w:r>
        <w:t xml:space="preserve"> </w:t>
      </w:r>
      <w:hyperlink r:id="rId8" w:history="1">
        <w:r w:rsidRPr="003E2A32">
          <w:rPr>
            <w:rStyle w:val="Hyperlink"/>
          </w:rPr>
          <w:t>http://garrettsworkshop.com</w:t>
        </w:r>
      </w:hyperlink>
    </w:p>
    <w:p w14:paraId="21E1B611" w14:textId="05039B2D" w:rsidR="00352AA7" w:rsidRDefault="00352AA7" w:rsidP="00352AA7">
      <w:pPr>
        <w:pStyle w:val="Heading2"/>
      </w:pPr>
      <w:r>
        <w:t>Ecologically Friendly, Gold-Plated PCB</w:t>
      </w:r>
    </w:p>
    <w:p w14:paraId="14FA6ED4" w14:textId="60A780B8" w:rsidR="00412C68" w:rsidRDefault="00352AA7" w:rsidP="00412C68">
      <w:r>
        <w:t xml:space="preserve">RAM2E II </w:t>
      </w:r>
      <w:r w:rsidR="003C298E">
        <w:t>is built with</w:t>
      </w:r>
      <w:r>
        <w:t xml:space="preserve"> a lead-free, ENIG gold-plated, 4-layer PCB and is fully EU RoHS-compliant.</w:t>
      </w:r>
      <w:r w:rsidR="003C298E">
        <w:t xml:space="preserve"> </w:t>
      </w:r>
      <w:r>
        <w:t>All units are tested extensively before shipment</w:t>
      </w:r>
      <w:r w:rsidR="00296FA9">
        <w:t xml:space="preserve">, and </w:t>
      </w:r>
      <w:r w:rsidR="00B96CE1">
        <w:t>o</w:t>
      </w:r>
      <w:r>
        <w:t>nly new parts are used to build RAM2E II</w:t>
      </w:r>
      <w:r w:rsidR="00466DBE">
        <w:t>.</w:t>
      </w:r>
    </w:p>
    <w:p w14:paraId="667A85A4" w14:textId="59F8C325" w:rsidR="00412C68" w:rsidRDefault="00412C68" w:rsidP="00412C68">
      <w:pPr>
        <w:pStyle w:val="Heading2"/>
      </w:pPr>
      <w:r>
        <w:t>Open-Source Design</w:t>
      </w:r>
    </w:p>
    <w:p w14:paraId="27B92EC3" w14:textId="1BEC19D6" w:rsidR="00FF2B04" w:rsidRDefault="00352AA7" w:rsidP="00FF2B04">
      <w:pPr>
        <w:rPr>
          <w:rStyle w:val="Hyperlink"/>
        </w:rPr>
      </w:pPr>
      <w:r>
        <w:t xml:space="preserve">RAM2E II's design is fully </w:t>
      </w:r>
      <w:proofErr w:type="gramStart"/>
      <w:r>
        <w:t>open-source</w:t>
      </w:r>
      <w:proofErr w:type="gramEnd"/>
      <w:r>
        <w:t>. The schematics, board layouts, CPLD firmware, and utility software are all freely available for commercial and noncommercial use. To download the design files, visit the Garrett's Workshop GitHub page</w:t>
      </w:r>
      <w:r w:rsidR="00947679">
        <w:t>:</w:t>
      </w:r>
      <w:r>
        <w:t xml:space="preserve"> </w:t>
      </w:r>
      <w:hyperlink r:id="rId9" w:history="1">
        <w:r w:rsidRPr="003E2A32">
          <w:rPr>
            <w:rStyle w:val="Hyperlink"/>
          </w:rPr>
          <w:t>https://github.com/garrettsworkshop</w:t>
        </w:r>
      </w:hyperlink>
    </w:p>
    <w:p w14:paraId="05EC1429" w14:textId="77777777" w:rsidR="0062139D" w:rsidRDefault="0062139D" w:rsidP="0062139D">
      <w:pPr>
        <w:pStyle w:val="Heading2"/>
      </w:pPr>
      <w:r>
        <w:t>Activity LED</w:t>
      </w:r>
    </w:p>
    <w:p w14:paraId="4BA7F844" w14:textId="34256106" w:rsidR="0062139D" w:rsidRDefault="0062139D" w:rsidP="00FF2B04">
      <w:r>
        <w:t>All RAM2E II cards sold since October 2021 are equipped with an activity LED. By default, the LED is disabled and will not illuminate. If enabled using the GWRAM utility, the LED will illuminate during RAM access cycles.</w:t>
      </w:r>
    </w:p>
    <w:p w14:paraId="0643C90F" w14:textId="7971734C" w:rsidR="00FF2B04" w:rsidRDefault="00FF2B04" w:rsidP="0062139D">
      <w:pPr>
        <w:pStyle w:val="Heading1"/>
      </w:pPr>
      <w:r>
        <w:t xml:space="preserve">Note for Revision </w:t>
      </w:r>
      <w:proofErr w:type="gramStart"/>
      <w:r>
        <w:t>A</w:t>
      </w:r>
      <w:proofErr w:type="gramEnd"/>
      <w:r>
        <w:t xml:space="preserve"> Apple </w:t>
      </w:r>
      <w:proofErr w:type="spellStart"/>
      <w:r>
        <w:t>IIe</w:t>
      </w:r>
      <w:proofErr w:type="spellEnd"/>
      <w:r>
        <w:t xml:space="preserve"> Owners</w:t>
      </w:r>
    </w:p>
    <w:p w14:paraId="138F5743" w14:textId="77777777" w:rsidR="00DB7621" w:rsidRDefault="00FF2B04" w:rsidP="00DC0EC6">
      <w:r>
        <w:t xml:space="preserve">If you own </w:t>
      </w:r>
      <w:r w:rsidR="00C25BE0">
        <w:t>the uncommon</w:t>
      </w:r>
      <w:r>
        <w:t xml:space="preserve"> revision </w:t>
      </w:r>
      <w:proofErr w:type="gramStart"/>
      <w:r>
        <w:t>A</w:t>
      </w:r>
      <w:proofErr w:type="gramEnd"/>
      <w:r>
        <w:t xml:space="preserve"> Apple </w:t>
      </w:r>
      <w:proofErr w:type="spellStart"/>
      <w:r>
        <w:t>IIe</w:t>
      </w:r>
      <w:proofErr w:type="spellEnd"/>
      <w:r>
        <w:t xml:space="preserve"> and are interested in RAM2E II, please read this! RAM2E II requires a small modification to be compatible with the with the rev. </w:t>
      </w:r>
      <w:proofErr w:type="gramStart"/>
      <w:r>
        <w:t>A</w:t>
      </w:r>
      <w:proofErr w:type="gramEnd"/>
      <w:r>
        <w:t xml:space="preserve"> Apple </w:t>
      </w:r>
      <w:proofErr w:type="spellStart"/>
      <w:r>
        <w:t>IIe</w:t>
      </w:r>
      <w:proofErr w:type="spellEnd"/>
      <w:r>
        <w:t>. The modification consists of removal of the “DHGR” jumper resistor</w:t>
      </w:r>
      <w:r w:rsidR="00466DBE">
        <w:t xml:space="preserve"> or cutting the associated jumper trace</w:t>
      </w:r>
      <w:r>
        <w:t>.</w:t>
      </w:r>
    </w:p>
    <w:p w14:paraId="5C551146" w14:textId="718376E9" w:rsidR="00DC0EC6" w:rsidRDefault="00DB7621" w:rsidP="00DC0EC6">
      <w:r>
        <w:lastRenderedPageBreak/>
        <w:t xml:space="preserve">Revision A machines </w:t>
      </w:r>
      <w:r w:rsidRPr="00DB7621">
        <w:t xml:space="preserve">can be identified by their part number </w:t>
      </w:r>
      <w:r>
        <w:t>“</w:t>
      </w:r>
      <w:r w:rsidRPr="00DB7621">
        <w:t>820-0064-A</w:t>
      </w:r>
      <w:r>
        <w:t xml:space="preserve">” </w:t>
      </w:r>
      <w:r w:rsidRPr="00DB7621">
        <w:t>printed at the top of the motherboard near the slots.</w:t>
      </w:r>
      <w:r>
        <w:t xml:space="preserve"> </w:t>
      </w:r>
      <w:r w:rsidR="00FF2B04">
        <w:t xml:space="preserve">If you have a rev. </w:t>
      </w:r>
      <w:proofErr w:type="gramStart"/>
      <w:r w:rsidR="00FF2B04">
        <w:t>A</w:t>
      </w:r>
      <w:proofErr w:type="gramEnd"/>
      <w:r w:rsidR="00FF2B04">
        <w:t xml:space="preserve"> Apple </w:t>
      </w:r>
      <w:proofErr w:type="spellStart"/>
      <w:r w:rsidR="00FF2B04">
        <w:t>IIe</w:t>
      </w:r>
      <w:proofErr w:type="spellEnd"/>
      <w:r w:rsidR="00FF2B04">
        <w:t>, please contact us before purchasing and we can make the modification before shipping your RAM2E unit. However, do note that with the modification made, RAM2E II will not support the double-high-resolution graphics display mode.</w:t>
      </w:r>
    </w:p>
    <w:p w14:paraId="07B49F65" w14:textId="06947C00" w:rsidR="00C90384" w:rsidRDefault="00C90384" w:rsidP="004A52A2">
      <w:pPr>
        <w:pStyle w:val="Heading1"/>
      </w:pPr>
      <w:r>
        <w:t>Note for A2Heaven VGA Scaler Owners</w:t>
      </w:r>
    </w:p>
    <w:p w14:paraId="1900DBFE" w14:textId="1CE250BA" w:rsidR="00C90384" w:rsidRDefault="00C90384" w:rsidP="00F92281">
      <w:r>
        <w:t xml:space="preserve">If you own the A2Heaven VGA Scaler and are interested in RAM2E II, please read this! There is a slight incompatibility between RAM2E </w:t>
      </w:r>
      <w:proofErr w:type="gramStart"/>
      <w:r>
        <w:t>II</w:t>
      </w:r>
      <w:proofErr w:type="gramEnd"/>
      <w:r>
        <w:t xml:space="preserve"> and the A2Heaven VGA Scaler as shipped.</w:t>
      </w:r>
    </w:p>
    <w:p w14:paraId="6D1CADF6" w14:textId="7C8622DF" w:rsidR="00787AA5" w:rsidRDefault="00C90384" w:rsidP="00F92281">
      <w:r>
        <w:t xml:space="preserve">As owners of the VGA Scaler will know, a </w:t>
      </w:r>
      <w:r w:rsidR="00947679">
        <w:t xml:space="preserve">long </w:t>
      </w:r>
      <w:r>
        <w:t xml:space="preserve">jumper wire is required to connect the VGA Scaler to the Apple </w:t>
      </w:r>
      <w:proofErr w:type="spellStart"/>
      <w:r>
        <w:t>IIe’s</w:t>
      </w:r>
      <w:proofErr w:type="spellEnd"/>
      <w:r>
        <w:t xml:space="preserve"> 14</w:t>
      </w:r>
      <w:r w:rsidR="0024362D">
        <w:t>.318</w:t>
      </w:r>
      <w:r>
        <w:t xml:space="preserve"> MHz clock signal. This arrangement causes glitches in the 14 MHz clock signal and is therefore not compatible with RAM2E II. </w:t>
      </w:r>
      <w:r w:rsidR="00787AA5">
        <w:t>Just a slight modification to the wire arrangement is necessary to fix the problem.</w:t>
      </w:r>
    </w:p>
    <w:p w14:paraId="47185C5F" w14:textId="40F4B661" w:rsidR="00787AA5" w:rsidRDefault="003B3976" w:rsidP="00F92281">
      <w:r>
        <w:rPr>
          <w:noProof/>
        </w:rPr>
        <w:drawing>
          <wp:anchor distT="0" distB="0" distL="114300" distR="114300" simplePos="0" relativeHeight="251658240" behindDoc="0" locked="0" layoutInCell="1" allowOverlap="1" wp14:anchorId="3BBD57F1" wp14:editId="30007F0A">
            <wp:simplePos x="0" y="0"/>
            <wp:positionH relativeFrom="column">
              <wp:posOffset>2815590</wp:posOffset>
            </wp:positionH>
            <wp:positionV relativeFrom="paragraph">
              <wp:posOffset>132080</wp:posOffset>
            </wp:positionV>
            <wp:extent cx="3665220" cy="2127250"/>
            <wp:effectExtent l="0" t="0" r="5080" b="6350"/>
            <wp:wrapSquare wrapText="bothSides"/>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rotWithShape="1">
                    <a:blip r:embed="rId10" cstate="print">
                      <a:extLst>
                        <a:ext uri="{28A0092B-C50C-407E-A947-70E740481C1C}">
                          <a14:useLocalDpi xmlns:a14="http://schemas.microsoft.com/office/drawing/2010/main" val="0"/>
                        </a:ext>
                      </a:extLst>
                    </a:blip>
                    <a:srcRect l="5129" t="7428" r="30439" b="30668"/>
                    <a:stretch/>
                  </pic:blipFill>
                  <pic:spPr bwMode="auto">
                    <a:xfrm>
                      <a:off x="0" y="0"/>
                      <a:ext cx="3665220" cy="2127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7AA5">
        <w:t>For customers purchasing a new RAM2E, we can at your request mount a special connector that supplies a buffered copy of the 14.318 MHz clock signal. Connect the VGA Scaler’s 14 MHz clock wire to this header. A picture indicating the location of the 14 MHz clock header is shown to the right.</w:t>
      </w:r>
    </w:p>
    <w:p w14:paraId="393B8A16" w14:textId="12E984AA" w:rsidR="00787AA5" w:rsidRDefault="00787AA5" w:rsidP="00F92281">
      <w:r>
        <w:t xml:space="preserve">For customers who already own a RAM2E without the clock header, </w:t>
      </w:r>
      <w:r w:rsidR="003B3976">
        <w:t>contact us and we can supply a special cable that can be used in place of the one included with the VGA scaler.</w:t>
      </w:r>
    </w:p>
    <w:p w14:paraId="606805F6" w14:textId="36398396" w:rsidR="003B3976" w:rsidRDefault="004A52A2" w:rsidP="00F92281">
      <w:r>
        <w:t>Either one of these solutions addresses the incompatibility, making RAM2E II fully compatible with the A2 Heaven VGA Scaler.</w:t>
      </w:r>
    </w:p>
    <w:p w14:paraId="58009795" w14:textId="78208A9C" w:rsidR="003B3976" w:rsidRPr="003B3976" w:rsidRDefault="00990EB6" w:rsidP="00F92281">
      <w:pPr>
        <w:rPr>
          <w:i/>
          <w:iCs/>
        </w:rPr>
      </w:pPr>
      <w:r>
        <w:rPr>
          <w:i/>
          <w:iCs/>
        </w:rPr>
        <w:br/>
      </w:r>
      <w:r w:rsidR="00C90384" w:rsidRPr="003B3976">
        <w:rPr>
          <w:i/>
          <w:iCs/>
        </w:rPr>
        <w:t>A technical description of the issue with the A2Heaven VGA Scaler follows:</w:t>
      </w:r>
    </w:p>
    <w:p w14:paraId="5EC8D051" w14:textId="45239C61" w:rsidR="00C90384" w:rsidRPr="00331776" w:rsidRDefault="00C90384" w:rsidP="00331776">
      <w:r>
        <w:t xml:space="preserve">The incompatibility involves the mishandling of the Apple II’s 14.318 MHz master clock signal by the VGA Scaler. The VGA Scaler connects to the 14.318 MHz clock through a long wire. The addition to the clock signal line of this wire in combination with the input capacitance of the VGA Scaler’s FPGA causes significant distortion to the clock waveform. This distortion includes ringing and long rise times. While the slower response time of the ICs in the Apple </w:t>
      </w:r>
      <w:proofErr w:type="spellStart"/>
      <w:r>
        <w:t>IIe</w:t>
      </w:r>
      <w:proofErr w:type="spellEnd"/>
      <w:r>
        <w:t xml:space="preserve"> makes </w:t>
      </w:r>
      <w:r w:rsidR="009A49D4">
        <w:t>the Apple itself</w:t>
      </w:r>
      <w:r>
        <w:t xml:space="preserve"> insensitive to this distortion of the clock signal, a more modern card such as RAM2E II is susceptible to these clock signal artifacts. In our testing, the jumper wire arrangement can cause instability and periodic memory errors in RAM2E II. Adding an additional </w:t>
      </w:r>
      <m:oMath>
        <m:r>
          <w:rPr>
            <w:rFonts w:ascii="Cambria Math" w:hAnsi="Cambria Math"/>
          </w:rPr>
          <m:t xml:space="preserve">50 </m:t>
        </m:r>
        <m:r>
          <m:rPr>
            <m:sty m:val="p"/>
          </m:rPr>
          <w:rPr>
            <w:rFonts w:ascii="Cambria Math" w:hAnsi="Cambria Math"/>
          </w:rPr>
          <m:t>Ω</m:t>
        </m:r>
      </m:oMath>
      <w:r>
        <w:t xml:space="preserve"> series resistance to the clock wire going to the VGA Scaler minimizes the impact of the wire arrangement and allows the system to run stably.</w:t>
      </w:r>
      <w:r w:rsidR="003B3976">
        <w:t xml:space="preserve"> Alternatively, the 14 MHz clock can be buffered with a fast propagation delay buffer, thus isolating the clock networks and mitigating the clock artifacts.</w:t>
      </w:r>
      <w:r>
        <w:rPr>
          <w:rFonts w:ascii="AppleSystemUIFont" w:hAnsi="AppleSystemUIFont" w:cs="AppleSystemUIFont"/>
        </w:rPr>
        <w:br w:type="page"/>
      </w:r>
    </w:p>
    <w:p w14:paraId="6273E796" w14:textId="77777777" w:rsidR="00E06328" w:rsidRDefault="00E06328" w:rsidP="00E06328">
      <w:pPr>
        <w:pStyle w:val="Heading1"/>
      </w:pPr>
      <w:r>
        <w:lastRenderedPageBreak/>
        <w:t>Installation</w:t>
      </w:r>
    </w:p>
    <w:p w14:paraId="7B16A91E" w14:textId="5F0F805F" w:rsidR="003B7C57" w:rsidRDefault="00466DBE" w:rsidP="003B7C57">
      <w:r>
        <w:t>RAM2E II</w:t>
      </w:r>
      <w:r w:rsidR="003B7C57">
        <w:t xml:space="preserve"> must be installed into the Apple </w:t>
      </w:r>
      <w:proofErr w:type="spellStart"/>
      <w:r w:rsidR="003B7C57">
        <w:t>IIe</w:t>
      </w:r>
      <w:proofErr w:type="spellEnd"/>
      <w:r w:rsidR="003B7C57">
        <w:t xml:space="preserve"> auxiliary slot. Do not install the card into one of the seven expansion card slots. Also ensure that </w:t>
      </w:r>
      <w:r>
        <w:t>RAM2E II</w:t>
      </w:r>
      <w:r w:rsidR="003B7C57">
        <w:t xml:space="preserve"> is inserted in the correct orientation. Markings on the card indicate the side which must face towards the power supply of the Apple </w:t>
      </w:r>
      <w:proofErr w:type="spellStart"/>
      <w:r w:rsidR="003B7C57">
        <w:t>IIe</w:t>
      </w:r>
      <w:proofErr w:type="spellEnd"/>
      <w:r w:rsidR="003B7C57">
        <w:t>.</w:t>
      </w:r>
    </w:p>
    <w:p w14:paraId="130BAD0F" w14:textId="4A901C40" w:rsidR="00D3649C" w:rsidRPr="00D3649C" w:rsidRDefault="00D3649C" w:rsidP="00D3649C">
      <w:pPr>
        <w:pStyle w:val="Heading1"/>
      </w:pPr>
      <w:r>
        <w:t>Changing RAM Capacity</w:t>
      </w:r>
    </w:p>
    <w:p w14:paraId="100FC414" w14:textId="5D301EE8" w:rsidR="00F757D0" w:rsidRDefault="00C21631" w:rsidP="00F757D0">
      <w:r>
        <w:t>In order to maximize compatibility, the memory capacity of RAM2</w:t>
      </w:r>
      <w:r w:rsidR="00B13888">
        <w:t xml:space="preserve">E II </w:t>
      </w:r>
      <w:r>
        <w:t>can be changed</w:t>
      </w:r>
      <w:r w:rsidR="00F757D0">
        <w:t xml:space="preserve"> to </w:t>
      </w:r>
      <w:r w:rsidR="00B13888">
        <w:t xml:space="preserve">64 kilobytes, 512 kilobytes, 1 megabyte, 4 megabytes, or 8 megabytes. </w:t>
      </w:r>
      <w:r>
        <w:t xml:space="preserve">The capacity can be set either temporarily until the Apple </w:t>
      </w:r>
      <w:proofErr w:type="spellStart"/>
      <w:r>
        <w:t>II</w:t>
      </w:r>
      <w:r w:rsidR="00B13888">
        <w:t>e</w:t>
      </w:r>
      <w:proofErr w:type="spellEnd"/>
      <w:r>
        <w:t xml:space="preserve"> is powered off, or in nonvolatile memory</w:t>
      </w:r>
      <w:r w:rsidR="00022E84">
        <w:t xml:space="preserve"> </w:t>
      </w:r>
      <w:r>
        <w:t>where the setting will persist.</w:t>
      </w:r>
    </w:p>
    <w:p w14:paraId="11BA9676" w14:textId="21365610" w:rsidR="005C5798" w:rsidRDefault="00F757D0" w:rsidP="00F757D0">
      <w:r>
        <w:t xml:space="preserve">Capacity adjustment is accomplished using the “GWRAM” utility program available for download </w:t>
      </w:r>
      <w:r w:rsidR="00D843C6">
        <w:t xml:space="preserve">from </w:t>
      </w:r>
      <w:r>
        <w:t xml:space="preserve">our website at </w:t>
      </w:r>
      <w:hyperlink r:id="rId11" w:history="1">
        <w:r w:rsidRPr="003E2A32">
          <w:rPr>
            <w:rStyle w:val="Hyperlink"/>
          </w:rPr>
          <w:t>http://garrettsworkshop.com/</w:t>
        </w:r>
        <w:r w:rsidR="00F24F78" w:rsidRPr="00F24F78">
          <w:rPr>
            <w:rStyle w:val="Hyperlink"/>
          </w:rPr>
          <w:t>files/GWRAM/GWRAM.po</w:t>
        </w:r>
      </w:hyperlink>
      <w:r>
        <w:t>. The program is packaged as a 140 kB</w:t>
      </w:r>
      <w:r w:rsidR="00022E84">
        <w:t xml:space="preserve"> .po format</w:t>
      </w:r>
      <w:r>
        <w:t xml:space="preserve"> disk image containing the GWRAM utility </w:t>
      </w:r>
      <w:r w:rsidR="005C5798">
        <w:t>and</w:t>
      </w:r>
      <w:r>
        <w:t xml:space="preserve"> </w:t>
      </w:r>
      <w:proofErr w:type="spellStart"/>
      <w:r>
        <w:t>ProDOS</w:t>
      </w:r>
      <w:proofErr w:type="spellEnd"/>
      <w:r>
        <w:t xml:space="preserve"> 2.4.2</w:t>
      </w:r>
      <w:r w:rsidR="005C5798">
        <w:t>.</w:t>
      </w:r>
    </w:p>
    <w:p w14:paraId="08121F5A" w14:textId="69BAA9AD" w:rsidR="005C5798" w:rsidRDefault="005C5798" w:rsidP="00F757D0">
      <w:r>
        <w:t xml:space="preserve">After launching </w:t>
      </w:r>
      <w:r w:rsidR="00756698">
        <w:t xml:space="preserve">GWRAM </w:t>
      </w:r>
      <w:r>
        <w:t xml:space="preserve">on an Apple </w:t>
      </w:r>
      <w:proofErr w:type="spellStart"/>
      <w:r>
        <w:t>II</w:t>
      </w:r>
      <w:r w:rsidR="00B13888">
        <w:t>e</w:t>
      </w:r>
      <w:proofErr w:type="spellEnd"/>
      <w:r>
        <w:t xml:space="preserve"> with a RAM2</w:t>
      </w:r>
      <w:r w:rsidR="00B13888">
        <w:t>E</w:t>
      </w:r>
      <w:r>
        <w:t xml:space="preserve"> II card, the following menu is </w:t>
      </w:r>
      <w:r w:rsidR="00010274">
        <w:t>shown</w:t>
      </w:r>
      <w:r>
        <w:t>:</w:t>
      </w:r>
    </w:p>
    <w:p w14:paraId="496E63FF" w14:textId="010E51EA" w:rsidR="005C5798" w:rsidRDefault="00A2747A" w:rsidP="00F757D0">
      <w:r>
        <w:rPr>
          <w:noProof/>
        </w:rPr>
        <w:drawing>
          <wp:inline distT="0" distB="0" distL="0" distR="0" wp14:anchorId="74B9D876" wp14:editId="1D693BC0">
            <wp:extent cx="5943600" cy="4116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116070"/>
                    </a:xfrm>
                    <a:prstGeom prst="rect">
                      <a:avLst/>
                    </a:prstGeom>
                  </pic:spPr>
                </pic:pic>
              </a:graphicData>
            </a:graphic>
          </wp:inline>
        </w:drawing>
      </w:r>
    </w:p>
    <w:p w14:paraId="1197C612" w14:textId="77777777" w:rsidR="00927FEB" w:rsidRDefault="00B13888" w:rsidP="00F757D0">
      <w:r>
        <w:t>For example, b</w:t>
      </w:r>
      <w:r w:rsidR="005C5798">
        <w:t xml:space="preserve">y pressing the “1” key, the capacity can be set to </w:t>
      </w:r>
      <w:r>
        <w:t xml:space="preserve">64 kilobytes </w:t>
      </w:r>
      <w:r w:rsidR="005C5798">
        <w:t xml:space="preserve">until the computer is powered off. By pressing Apple+1 (open-Apple or closed-Apple), the </w:t>
      </w:r>
      <w:proofErr w:type="gramStart"/>
      <w:r>
        <w:t>64 kilobyte</w:t>
      </w:r>
      <w:proofErr w:type="gramEnd"/>
      <w:r>
        <w:t xml:space="preserve"> capacity</w:t>
      </w:r>
      <w:r w:rsidR="005C5798">
        <w:t xml:space="preserve"> setting can be saved in nonvolatile memory as well, so that it is restored on power-up.</w:t>
      </w:r>
    </w:p>
    <w:p w14:paraId="588BF487" w14:textId="77777777" w:rsidR="00927FEB" w:rsidRDefault="00927FEB" w:rsidP="00927FEB">
      <w:pPr>
        <w:pStyle w:val="Heading1"/>
      </w:pPr>
      <w:r>
        <w:lastRenderedPageBreak/>
        <w:t>Technical Specifications</w:t>
      </w:r>
    </w:p>
    <w:p w14:paraId="0C30CB05" w14:textId="77777777" w:rsidR="00927FEB" w:rsidRDefault="00927FEB" w:rsidP="00927FEB">
      <w:pPr>
        <w:pStyle w:val="Heading2"/>
      </w:pPr>
      <w:r>
        <w:t>Physical Dimensions</w:t>
      </w:r>
    </w:p>
    <w:tbl>
      <w:tblPr>
        <w:tblStyle w:val="TableGrid"/>
        <w:tblW w:w="0" w:type="auto"/>
        <w:tblCellMar>
          <w:top w:w="43" w:type="dxa"/>
          <w:left w:w="115" w:type="dxa"/>
          <w:bottom w:w="43" w:type="dxa"/>
          <w:right w:w="115" w:type="dxa"/>
        </w:tblCellMar>
        <w:tblLook w:val="04A0" w:firstRow="1" w:lastRow="0" w:firstColumn="1" w:lastColumn="0" w:noHBand="0" w:noVBand="1"/>
      </w:tblPr>
      <w:tblGrid>
        <w:gridCol w:w="1286"/>
        <w:gridCol w:w="2450"/>
      </w:tblGrid>
      <w:tr w:rsidR="00927FEB" w14:paraId="58F84582" w14:textId="77777777" w:rsidTr="00686B50">
        <w:trPr>
          <w:trHeight w:val="293"/>
        </w:trPr>
        <w:tc>
          <w:tcPr>
            <w:tcW w:w="0" w:type="auto"/>
            <w:tcBorders>
              <w:bottom w:val="single" w:sz="12" w:space="0" w:color="auto"/>
              <w:right w:val="single" w:sz="12" w:space="0" w:color="auto"/>
            </w:tcBorders>
            <w:shd w:val="clear" w:color="auto" w:fill="E7E6E6" w:themeFill="background2"/>
            <w:vAlign w:val="bottom"/>
          </w:tcPr>
          <w:p w14:paraId="2BE08D89" w14:textId="4E897F22" w:rsidR="00927FEB" w:rsidRPr="00927FEB" w:rsidRDefault="00927FEB" w:rsidP="00947345">
            <w:pPr>
              <w:pStyle w:val="NoSpacing"/>
              <w:jc w:val="right"/>
              <w:rPr>
                <w:b/>
                <w:bCs/>
              </w:rPr>
            </w:pPr>
            <w:r w:rsidRPr="00927FEB">
              <w:rPr>
                <w:b/>
                <w:bCs/>
              </w:rPr>
              <w:t>Parameter</w:t>
            </w:r>
          </w:p>
        </w:tc>
        <w:tc>
          <w:tcPr>
            <w:tcW w:w="0" w:type="auto"/>
            <w:tcBorders>
              <w:left w:val="single" w:sz="12" w:space="0" w:color="auto"/>
              <w:bottom w:val="single" w:sz="12" w:space="0" w:color="auto"/>
            </w:tcBorders>
            <w:shd w:val="clear" w:color="auto" w:fill="E7E6E6" w:themeFill="background2"/>
            <w:vAlign w:val="bottom"/>
          </w:tcPr>
          <w:p w14:paraId="60A299EF" w14:textId="13238C87" w:rsidR="00927FEB" w:rsidRPr="00927FEB" w:rsidRDefault="00927FEB" w:rsidP="000D3EEE">
            <w:pPr>
              <w:pStyle w:val="NoSpacing"/>
              <w:jc w:val="center"/>
              <w:rPr>
                <w:rFonts w:ascii="Calibri" w:eastAsia="Calibri" w:hAnsi="Calibri" w:cs="Times New Roman"/>
                <w:b/>
                <w:bCs/>
              </w:rPr>
            </w:pPr>
            <w:r w:rsidRPr="00927FEB">
              <w:rPr>
                <w:rFonts w:ascii="Calibri" w:eastAsia="Calibri" w:hAnsi="Calibri" w:cs="Times New Roman"/>
                <w:b/>
                <w:bCs/>
              </w:rPr>
              <w:t>Value</w:t>
            </w:r>
          </w:p>
        </w:tc>
      </w:tr>
      <w:tr w:rsidR="00927FEB" w14:paraId="3BFB3916" w14:textId="77777777" w:rsidTr="00686B50">
        <w:trPr>
          <w:trHeight w:val="293"/>
        </w:trPr>
        <w:tc>
          <w:tcPr>
            <w:tcW w:w="0" w:type="auto"/>
            <w:tcBorders>
              <w:top w:val="single" w:sz="12" w:space="0" w:color="auto"/>
              <w:right w:val="single" w:sz="12" w:space="0" w:color="auto"/>
            </w:tcBorders>
            <w:shd w:val="clear" w:color="auto" w:fill="E7E6E6" w:themeFill="background2"/>
            <w:vAlign w:val="center"/>
          </w:tcPr>
          <w:p w14:paraId="46E9287A" w14:textId="77777777" w:rsidR="00927FEB" w:rsidRPr="00AD101B" w:rsidRDefault="00927FEB" w:rsidP="000D3EEE">
            <w:pPr>
              <w:pStyle w:val="NoSpacing"/>
              <w:jc w:val="right"/>
              <w:rPr>
                <w:b/>
                <w:bCs/>
              </w:rPr>
            </w:pPr>
            <w:r w:rsidRPr="00AD101B">
              <w:rPr>
                <w:b/>
                <w:bCs/>
              </w:rPr>
              <w:t>Height</w:t>
            </w:r>
          </w:p>
        </w:tc>
        <w:tc>
          <w:tcPr>
            <w:tcW w:w="0" w:type="auto"/>
            <w:tcBorders>
              <w:top w:val="single" w:sz="12" w:space="0" w:color="auto"/>
              <w:left w:val="single" w:sz="12" w:space="0" w:color="auto"/>
            </w:tcBorders>
            <w:shd w:val="clear" w:color="auto" w:fill="auto"/>
            <w:vAlign w:val="center"/>
          </w:tcPr>
          <w:p w14:paraId="79C2A9DB" w14:textId="77777777" w:rsidR="00927FEB" w:rsidRDefault="00927FEB" w:rsidP="002E2FFF">
            <w:pPr>
              <w:pStyle w:val="NoSpacing"/>
            </w:pPr>
            <m:oMathPara>
              <m:oMath>
                <m:r>
                  <w:rPr>
                    <w:rFonts w:ascii="Cambria Math" w:hAnsi="Cambria Math"/>
                  </w:rPr>
                  <m:t xml:space="preserve">50.038 </m:t>
                </m:r>
                <m:r>
                  <m:rPr>
                    <m:sty m:val="p"/>
                  </m:rPr>
                  <w:rPr>
                    <w:rFonts w:ascii="Cambria Math" w:hAnsi="Cambria Math"/>
                  </w:rPr>
                  <m:t>mm±0.2 mm</m:t>
                </m:r>
              </m:oMath>
            </m:oMathPara>
          </w:p>
        </w:tc>
      </w:tr>
      <w:tr w:rsidR="00927FEB" w14:paraId="4E612F7A" w14:textId="77777777" w:rsidTr="00686B50">
        <w:trPr>
          <w:trHeight w:val="293"/>
        </w:trPr>
        <w:tc>
          <w:tcPr>
            <w:tcW w:w="0" w:type="auto"/>
            <w:tcBorders>
              <w:right w:val="single" w:sz="12" w:space="0" w:color="auto"/>
            </w:tcBorders>
            <w:shd w:val="clear" w:color="auto" w:fill="E7E6E6" w:themeFill="background2"/>
            <w:vAlign w:val="center"/>
          </w:tcPr>
          <w:p w14:paraId="2FC9C4A7" w14:textId="77777777" w:rsidR="00927FEB" w:rsidRPr="00AD101B" w:rsidRDefault="00927FEB" w:rsidP="000D3EEE">
            <w:pPr>
              <w:pStyle w:val="NoSpacing"/>
              <w:jc w:val="right"/>
              <w:rPr>
                <w:b/>
                <w:bCs/>
              </w:rPr>
            </w:pPr>
            <w:r w:rsidRPr="00AD101B">
              <w:rPr>
                <w:b/>
                <w:bCs/>
              </w:rPr>
              <w:t>Width</w:t>
            </w:r>
          </w:p>
        </w:tc>
        <w:tc>
          <w:tcPr>
            <w:tcW w:w="0" w:type="auto"/>
            <w:tcBorders>
              <w:left w:val="single" w:sz="12" w:space="0" w:color="auto"/>
            </w:tcBorders>
            <w:shd w:val="clear" w:color="auto" w:fill="auto"/>
            <w:vAlign w:val="center"/>
          </w:tcPr>
          <w:p w14:paraId="6A8A1554" w14:textId="283B4EE0" w:rsidR="00927FEB" w:rsidRDefault="00927FEB" w:rsidP="002E2FFF">
            <w:pPr>
              <w:pStyle w:val="NoSpacing"/>
            </w:pPr>
            <m:oMathPara>
              <m:oMath>
                <m:r>
                  <w:rPr>
                    <w:rFonts w:ascii="Cambria Math" w:hAnsi="Cambria Math"/>
                  </w:rPr>
                  <m:t xml:space="preserve">78.232 </m:t>
                </m:r>
                <m:r>
                  <m:rPr>
                    <m:sty m:val="p"/>
                  </m:rPr>
                  <w:rPr>
                    <w:rFonts w:ascii="Cambria Math" w:hAnsi="Cambria Math"/>
                  </w:rPr>
                  <m:t>mm±0.2 mm</m:t>
                </m:r>
              </m:oMath>
            </m:oMathPara>
          </w:p>
        </w:tc>
      </w:tr>
      <w:tr w:rsidR="00927FEB" w14:paraId="73789BE3" w14:textId="77777777" w:rsidTr="00686B50">
        <w:trPr>
          <w:trHeight w:val="293"/>
        </w:trPr>
        <w:tc>
          <w:tcPr>
            <w:tcW w:w="0" w:type="auto"/>
            <w:tcBorders>
              <w:right w:val="single" w:sz="12" w:space="0" w:color="auto"/>
            </w:tcBorders>
            <w:shd w:val="clear" w:color="auto" w:fill="E7E6E6" w:themeFill="background2"/>
            <w:vAlign w:val="center"/>
          </w:tcPr>
          <w:p w14:paraId="01672DBF" w14:textId="77777777" w:rsidR="00927FEB" w:rsidRPr="00AD101B" w:rsidRDefault="00927FEB" w:rsidP="000D3EEE">
            <w:pPr>
              <w:pStyle w:val="NoSpacing"/>
              <w:jc w:val="right"/>
              <w:rPr>
                <w:b/>
                <w:bCs/>
              </w:rPr>
            </w:pPr>
            <w:r w:rsidRPr="00AD101B">
              <w:rPr>
                <w:b/>
                <w:bCs/>
              </w:rPr>
              <w:t>Thickness</w:t>
            </w:r>
          </w:p>
        </w:tc>
        <w:tc>
          <w:tcPr>
            <w:tcW w:w="0" w:type="auto"/>
            <w:tcBorders>
              <w:left w:val="single" w:sz="12" w:space="0" w:color="auto"/>
            </w:tcBorders>
            <w:shd w:val="clear" w:color="auto" w:fill="auto"/>
            <w:vAlign w:val="center"/>
          </w:tcPr>
          <w:p w14:paraId="6E52A45E" w14:textId="77777777" w:rsidR="00927FEB" w:rsidRDefault="00927FEB" w:rsidP="002E2FFF">
            <w:pPr>
              <w:pStyle w:val="NoSpacing"/>
            </w:pPr>
            <m:oMathPara>
              <m:oMath>
                <m:r>
                  <w:rPr>
                    <w:rFonts w:ascii="Cambria Math" w:hAnsi="Cambria Math"/>
                  </w:rPr>
                  <m:t xml:space="preserve">&lt;4 </m:t>
                </m:r>
                <m:r>
                  <m:rPr>
                    <m:sty m:val="p"/>
                  </m:rPr>
                  <w:rPr>
                    <w:rFonts w:ascii="Cambria Math" w:hAnsi="Cambria Math"/>
                  </w:rPr>
                  <m:t>mm</m:t>
                </m:r>
              </m:oMath>
            </m:oMathPara>
          </w:p>
        </w:tc>
      </w:tr>
      <w:tr w:rsidR="00927FEB" w14:paraId="56A2FB55" w14:textId="77777777" w:rsidTr="00686B50">
        <w:trPr>
          <w:trHeight w:val="293"/>
        </w:trPr>
        <w:tc>
          <w:tcPr>
            <w:tcW w:w="0" w:type="auto"/>
            <w:tcBorders>
              <w:right w:val="single" w:sz="12" w:space="0" w:color="auto"/>
            </w:tcBorders>
            <w:shd w:val="clear" w:color="auto" w:fill="E7E6E6" w:themeFill="background2"/>
            <w:vAlign w:val="center"/>
          </w:tcPr>
          <w:p w14:paraId="750154DD" w14:textId="77777777" w:rsidR="00927FEB" w:rsidRPr="00AD101B" w:rsidRDefault="00927FEB" w:rsidP="000D3EEE">
            <w:pPr>
              <w:pStyle w:val="NoSpacing"/>
              <w:jc w:val="right"/>
              <w:rPr>
                <w:b/>
                <w:bCs/>
              </w:rPr>
            </w:pPr>
            <w:r w:rsidRPr="00AD101B">
              <w:rPr>
                <w:b/>
                <w:bCs/>
              </w:rPr>
              <w:t>Weight</w:t>
            </w:r>
          </w:p>
        </w:tc>
        <w:tc>
          <w:tcPr>
            <w:tcW w:w="0" w:type="auto"/>
            <w:tcBorders>
              <w:left w:val="single" w:sz="12" w:space="0" w:color="auto"/>
            </w:tcBorders>
            <w:shd w:val="clear" w:color="auto" w:fill="auto"/>
            <w:vAlign w:val="center"/>
          </w:tcPr>
          <w:p w14:paraId="4F2196CC" w14:textId="525D8E06" w:rsidR="00927FEB" w:rsidRDefault="000257A7" w:rsidP="002E2FFF">
            <w:pPr>
              <w:pStyle w:val="NoSpacing"/>
            </w:pPr>
            <m:oMathPara>
              <m:oMath>
                <m:r>
                  <w:rPr>
                    <w:rFonts w:ascii="Cambria Math" w:hAnsi="Cambria Math"/>
                  </w:rPr>
                  <m:t xml:space="preserve">&lt; 28 </m:t>
                </m:r>
                <m:r>
                  <m:rPr>
                    <m:sty m:val="p"/>
                  </m:rPr>
                  <w:rPr>
                    <w:rFonts w:ascii="Cambria Math" w:hAnsi="Cambria Math"/>
                  </w:rPr>
                  <m:t>g</m:t>
                </m:r>
              </m:oMath>
            </m:oMathPara>
          </w:p>
        </w:tc>
      </w:tr>
    </w:tbl>
    <w:p w14:paraId="5DB13171" w14:textId="05CE68DF" w:rsidR="00927FEB" w:rsidRDefault="00927FEB" w:rsidP="00927FEB">
      <w:pPr>
        <w:pStyle w:val="Heading2"/>
      </w:pPr>
      <w:r>
        <w:t>Electrical Specifications</w:t>
      </w:r>
    </w:p>
    <w:p w14:paraId="5A99F420" w14:textId="3042E62F" w:rsidR="002A18E9" w:rsidRPr="002A18E9" w:rsidRDefault="00234A45" w:rsidP="002A18E9">
      <w:r>
        <w:t>Specifications are valid over</w:t>
      </w:r>
      <w:r w:rsidR="002A18E9">
        <w:t xml:space="preserve"> temperature range of </w:t>
      </w:r>
      <m:oMath>
        <m:r>
          <w:rPr>
            <w:rFonts w:ascii="Cambria Math" w:eastAsia="Times New Roman" w:hAnsi="Cambria Math" w:cs="Times New Roman"/>
          </w:rPr>
          <m:t xml:space="preserve">0 </m:t>
        </m:r>
        <m:r>
          <m:rPr>
            <m:sty m:val="p"/>
          </m:rPr>
          <w:rPr>
            <w:rFonts w:ascii="Cambria Math" w:eastAsia="Times New Roman" w:hAnsi="Cambria Math" w:cs="Times New Roman"/>
          </w:rPr>
          <m:t>°C</m:t>
        </m:r>
        <m:r>
          <w:rPr>
            <w:rFonts w:ascii="Cambria Math" w:eastAsia="Times New Roman" w:hAnsi="Cambria Math" w:cs="Times New Roman"/>
          </w:rPr>
          <m:t xml:space="preserve">-85 </m:t>
        </m:r>
        <m:r>
          <m:rPr>
            <m:sty m:val="p"/>
          </m:rPr>
          <w:rPr>
            <w:rFonts w:ascii="Cambria Math" w:eastAsia="Times New Roman" w:hAnsi="Cambria Math" w:cs="Times New Roman"/>
          </w:rPr>
          <m:t>°C</m:t>
        </m:r>
      </m:oMath>
      <w:r>
        <w:rPr>
          <w:rFonts w:ascii="Calibri Light" w:eastAsia="Times New Roman" w:hAnsi="Calibri Light" w:cs="Times New Roman"/>
        </w:rPr>
        <w:t xml:space="preserve"> </w:t>
      </w:r>
      <w:r>
        <w:t xml:space="preserve">and </w:t>
      </w:r>
      <m:oMath>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CC</m:t>
            </m:r>
          </m:sub>
        </m:sSub>
        <m:r>
          <w:rPr>
            <w:rFonts w:ascii="Cambria Math" w:eastAsia="Times New Roman" w:hAnsi="Cambria Math" w:cs="Times New Roman"/>
          </w:rPr>
          <m:t xml:space="preserve"> = 4.5 </m:t>
        </m:r>
        <m:r>
          <m:rPr>
            <m:sty m:val="p"/>
          </m:rPr>
          <w:rPr>
            <w:rFonts w:ascii="Cambria Math" w:eastAsia="Times New Roman" w:hAnsi="Cambria Math" w:cs="Times New Roman"/>
          </w:rPr>
          <m:t>V</m:t>
        </m:r>
        <m:r>
          <w:rPr>
            <w:rFonts w:ascii="Cambria Math" w:eastAsia="Times New Roman" w:hAnsi="Cambria Math" w:cs="Times New Roman"/>
          </w:rPr>
          <m:t xml:space="preserve">-5.5 </m:t>
        </m:r>
        <m:r>
          <m:rPr>
            <m:sty m:val="p"/>
          </m:rPr>
          <w:rPr>
            <w:rFonts w:ascii="Cambria Math" w:eastAsia="Times New Roman" w:hAnsi="Cambria Math" w:cs="Times New Roman"/>
          </w:rPr>
          <m:t>V</m:t>
        </m:r>
      </m:oMath>
      <w:r w:rsidR="002A18E9">
        <w:rPr>
          <w:rFonts w:eastAsiaTheme="minorEastAsia"/>
          <w:iCs/>
        </w:rPr>
        <w:t>.</w:t>
      </w:r>
    </w:p>
    <w:tbl>
      <w:tblPr>
        <w:tblStyle w:val="TableGrid"/>
        <w:tblW w:w="0" w:type="auto"/>
        <w:tblCellMar>
          <w:top w:w="43" w:type="dxa"/>
          <w:left w:w="115" w:type="dxa"/>
          <w:bottom w:w="43" w:type="dxa"/>
          <w:right w:w="115" w:type="dxa"/>
        </w:tblCellMar>
        <w:tblLook w:val="04A0" w:firstRow="1" w:lastRow="0" w:firstColumn="1" w:lastColumn="0" w:noHBand="0" w:noVBand="1"/>
      </w:tblPr>
      <w:tblGrid>
        <w:gridCol w:w="1838"/>
        <w:gridCol w:w="1347"/>
        <w:gridCol w:w="3780"/>
      </w:tblGrid>
      <w:tr w:rsidR="00753176" w14:paraId="7F0C247B" w14:textId="1604C214" w:rsidTr="00686B50">
        <w:trPr>
          <w:trHeight w:val="293"/>
        </w:trPr>
        <w:tc>
          <w:tcPr>
            <w:tcW w:w="0" w:type="auto"/>
            <w:tcBorders>
              <w:bottom w:val="single" w:sz="12" w:space="0" w:color="auto"/>
              <w:right w:val="single" w:sz="12" w:space="0" w:color="auto"/>
            </w:tcBorders>
            <w:shd w:val="clear" w:color="auto" w:fill="E7E6E6" w:themeFill="background2"/>
            <w:vAlign w:val="bottom"/>
          </w:tcPr>
          <w:p w14:paraId="17FE0972" w14:textId="77777777" w:rsidR="00F30B13" w:rsidRPr="00927FEB" w:rsidRDefault="00F30B13" w:rsidP="00947345">
            <w:pPr>
              <w:pStyle w:val="NoSpacing"/>
              <w:jc w:val="right"/>
              <w:rPr>
                <w:b/>
                <w:bCs/>
              </w:rPr>
            </w:pPr>
            <w:r w:rsidRPr="00927FEB">
              <w:rPr>
                <w:b/>
                <w:bCs/>
              </w:rPr>
              <w:t>Parameter</w:t>
            </w:r>
          </w:p>
        </w:tc>
        <w:tc>
          <w:tcPr>
            <w:tcW w:w="0" w:type="auto"/>
            <w:tcBorders>
              <w:left w:val="single" w:sz="12" w:space="0" w:color="auto"/>
              <w:bottom w:val="single" w:sz="12" w:space="0" w:color="auto"/>
            </w:tcBorders>
            <w:shd w:val="clear" w:color="auto" w:fill="E7E6E6" w:themeFill="background2"/>
            <w:vAlign w:val="bottom"/>
          </w:tcPr>
          <w:p w14:paraId="07BD2A4B" w14:textId="77777777" w:rsidR="00F30B13" w:rsidRPr="00927FEB" w:rsidRDefault="00F30B13" w:rsidP="000D3EEE">
            <w:pPr>
              <w:pStyle w:val="NoSpacing"/>
              <w:jc w:val="center"/>
              <w:rPr>
                <w:rFonts w:ascii="Calibri" w:eastAsia="Calibri" w:hAnsi="Calibri" w:cs="Times New Roman"/>
                <w:b/>
                <w:bCs/>
              </w:rPr>
            </w:pPr>
            <w:r w:rsidRPr="00927FEB">
              <w:rPr>
                <w:rFonts w:ascii="Calibri" w:eastAsia="Calibri" w:hAnsi="Calibri" w:cs="Times New Roman"/>
                <w:b/>
                <w:bCs/>
              </w:rPr>
              <w:t>Value</w:t>
            </w:r>
          </w:p>
        </w:tc>
        <w:tc>
          <w:tcPr>
            <w:tcW w:w="0" w:type="auto"/>
            <w:tcBorders>
              <w:bottom w:val="single" w:sz="12" w:space="0" w:color="auto"/>
            </w:tcBorders>
            <w:shd w:val="clear" w:color="auto" w:fill="E7E6E6" w:themeFill="background2"/>
            <w:vAlign w:val="bottom"/>
          </w:tcPr>
          <w:p w14:paraId="4F962519" w14:textId="539E5F93" w:rsidR="00F30B13" w:rsidRPr="00927FEB" w:rsidRDefault="00F30B13" w:rsidP="000D3EEE">
            <w:pPr>
              <w:pStyle w:val="NoSpacing"/>
              <w:jc w:val="center"/>
              <w:rPr>
                <w:rFonts w:ascii="Calibri" w:eastAsia="Calibri" w:hAnsi="Calibri" w:cs="Times New Roman"/>
                <w:b/>
                <w:bCs/>
              </w:rPr>
            </w:pPr>
            <w:r>
              <w:rPr>
                <w:rFonts w:ascii="Calibri" w:eastAsia="Calibri" w:hAnsi="Calibri" w:cs="Times New Roman"/>
                <w:b/>
                <w:bCs/>
              </w:rPr>
              <w:t>Conditions</w:t>
            </w:r>
          </w:p>
        </w:tc>
      </w:tr>
      <w:tr w:rsidR="00753176" w14:paraId="60E23AB0" w14:textId="4E1A13E3" w:rsidTr="00686B50">
        <w:trPr>
          <w:trHeight w:val="293"/>
        </w:trPr>
        <w:tc>
          <w:tcPr>
            <w:tcW w:w="0" w:type="auto"/>
            <w:tcBorders>
              <w:top w:val="single" w:sz="12" w:space="0" w:color="auto"/>
              <w:bottom w:val="single" w:sz="8" w:space="0" w:color="auto"/>
              <w:right w:val="single" w:sz="12" w:space="0" w:color="auto"/>
            </w:tcBorders>
            <w:shd w:val="clear" w:color="auto" w:fill="E7E6E6" w:themeFill="background2"/>
            <w:vAlign w:val="center"/>
          </w:tcPr>
          <w:p w14:paraId="0FE08D74" w14:textId="43976079" w:rsidR="002A18E9" w:rsidRPr="00AD101B" w:rsidRDefault="000D3EEE" w:rsidP="000D3EEE">
            <w:pPr>
              <w:pStyle w:val="NoSpacing"/>
              <w:jc w:val="right"/>
              <w:rPr>
                <w:b/>
                <w:bCs/>
              </w:rPr>
            </w:pPr>
            <w:r>
              <w:rPr>
                <w:rFonts w:eastAsiaTheme="minorEastAsia"/>
                <w:b/>
                <w:bCs/>
              </w:rPr>
              <w:t xml:space="preserve"> </w:t>
            </w:r>
            <m:oMath>
              <m:sSub>
                <m:sSubPr>
                  <m:ctrlPr>
                    <w:rPr>
                      <w:rFonts w:ascii="Cambria Math" w:hAnsi="Cambria Math"/>
                      <w:b/>
                      <w:bCs/>
                      <w:i/>
                    </w:rPr>
                  </m:ctrlPr>
                </m:sSubPr>
                <m:e>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IH</m:t>
                      </m:r>
                    </m:sub>
                  </m:sSub>
                </m:e>
                <m:sub>
                  <m:r>
                    <m:rPr>
                      <m:sty m:val="bi"/>
                    </m:rPr>
                    <w:rPr>
                      <w:rFonts w:ascii="Cambria Math" w:hAnsi="Cambria Math"/>
                    </w:rPr>
                    <m:t>min</m:t>
                  </m:r>
                </m:sub>
              </m:sSub>
            </m:oMath>
          </w:p>
        </w:tc>
        <w:tc>
          <w:tcPr>
            <w:tcW w:w="0" w:type="auto"/>
            <w:tcBorders>
              <w:top w:val="single" w:sz="12" w:space="0" w:color="auto"/>
              <w:left w:val="single" w:sz="12" w:space="0" w:color="auto"/>
              <w:bottom w:val="single" w:sz="8" w:space="0" w:color="auto"/>
            </w:tcBorders>
            <w:shd w:val="clear" w:color="auto" w:fill="auto"/>
            <w:vAlign w:val="center"/>
          </w:tcPr>
          <w:p w14:paraId="349F5DE7" w14:textId="142F7280" w:rsidR="002A18E9" w:rsidRDefault="002A18E9" w:rsidP="00F30B13">
            <w:pPr>
              <w:pStyle w:val="NoSpacing"/>
            </w:pPr>
            <m:oMathPara>
              <m:oMath>
                <m:r>
                  <w:rPr>
                    <w:rFonts w:ascii="Cambria Math" w:hAnsi="Cambria Math"/>
                  </w:rPr>
                  <m:t xml:space="preserve">2.0 </m:t>
                </m:r>
                <m:r>
                  <m:rPr>
                    <m:sty m:val="p"/>
                  </m:rPr>
                  <w:rPr>
                    <w:rFonts w:ascii="Cambria Math" w:hAnsi="Cambria Math"/>
                  </w:rPr>
                  <m:t>V</m:t>
                </m:r>
              </m:oMath>
            </m:oMathPara>
          </w:p>
        </w:tc>
        <w:tc>
          <w:tcPr>
            <w:tcW w:w="0" w:type="auto"/>
            <w:tcBorders>
              <w:top w:val="single" w:sz="12" w:space="0" w:color="auto"/>
              <w:bottom w:val="single" w:sz="8" w:space="0" w:color="auto"/>
            </w:tcBorders>
          </w:tcPr>
          <w:p w14:paraId="5979C334" w14:textId="6BAD8119" w:rsidR="002A18E9" w:rsidRDefault="002A18E9" w:rsidP="00F30B13">
            <w:pPr>
              <w:pStyle w:val="NoSpacing"/>
              <w:rPr>
                <w:rFonts w:ascii="Calibri Light" w:eastAsia="Times New Roman" w:hAnsi="Calibri Light" w:cs="Times New Roman"/>
              </w:rPr>
            </w:pPr>
          </w:p>
        </w:tc>
      </w:tr>
      <w:tr w:rsidR="00753176" w14:paraId="69F0AEF6" w14:textId="2F4296A1" w:rsidTr="00686B50">
        <w:trPr>
          <w:trHeight w:val="293"/>
        </w:trPr>
        <w:tc>
          <w:tcPr>
            <w:tcW w:w="0" w:type="auto"/>
            <w:tcBorders>
              <w:top w:val="single" w:sz="8" w:space="0" w:color="auto"/>
              <w:right w:val="single" w:sz="12" w:space="0" w:color="auto"/>
            </w:tcBorders>
            <w:shd w:val="clear" w:color="auto" w:fill="E7E6E6" w:themeFill="background2"/>
            <w:vAlign w:val="center"/>
          </w:tcPr>
          <w:p w14:paraId="61F24E9F" w14:textId="30298780" w:rsidR="002A18E9" w:rsidRPr="00AD101B" w:rsidRDefault="000D3EEE" w:rsidP="000D3EEE">
            <w:pPr>
              <w:pStyle w:val="NoSpacing"/>
              <w:jc w:val="right"/>
              <w:rPr>
                <w:b/>
                <w:bCs/>
              </w:rPr>
            </w:pPr>
            <w:r>
              <w:rPr>
                <w:rFonts w:eastAsiaTheme="minorEastAsia"/>
                <w:b/>
                <w:bCs/>
              </w:rPr>
              <w:t xml:space="preserve"> </w:t>
            </w:r>
            <m:oMath>
              <m:sSub>
                <m:sSubPr>
                  <m:ctrlPr>
                    <w:rPr>
                      <w:rFonts w:ascii="Cambria Math" w:hAnsi="Cambria Math"/>
                      <w:b/>
                      <w:bCs/>
                      <w:i/>
                    </w:rPr>
                  </m:ctrlPr>
                </m:sSubPr>
                <m:e>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IL</m:t>
                      </m:r>
                    </m:sub>
                  </m:sSub>
                </m:e>
                <m:sub>
                  <m:r>
                    <m:rPr>
                      <m:sty m:val="bi"/>
                    </m:rPr>
                    <w:rPr>
                      <w:rFonts w:ascii="Cambria Math" w:hAnsi="Cambria Math"/>
                    </w:rPr>
                    <m:t>max</m:t>
                  </m:r>
                </m:sub>
              </m:sSub>
            </m:oMath>
          </w:p>
        </w:tc>
        <w:tc>
          <w:tcPr>
            <w:tcW w:w="0" w:type="auto"/>
            <w:tcBorders>
              <w:top w:val="single" w:sz="8" w:space="0" w:color="auto"/>
              <w:left w:val="single" w:sz="12" w:space="0" w:color="auto"/>
            </w:tcBorders>
            <w:shd w:val="clear" w:color="auto" w:fill="auto"/>
            <w:vAlign w:val="center"/>
          </w:tcPr>
          <w:p w14:paraId="27BF1E0D" w14:textId="52708757" w:rsidR="002A18E9" w:rsidRDefault="002A18E9" w:rsidP="002A18E9">
            <w:pPr>
              <w:pStyle w:val="NoSpacing"/>
            </w:pPr>
            <m:oMathPara>
              <m:oMath>
                <m:r>
                  <w:rPr>
                    <w:rFonts w:ascii="Cambria Math" w:hAnsi="Cambria Math"/>
                  </w:rPr>
                  <m:t xml:space="preserve">0.8 </m:t>
                </m:r>
                <m:r>
                  <m:rPr>
                    <m:sty m:val="p"/>
                  </m:rPr>
                  <w:rPr>
                    <w:rFonts w:ascii="Cambria Math" w:hAnsi="Cambria Math"/>
                  </w:rPr>
                  <m:t>V</m:t>
                </m:r>
              </m:oMath>
            </m:oMathPara>
          </w:p>
        </w:tc>
        <w:tc>
          <w:tcPr>
            <w:tcW w:w="0" w:type="auto"/>
            <w:tcBorders>
              <w:top w:val="single" w:sz="8" w:space="0" w:color="auto"/>
            </w:tcBorders>
          </w:tcPr>
          <w:p w14:paraId="2899782E" w14:textId="346032FC" w:rsidR="002A18E9" w:rsidRDefault="002A18E9" w:rsidP="002A18E9">
            <w:pPr>
              <w:pStyle w:val="NoSpacing"/>
              <w:rPr>
                <w:rFonts w:ascii="Calibri" w:eastAsia="Times New Roman" w:hAnsi="Calibri" w:cs="Times New Roman"/>
              </w:rPr>
            </w:pPr>
          </w:p>
        </w:tc>
      </w:tr>
      <w:tr w:rsidR="00753176" w14:paraId="41C22EAE" w14:textId="22A44073" w:rsidTr="00686B50">
        <w:trPr>
          <w:trHeight w:val="293"/>
        </w:trPr>
        <w:tc>
          <w:tcPr>
            <w:tcW w:w="0" w:type="auto"/>
            <w:tcBorders>
              <w:right w:val="single" w:sz="12" w:space="0" w:color="auto"/>
            </w:tcBorders>
            <w:shd w:val="clear" w:color="auto" w:fill="E7E6E6" w:themeFill="background2"/>
            <w:vAlign w:val="center"/>
          </w:tcPr>
          <w:p w14:paraId="51751631" w14:textId="443FFA8A" w:rsidR="002A18E9" w:rsidRPr="00AD101B" w:rsidRDefault="000D3EEE" w:rsidP="000D3EEE">
            <w:pPr>
              <w:pStyle w:val="NoSpacing"/>
              <w:jc w:val="right"/>
              <w:rPr>
                <w:b/>
                <w:bCs/>
              </w:rPr>
            </w:pPr>
            <w:r>
              <w:rPr>
                <w:rFonts w:eastAsiaTheme="minorEastAsia"/>
                <w:b/>
                <w:bCs/>
              </w:rPr>
              <w:t xml:space="preserve"> </w:t>
            </w:r>
            <m:oMath>
              <m:sSub>
                <m:sSubPr>
                  <m:ctrlPr>
                    <w:rPr>
                      <w:rFonts w:ascii="Cambria Math" w:eastAsiaTheme="minorEastAsia" w:hAnsi="Cambria Math"/>
                      <w:b/>
                      <w:bCs/>
                      <w:i/>
                    </w:rPr>
                  </m:ctrlPr>
                </m:sSubPr>
                <m:e>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OH</m:t>
                      </m:r>
                    </m:sub>
                  </m:sSub>
                </m:e>
                <m:sub>
                  <m:r>
                    <m:rPr>
                      <m:sty m:val="bi"/>
                    </m:rPr>
                    <w:rPr>
                      <w:rFonts w:ascii="Cambria Math" w:eastAsiaTheme="minorEastAsia" w:hAnsi="Cambria Math"/>
                    </w:rPr>
                    <m:t>min</m:t>
                  </m:r>
                </m:sub>
              </m:sSub>
            </m:oMath>
          </w:p>
        </w:tc>
        <w:tc>
          <w:tcPr>
            <w:tcW w:w="0" w:type="auto"/>
            <w:tcBorders>
              <w:left w:val="single" w:sz="12" w:space="0" w:color="auto"/>
            </w:tcBorders>
            <w:shd w:val="clear" w:color="auto" w:fill="auto"/>
            <w:vAlign w:val="center"/>
          </w:tcPr>
          <w:p w14:paraId="13E13530" w14:textId="67AE47DA" w:rsidR="002A18E9" w:rsidRDefault="002A18E9" w:rsidP="002A18E9">
            <w:pPr>
              <w:pStyle w:val="NoSpacing"/>
            </w:pPr>
            <m:oMathPara>
              <m:oMath>
                <m:r>
                  <w:rPr>
                    <w:rFonts w:ascii="Cambria Math" w:hAnsi="Cambria Math"/>
                  </w:rPr>
                  <m:t xml:space="preserve">3.8 </m:t>
                </m:r>
                <m:r>
                  <m:rPr>
                    <m:sty m:val="p"/>
                  </m:rPr>
                  <w:rPr>
                    <w:rFonts w:ascii="Cambria Math" w:hAnsi="Cambria Math"/>
                  </w:rPr>
                  <m:t>V</m:t>
                </m:r>
              </m:oMath>
            </m:oMathPara>
          </w:p>
        </w:tc>
        <w:tc>
          <w:tcPr>
            <w:tcW w:w="0" w:type="auto"/>
          </w:tcPr>
          <w:p w14:paraId="1249370C" w14:textId="0417B836" w:rsidR="002A18E9" w:rsidRDefault="0072362E" w:rsidP="002A18E9">
            <w:pPr>
              <w:pStyle w:val="NoSpacing"/>
              <w:rPr>
                <w:rFonts w:ascii="Calibri" w:eastAsia="Calibri" w:hAnsi="Calibri"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I</m:t>
                    </m:r>
                  </m:e>
                  <m:sub>
                    <m:r>
                      <w:rPr>
                        <w:rFonts w:ascii="Cambria Math" w:eastAsia="Times New Roman" w:hAnsi="Cambria Math" w:cs="Times New Roman"/>
                      </w:rPr>
                      <m:t>OH</m:t>
                    </m:r>
                  </m:sub>
                </m:sSub>
                <m:r>
                  <w:rPr>
                    <w:rFonts w:ascii="Cambria Math" w:eastAsia="Times New Roman" w:hAnsi="Cambria Math" w:cs="Times New Roman"/>
                  </w:rPr>
                  <m:t xml:space="preserve"> = -8 </m:t>
                </m:r>
                <m:r>
                  <m:rPr>
                    <m:sty m:val="p"/>
                  </m:rPr>
                  <w:rPr>
                    <w:rFonts w:ascii="Cambria Math" w:eastAsia="Times New Roman" w:hAnsi="Cambria Math" w:cs="Times New Roman"/>
                  </w:rPr>
                  <m:t>mA</m:t>
                </m:r>
              </m:oMath>
            </m:oMathPara>
          </w:p>
        </w:tc>
      </w:tr>
      <w:tr w:rsidR="00753176" w14:paraId="065570E6" w14:textId="1DD194D6" w:rsidTr="00686B50">
        <w:trPr>
          <w:trHeight w:val="293"/>
        </w:trPr>
        <w:tc>
          <w:tcPr>
            <w:tcW w:w="0" w:type="auto"/>
            <w:tcBorders>
              <w:right w:val="single" w:sz="12" w:space="0" w:color="auto"/>
            </w:tcBorders>
            <w:shd w:val="clear" w:color="auto" w:fill="E7E6E6" w:themeFill="background2"/>
            <w:vAlign w:val="center"/>
          </w:tcPr>
          <w:p w14:paraId="5185A48C" w14:textId="657B4D15" w:rsidR="002A18E9" w:rsidRPr="00AD101B" w:rsidRDefault="000D3EEE" w:rsidP="000D3EEE">
            <w:pPr>
              <w:pStyle w:val="NoSpacing"/>
              <w:jc w:val="right"/>
              <w:rPr>
                <w:b/>
                <w:bCs/>
              </w:rPr>
            </w:pPr>
            <w:r>
              <w:rPr>
                <w:rFonts w:eastAsiaTheme="minorEastAsia"/>
                <w:b/>
                <w:bCs/>
              </w:rPr>
              <w:t xml:space="preserve"> </w:t>
            </w:r>
            <m:oMath>
              <m:sSub>
                <m:sSubPr>
                  <m:ctrlPr>
                    <w:rPr>
                      <w:rFonts w:ascii="Cambria Math" w:eastAsiaTheme="minorEastAsia" w:hAnsi="Cambria Math"/>
                      <w:b/>
                      <w:bCs/>
                      <w:i/>
                    </w:rPr>
                  </m:ctrlPr>
                </m:sSubPr>
                <m:e>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OL</m:t>
                      </m:r>
                    </m:sub>
                  </m:sSub>
                </m:e>
                <m:sub>
                  <m:r>
                    <m:rPr>
                      <m:sty m:val="bi"/>
                    </m:rPr>
                    <w:rPr>
                      <w:rFonts w:ascii="Cambria Math" w:eastAsiaTheme="minorEastAsia" w:hAnsi="Cambria Math"/>
                    </w:rPr>
                    <m:t>max</m:t>
                  </m:r>
                </m:sub>
              </m:sSub>
            </m:oMath>
          </w:p>
        </w:tc>
        <w:tc>
          <w:tcPr>
            <w:tcW w:w="0" w:type="auto"/>
            <w:tcBorders>
              <w:left w:val="single" w:sz="12" w:space="0" w:color="auto"/>
            </w:tcBorders>
            <w:shd w:val="clear" w:color="auto" w:fill="auto"/>
            <w:vAlign w:val="center"/>
          </w:tcPr>
          <w:p w14:paraId="0F0678D0" w14:textId="3F0FB209" w:rsidR="002A18E9" w:rsidRDefault="002A18E9" w:rsidP="002A18E9">
            <w:pPr>
              <w:pStyle w:val="NoSpacing"/>
            </w:pPr>
            <m:oMathPara>
              <m:oMath>
                <m:r>
                  <w:rPr>
                    <w:rFonts w:ascii="Cambria Math" w:hAnsi="Cambria Math"/>
                  </w:rPr>
                  <m:t xml:space="preserve">0.5 </m:t>
                </m:r>
                <m:r>
                  <m:rPr>
                    <m:sty m:val="p"/>
                  </m:rPr>
                  <w:rPr>
                    <w:rFonts w:ascii="Cambria Math" w:hAnsi="Cambria Math"/>
                  </w:rPr>
                  <m:t>V</m:t>
                </m:r>
              </m:oMath>
            </m:oMathPara>
          </w:p>
        </w:tc>
        <w:tc>
          <w:tcPr>
            <w:tcW w:w="0" w:type="auto"/>
          </w:tcPr>
          <w:p w14:paraId="0C47A88B" w14:textId="2E4E80F9" w:rsidR="002A18E9" w:rsidRDefault="0072362E" w:rsidP="002A18E9">
            <w:pPr>
              <w:pStyle w:val="NoSpacing"/>
            </w:pPr>
            <m:oMathPara>
              <m:oMath>
                <m:sSub>
                  <m:sSubPr>
                    <m:ctrlPr>
                      <w:rPr>
                        <w:rFonts w:ascii="Cambria Math" w:eastAsia="Times New Roman" w:hAnsi="Cambria Math" w:cs="Times New Roman"/>
                        <w:i/>
                      </w:rPr>
                    </m:ctrlPr>
                  </m:sSubPr>
                  <m:e>
                    <m:r>
                      <w:rPr>
                        <w:rFonts w:ascii="Cambria Math" w:eastAsia="Times New Roman" w:hAnsi="Cambria Math" w:cs="Times New Roman"/>
                      </w:rPr>
                      <m:t>I</m:t>
                    </m:r>
                  </m:e>
                  <m:sub>
                    <m:r>
                      <w:rPr>
                        <w:rFonts w:ascii="Cambria Math" w:eastAsia="Times New Roman" w:hAnsi="Cambria Math" w:cs="Times New Roman"/>
                      </w:rPr>
                      <m:t>OL</m:t>
                    </m:r>
                  </m:sub>
                </m:sSub>
                <m:r>
                  <w:rPr>
                    <w:rFonts w:ascii="Cambria Math" w:eastAsia="Times New Roman" w:hAnsi="Cambria Math" w:cs="Times New Roman"/>
                  </w:rPr>
                  <m:t xml:space="preserve"> = 8 </m:t>
                </m:r>
                <m:r>
                  <m:rPr>
                    <m:sty m:val="p"/>
                  </m:rPr>
                  <w:rPr>
                    <w:rFonts w:ascii="Cambria Math" w:eastAsia="Times New Roman" w:hAnsi="Cambria Math" w:cs="Times New Roman"/>
                  </w:rPr>
                  <m:t>mA</m:t>
                </m:r>
              </m:oMath>
            </m:oMathPara>
          </w:p>
        </w:tc>
      </w:tr>
      <w:tr w:rsidR="00753176" w14:paraId="3C4B0696" w14:textId="77777777" w:rsidTr="00686B50">
        <w:trPr>
          <w:trHeight w:val="293"/>
        </w:trPr>
        <w:tc>
          <w:tcPr>
            <w:tcW w:w="0" w:type="auto"/>
            <w:tcBorders>
              <w:right w:val="single" w:sz="12" w:space="0" w:color="auto"/>
            </w:tcBorders>
            <w:shd w:val="clear" w:color="auto" w:fill="E7E6E6" w:themeFill="background2"/>
            <w:vAlign w:val="center"/>
          </w:tcPr>
          <w:p w14:paraId="7D9F5115" w14:textId="0B8997C2" w:rsidR="00753176" w:rsidRDefault="00753176" w:rsidP="00972593">
            <w:pPr>
              <w:pStyle w:val="NoSpacing"/>
              <w:rPr>
                <w:rFonts w:ascii="Calibri" w:eastAsia="Calibri" w:hAnsi="Calibri" w:cs="Times New Roman"/>
                <w:b/>
                <w:bCs/>
              </w:rPr>
            </w:pPr>
            <w:r w:rsidRPr="005C301F">
              <w:rPr>
                <w:rFonts w:ascii="Calibri" w:eastAsia="Calibri" w:hAnsi="Calibri" w:cs="Times New Roman"/>
                <w:b/>
                <w:bCs/>
                <w:sz w:val="22"/>
                <w:szCs w:val="22"/>
              </w:rPr>
              <w:t>Output Slew Rate</w:t>
            </w:r>
          </w:p>
        </w:tc>
        <w:tc>
          <w:tcPr>
            <w:tcW w:w="0" w:type="auto"/>
            <w:tcBorders>
              <w:left w:val="single" w:sz="12" w:space="0" w:color="auto"/>
            </w:tcBorders>
            <w:shd w:val="clear" w:color="auto" w:fill="auto"/>
            <w:vAlign w:val="center"/>
          </w:tcPr>
          <w:p w14:paraId="63F68C29" w14:textId="7E6D42F2" w:rsidR="00753176" w:rsidRPr="00753176" w:rsidRDefault="00753176" w:rsidP="002A18E9">
            <w:pPr>
              <w:pStyle w:val="NoSpacing"/>
              <w:rPr>
                <w:rFonts w:ascii="Calibri" w:eastAsia="Calibri" w:hAnsi="Calibri" w:cs="Times New Roman"/>
                <w:iCs/>
              </w:rPr>
            </w:pPr>
            <m:oMathPara>
              <m:oMath>
                <m:r>
                  <w:rPr>
                    <w:rFonts w:ascii="Cambria Math" w:eastAsia="Calibri" w:hAnsi="Cambria Math" w:cs="Times New Roman"/>
                  </w:rPr>
                  <m:t>&lt;1.5</m:t>
                </m:r>
                <m:f>
                  <m:fPr>
                    <m:type m:val="lin"/>
                    <m:ctrlPr>
                      <w:rPr>
                        <w:rFonts w:ascii="Cambria Math" w:eastAsia="Calibri" w:hAnsi="Cambria Math" w:cs="Times New Roman"/>
                      </w:rPr>
                    </m:ctrlPr>
                  </m:fPr>
                  <m:num>
                    <m:r>
                      <m:rPr>
                        <m:sty m:val="p"/>
                      </m:rPr>
                      <w:rPr>
                        <w:rFonts w:ascii="Cambria Math" w:eastAsia="Calibri" w:hAnsi="Cambria Math" w:cs="Times New Roman"/>
                      </w:rPr>
                      <m:t>V</m:t>
                    </m:r>
                  </m:num>
                  <m:den>
                    <m:r>
                      <m:rPr>
                        <m:sty m:val="p"/>
                      </m:rPr>
                      <w:rPr>
                        <w:rFonts w:ascii="Cambria Math" w:eastAsia="Calibri" w:hAnsi="Cambria Math" w:cs="Times New Roman"/>
                      </w:rPr>
                      <m:t>ns</m:t>
                    </m:r>
                  </m:den>
                </m:f>
              </m:oMath>
            </m:oMathPara>
          </w:p>
        </w:tc>
        <w:tc>
          <w:tcPr>
            <w:tcW w:w="0" w:type="auto"/>
          </w:tcPr>
          <w:p w14:paraId="046BF2B7" w14:textId="1C618453" w:rsidR="00753176" w:rsidRDefault="00753176" w:rsidP="002A18E9">
            <w:pPr>
              <w:pStyle w:val="NoSpacing"/>
              <w:rPr>
                <w:rFonts w:ascii="Calibri" w:eastAsia="Calibri" w:hAnsi="Calibri" w:cs="Times New Roman"/>
              </w:rPr>
            </w:pPr>
          </w:p>
        </w:tc>
      </w:tr>
      <w:tr w:rsidR="00224A52" w14:paraId="46EE9ACA" w14:textId="77777777" w:rsidTr="00686B50">
        <w:trPr>
          <w:trHeight w:val="293"/>
        </w:trPr>
        <w:tc>
          <w:tcPr>
            <w:tcW w:w="0" w:type="auto"/>
            <w:tcBorders>
              <w:right w:val="single" w:sz="12" w:space="0" w:color="auto"/>
            </w:tcBorders>
            <w:shd w:val="clear" w:color="auto" w:fill="E7E6E6" w:themeFill="background2"/>
            <w:vAlign w:val="center"/>
          </w:tcPr>
          <w:p w14:paraId="63B3E21E" w14:textId="10C97787" w:rsidR="00224A52" w:rsidRDefault="00224A52" w:rsidP="00224A52">
            <w:pPr>
              <w:pStyle w:val="NoSpacing"/>
              <w:jc w:val="right"/>
              <w:rPr>
                <w:rFonts w:ascii="Calibri" w:eastAsia="Calibri" w:hAnsi="Calibri" w:cs="Times New Roman"/>
                <w:b/>
                <w:bCs/>
              </w:rPr>
            </w:pPr>
            <w:r>
              <w:rPr>
                <w:rFonts w:eastAsiaTheme="minorEastAsia"/>
                <w:b/>
                <w:bCs/>
              </w:rPr>
              <w:t xml:space="preserve"> </w:t>
            </w:r>
            <m:oMath>
              <m:sSub>
                <m:sSubPr>
                  <m:ctrlPr>
                    <w:rPr>
                      <w:rFonts w:ascii="Cambria Math" w:eastAsia="Calibri" w:hAnsi="Cambria Math" w:cs="Times New Roman"/>
                      <w:b/>
                      <w:bCs/>
                      <w:i/>
                    </w:rPr>
                  </m:ctrlPr>
                </m:sSubPr>
                <m:e>
                  <m:sSub>
                    <m:sSubPr>
                      <m:ctrlPr>
                        <w:rPr>
                          <w:rFonts w:ascii="Cambria Math" w:eastAsia="Calibri" w:hAnsi="Cambria Math" w:cs="Times New Roman"/>
                          <w:b/>
                          <w:bCs/>
                          <w:i/>
                        </w:rPr>
                      </m:ctrlPr>
                    </m:sSubPr>
                    <m:e>
                      <m:r>
                        <m:rPr>
                          <m:sty m:val="bi"/>
                        </m:rPr>
                        <w:rPr>
                          <w:rFonts w:ascii="Cambria Math" w:eastAsia="Calibri" w:hAnsi="Cambria Math" w:cs="Times New Roman"/>
                        </w:rPr>
                        <m:t>I</m:t>
                      </m:r>
                    </m:e>
                    <m:sub>
                      <m:r>
                        <m:rPr>
                          <m:sty m:val="bi"/>
                        </m:rPr>
                        <w:rPr>
                          <w:rFonts w:ascii="Cambria Math" w:eastAsia="Calibri" w:hAnsi="Cambria Math" w:cs="Times New Roman"/>
                        </w:rPr>
                        <m:t>I</m:t>
                      </m:r>
                    </m:sub>
                  </m:sSub>
                </m:e>
                <m:sub>
                  <m:r>
                    <m:rPr>
                      <m:sty m:val="bi"/>
                    </m:rPr>
                    <w:rPr>
                      <w:rFonts w:ascii="Cambria Math" w:eastAsia="Calibri" w:hAnsi="Cambria Math" w:cs="Times New Roman"/>
                    </w:rPr>
                    <m:t>max</m:t>
                  </m:r>
                </m:sub>
              </m:sSub>
            </m:oMath>
          </w:p>
        </w:tc>
        <w:tc>
          <w:tcPr>
            <w:tcW w:w="0" w:type="auto"/>
            <w:tcBorders>
              <w:left w:val="single" w:sz="12" w:space="0" w:color="auto"/>
            </w:tcBorders>
            <w:shd w:val="clear" w:color="auto" w:fill="auto"/>
            <w:vAlign w:val="center"/>
          </w:tcPr>
          <w:p w14:paraId="06F67A9C" w14:textId="1BFB2447" w:rsidR="00224A52" w:rsidRDefault="00224A52" w:rsidP="00224A52">
            <w:pPr>
              <w:pStyle w:val="NoSpacing"/>
              <w:rPr>
                <w:rFonts w:ascii="Calibri" w:eastAsia="Calibri" w:hAnsi="Calibri" w:cs="Times New Roman"/>
              </w:rPr>
            </w:pPr>
            <m:oMathPara>
              <m:oMath>
                <m:r>
                  <w:rPr>
                    <w:rFonts w:ascii="Cambria Math" w:eastAsia="Calibri" w:hAnsi="Cambria Math" w:cs="Times New Roman"/>
                  </w:rPr>
                  <m:t xml:space="preserve">± 20 </m:t>
                </m:r>
                <m:r>
                  <m:rPr>
                    <m:sty m:val="p"/>
                  </m:rPr>
                  <w:rPr>
                    <w:rFonts w:ascii="Cambria Math" w:eastAsia="Calibri" w:hAnsi="Cambria Math" w:cs="Times New Roman"/>
                  </w:rPr>
                  <m:t>μA</m:t>
                </m:r>
              </m:oMath>
            </m:oMathPara>
          </w:p>
        </w:tc>
        <w:tc>
          <w:tcPr>
            <w:tcW w:w="0" w:type="auto"/>
          </w:tcPr>
          <w:p w14:paraId="38CA60C1" w14:textId="0713CF72" w:rsidR="00224A52" w:rsidRDefault="0072362E" w:rsidP="00224A52">
            <w:pPr>
              <w:pStyle w:val="NoSpacing"/>
              <w:rPr>
                <w:rFonts w:ascii="Calibri" w:eastAsia="Calibri" w:hAnsi="Calibri"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in</m:t>
                    </m:r>
                  </m:sub>
                </m:sSub>
                <m:r>
                  <w:rPr>
                    <w:rFonts w:ascii="Cambria Math" w:eastAsia="Times New Roman" w:hAnsi="Cambria Math" w:cs="Times New Roman"/>
                  </w:rPr>
                  <m:t xml:space="preserve"> = 0 </m:t>
                </m:r>
                <m:r>
                  <m:rPr>
                    <m:sty m:val="p"/>
                  </m:rPr>
                  <w:rPr>
                    <w:rFonts w:ascii="Cambria Math" w:eastAsia="Times New Roman" w:hAnsi="Cambria Math" w:cs="Times New Roman"/>
                  </w:rPr>
                  <m:t>V</m:t>
                </m:r>
                <m:r>
                  <w:rPr>
                    <w:rFonts w:ascii="Cambria Math" w:eastAsia="Times New Roman" w:hAnsi="Cambria Math" w:cs="Times New Roman"/>
                  </w:rPr>
                  <m:t xml:space="preserve">-5.5 </m:t>
                </m:r>
                <m:r>
                  <m:rPr>
                    <m:sty m:val="p"/>
                  </m:rPr>
                  <w:rPr>
                    <w:rFonts w:ascii="Cambria Math" w:eastAsia="Times New Roman" w:hAnsi="Cambria Math" w:cs="Times New Roman"/>
                  </w:rPr>
                  <m:t>V</m:t>
                </m:r>
              </m:oMath>
            </m:oMathPara>
          </w:p>
        </w:tc>
      </w:tr>
      <w:tr w:rsidR="00753176" w14:paraId="12CD81A3" w14:textId="77777777" w:rsidTr="00686B50">
        <w:trPr>
          <w:trHeight w:val="103"/>
        </w:trPr>
        <w:tc>
          <w:tcPr>
            <w:tcW w:w="0" w:type="auto"/>
            <w:vMerge w:val="restart"/>
            <w:tcBorders>
              <w:right w:val="single" w:sz="12" w:space="0" w:color="auto"/>
            </w:tcBorders>
            <w:shd w:val="clear" w:color="auto" w:fill="E7E6E6" w:themeFill="background2"/>
            <w:vAlign w:val="center"/>
          </w:tcPr>
          <w:p w14:paraId="25CA19B2" w14:textId="7B92E12E" w:rsidR="00AF33FF" w:rsidRDefault="000D3EEE" w:rsidP="000D3EEE">
            <w:pPr>
              <w:pStyle w:val="NoSpacing"/>
              <w:jc w:val="right"/>
              <w:rPr>
                <w:rFonts w:ascii="Calibri" w:eastAsia="Calibri" w:hAnsi="Calibri" w:cs="Times New Roman"/>
                <w:b/>
                <w:bCs/>
              </w:rPr>
            </w:pPr>
            <w:r>
              <w:rPr>
                <w:rFonts w:eastAsiaTheme="minorEastAsia"/>
                <w:b/>
                <w:bCs/>
              </w:rPr>
              <w:t xml:space="preserve"> </w:t>
            </w:r>
            <m:oMath>
              <m:sSub>
                <m:sSubPr>
                  <m:ctrlPr>
                    <w:rPr>
                      <w:rFonts w:ascii="Cambria Math" w:eastAsia="Calibri" w:hAnsi="Cambria Math" w:cs="Times New Roman"/>
                      <w:b/>
                      <w:bCs/>
                      <w:i/>
                    </w:rPr>
                  </m:ctrlPr>
                </m:sSubPr>
                <m:e>
                  <m:sSub>
                    <m:sSubPr>
                      <m:ctrlPr>
                        <w:rPr>
                          <w:rFonts w:ascii="Cambria Math" w:eastAsia="Calibri" w:hAnsi="Cambria Math" w:cs="Times New Roman"/>
                          <w:b/>
                          <w:bCs/>
                          <w:i/>
                        </w:rPr>
                      </m:ctrlPr>
                    </m:sSubPr>
                    <m:e>
                      <m:r>
                        <m:rPr>
                          <m:sty m:val="bi"/>
                        </m:rPr>
                        <w:rPr>
                          <w:rFonts w:ascii="Cambria Math" w:eastAsia="Calibri" w:hAnsi="Cambria Math" w:cs="Times New Roman"/>
                        </w:rPr>
                        <m:t>C</m:t>
                      </m:r>
                    </m:e>
                    <m:sub>
                      <m:r>
                        <m:rPr>
                          <m:sty m:val="bi"/>
                        </m:rPr>
                        <w:rPr>
                          <w:rFonts w:ascii="Cambria Math" w:eastAsia="Calibri" w:hAnsi="Cambria Math" w:cs="Times New Roman"/>
                        </w:rPr>
                        <m:t>IO</m:t>
                      </m:r>
                    </m:sub>
                  </m:sSub>
                </m:e>
                <m:sub>
                  <m:r>
                    <m:rPr>
                      <m:sty m:val="bi"/>
                    </m:rPr>
                    <w:rPr>
                      <w:rFonts w:ascii="Cambria Math" w:eastAsia="Calibri" w:hAnsi="Cambria Math" w:cs="Times New Roman"/>
                    </w:rPr>
                    <m:t>max</m:t>
                  </m:r>
                </m:sub>
              </m:sSub>
            </m:oMath>
          </w:p>
        </w:tc>
        <w:tc>
          <w:tcPr>
            <w:tcW w:w="0" w:type="auto"/>
            <w:tcBorders>
              <w:left w:val="single" w:sz="12" w:space="0" w:color="auto"/>
            </w:tcBorders>
            <w:shd w:val="clear" w:color="auto" w:fill="auto"/>
            <w:vAlign w:val="center"/>
          </w:tcPr>
          <w:p w14:paraId="55488A0B" w14:textId="319C08CA" w:rsidR="00AF33FF" w:rsidRDefault="00AF33FF" w:rsidP="00CE5CCE">
            <w:pPr>
              <w:pStyle w:val="NoSpacing"/>
              <w:rPr>
                <w:rFonts w:ascii="Calibri" w:eastAsia="Calibri" w:hAnsi="Calibri" w:cs="Times New Roman"/>
              </w:rPr>
            </w:pPr>
            <m:oMathPara>
              <m:oMath>
                <m:r>
                  <w:rPr>
                    <w:rFonts w:ascii="Cambria Math" w:eastAsia="Calibri" w:hAnsi="Cambria Math" w:cs="Times New Roman"/>
                  </w:rPr>
                  <m:t xml:space="preserve">20 </m:t>
                </m:r>
                <m:r>
                  <m:rPr>
                    <m:sty m:val="p"/>
                  </m:rPr>
                  <w:rPr>
                    <w:rFonts w:ascii="Cambria Math" w:eastAsia="Calibri" w:hAnsi="Cambria Math" w:cs="Times New Roman"/>
                  </w:rPr>
                  <m:t>pF</m:t>
                </m:r>
              </m:oMath>
            </m:oMathPara>
          </w:p>
        </w:tc>
        <w:tc>
          <w:tcPr>
            <w:tcW w:w="0" w:type="auto"/>
          </w:tcPr>
          <w:p w14:paraId="5AE4B3AB" w14:textId="366F334A" w:rsidR="00AF33FF" w:rsidRDefault="00AF33FF" w:rsidP="00CE5CCE">
            <w:pPr>
              <w:pStyle w:val="NoSpacing"/>
              <w:rPr>
                <w:rFonts w:ascii="Calibri" w:eastAsia="Calibri" w:hAnsi="Calibri" w:cs="Times New Roman"/>
              </w:rPr>
            </w:pPr>
            <w:r>
              <w:rPr>
                <w:rFonts w:ascii="Calibri" w:eastAsia="Calibri" w:hAnsi="Calibri" w:cs="Times New Roman"/>
              </w:rPr>
              <w:t xml:space="preserve">data bus </w:t>
            </w:r>
            <w:proofErr w:type="gramStart"/>
            <w:r>
              <w:rPr>
                <w:rFonts w:ascii="Calibri" w:eastAsia="Calibri" w:hAnsi="Calibri" w:cs="Times New Roman"/>
              </w:rPr>
              <w:t>MD[</w:t>
            </w:r>
            <w:proofErr w:type="gramEnd"/>
            <w:r>
              <w:rPr>
                <w:rFonts w:ascii="Calibri" w:eastAsia="Calibri" w:hAnsi="Calibri" w:cs="Times New Roman"/>
              </w:rPr>
              <w:t>7:0]</w:t>
            </w:r>
            <w:r w:rsidR="009B49FC">
              <w:rPr>
                <w:rFonts w:ascii="Calibri" w:eastAsia="Calibri" w:hAnsi="Calibri" w:cs="Times New Roman"/>
              </w:rPr>
              <w:t>, C14M clock signal</w:t>
            </w:r>
          </w:p>
        </w:tc>
      </w:tr>
      <w:tr w:rsidR="00753176" w14:paraId="040F9D5F" w14:textId="77777777" w:rsidTr="00686B50">
        <w:trPr>
          <w:trHeight w:val="103"/>
        </w:trPr>
        <w:tc>
          <w:tcPr>
            <w:tcW w:w="0" w:type="auto"/>
            <w:vMerge/>
            <w:tcBorders>
              <w:right w:val="single" w:sz="12" w:space="0" w:color="auto"/>
            </w:tcBorders>
            <w:shd w:val="clear" w:color="auto" w:fill="E7E6E6" w:themeFill="background2"/>
            <w:vAlign w:val="center"/>
          </w:tcPr>
          <w:p w14:paraId="163BE5C2" w14:textId="77777777" w:rsidR="00AF33FF" w:rsidRDefault="00AF33FF" w:rsidP="000D3EEE">
            <w:pPr>
              <w:pStyle w:val="NoSpacing"/>
              <w:jc w:val="right"/>
              <w:rPr>
                <w:rFonts w:ascii="Calibri" w:eastAsia="Calibri" w:hAnsi="Calibri" w:cs="Times New Roman"/>
                <w:b/>
                <w:bCs/>
              </w:rPr>
            </w:pPr>
          </w:p>
        </w:tc>
        <w:tc>
          <w:tcPr>
            <w:tcW w:w="0" w:type="auto"/>
            <w:tcBorders>
              <w:left w:val="single" w:sz="12" w:space="0" w:color="auto"/>
            </w:tcBorders>
            <w:shd w:val="clear" w:color="auto" w:fill="auto"/>
            <w:vAlign w:val="center"/>
          </w:tcPr>
          <w:p w14:paraId="12EA0AE3" w14:textId="271187D5" w:rsidR="00AF33FF" w:rsidRDefault="00CD450D" w:rsidP="00AF33FF">
            <w:pPr>
              <w:pStyle w:val="NoSpacing"/>
              <w:rPr>
                <w:rFonts w:ascii="Calibri" w:eastAsia="Calibri" w:hAnsi="Calibri" w:cs="Times New Roman"/>
              </w:rPr>
            </w:pPr>
            <m:oMathPara>
              <m:oMath>
                <m:r>
                  <w:rPr>
                    <w:rFonts w:ascii="Cambria Math" w:eastAsia="Calibri" w:hAnsi="Cambria Math" w:cs="Times New Roman"/>
                  </w:rPr>
                  <m:t xml:space="preserve">10 </m:t>
                </m:r>
                <m:r>
                  <m:rPr>
                    <m:sty m:val="p"/>
                  </m:rPr>
                  <w:rPr>
                    <w:rFonts w:ascii="Cambria Math" w:eastAsia="Calibri" w:hAnsi="Cambria Math" w:cs="Times New Roman"/>
                  </w:rPr>
                  <m:t>pF</m:t>
                </m:r>
              </m:oMath>
            </m:oMathPara>
          </w:p>
        </w:tc>
        <w:tc>
          <w:tcPr>
            <w:tcW w:w="0" w:type="auto"/>
          </w:tcPr>
          <w:p w14:paraId="37B05DEA" w14:textId="19C2A8AF" w:rsidR="00AF33FF" w:rsidRDefault="00856654" w:rsidP="00AF33FF">
            <w:pPr>
              <w:pStyle w:val="NoSpacing"/>
              <w:rPr>
                <w:rFonts w:ascii="Calibri" w:eastAsia="Calibri" w:hAnsi="Calibri" w:cs="Times New Roman"/>
              </w:rPr>
            </w:pPr>
            <w:r>
              <w:rPr>
                <w:rFonts w:ascii="Calibri" w:eastAsia="Calibri" w:hAnsi="Calibri" w:cs="Times New Roman"/>
              </w:rPr>
              <w:t>a</w:t>
            </w:r>
            <w:r w:rsidR="00F524DD">
              <w:rPr>
                <w:rFonts w:ascii="Calibri" w:eastAsia="Calibri" w:hAnsi="Calibri" w:cs="Times New Roman"/>
              </w:rPr>
              <w:t>ll other signals</w:t>
            </w:r>
          </w:p>
        </w:tc>
      </w:tr>
      <w:tr w:rsidR="00753176" w14:paraId="697D165D" w14:textId="77777777" w:rsidTr="00686B50">
        <w:trPr>
          <w:trHeight w:val="103"/>
        </w:trPr>
        <w:tc>
          <w:tcPr>
            <w:tcW w:w="0" w:type="auto"/>
            <w:tcBorders>
              <w:right w:val="single" w:sz="12" w:space="0" w:color="auto"/>
            </w:tcBorders>
            <w:shd w:val="clear" w:color="auto" w:fill="E7E6E6" w:themeFill="background2"/>
            <w:vAlign w:val="center"/>
          </w:tcPr>
          <w:p w14:paraId="311C9375" w14:textId="4CD5A296" w:rsidR="00EA0E06" w:rsidRDefault="000D3EEE" w:rsidP="000D3EEE">
            <w:pPr>
              <w:pStyle w:val="NoSpacing"/>
              <w:jc w:val="right"/>
              <w:rPr>
                <w:rFonts w:ascii="Calibri" w:eastAsia="Calibri" w:hAnsi="Calibri" w:cs="Times New Roman"/>
                <w:b/>
                <w:bCs/>
              </w:rPr>
            </w:pPr>
            <w:r>
              <w:rPr>
                <w:rFonts w:eastAsiaTheme="minorEastAsia"/>
                <w:b/>
                <w:bCs/>
              </w:rPr>
              <w:t xml:space="preserve"> </w:t>
            </w:r>
            <m:oMath>
              <m:sSub>
                <m:sSubPr>
                  <m:ctrlPr>
                    <w:rPr>
                      <w:rFonts w:ascii="Cambria Math" w:eastAsia="Calibri" w:hAnsi="Cambria Math" w:cs="Times New Roman"/>
                      <w:b/>
                      <w:bCs/>
                      <w:i/>
                    </w:rPr>
                  </m:ctrlPr>
                </m:sSubPr>
                <m:e>
                  <m:sSub>
                    <m:sSubPr>
                      <m:ctrlPr>
                        <w:rPr>
                          <w:rFonts w:ascii="Cambria Math" w:eastAsia="Calibri" w:hAnsi="Cambria Math" w:cs="Times New Roman"/>
                          <w:b/>
                          <w:bCs/>
                          <w:i/>
                        </w:rPr>
                      </m:ctrlPr>
                    </m:sSubPr>
                    <m:e>
                      <m:r>
                        <m:rPr>
                          <m:sty m:val="bi"/>
                        </m:rPr>
                        <w:rPr>
                          <w:rFonts w:ascii="Cambria Math" w:eastAsia="Calibri" w:hAnsi="Cambria Math" w:cs="Times New Roman"/>
                        </w:rPr>
                        <m:t>I</m:t>
                      </m:r>
                    </m:e>
                    <m:sub>
                      <m:r>
                        <m:rPr>
                          <m:sty m:val="bi"/>
                        </m:rPr>
                        <w:rPr>
                          <w:rFonts w:ascii="Cambria Math" w:eastAsia="Calibri" w:hAnsi="Cambria Math" w:cs="Times New Roman"/>
                        </w:rPr>
                        <m:t>CC</m:t>
                      </m:r>
                    </m:sub>
                  </m:sSub>
                </m:e>
                <m:sub>
                  <m:r>
                    <m:rPr>
                      <m:sty m:val="bi"/>
                    </m:rPr>
                    <w:rPr>
                      <w:rFonts w:ascii="Cambria Math" w:eastAsia="Calibri" w:hAnsi="Cambria Math" w:cs="Times New Roman"/>
                    </w:rPr>
                    <m:t>max</m:t>
                  </m:r>
                </m:sub>
              </m:sSub>
            </m:oMath>
          </w:p>
        </w:tc>
        <w:tc>
          <w:tcPr>
            <w:tcW w:w="0" w:type="auto"/>
            <w:tcBorders>
              <w:left w:val="single" w:sz="12" w:space="0" w:color="auto"/>
            </w:tcBorders>
            <w:shd w:val="clear" w:color="auto" w:fill="auto"/>
            <w:vAlign w:val="center"/>
          </w:tcPr>
          <w:p w14:paraId="3051B94F" w14:textId="0FBB9A51" w:rsidR="00EA0E06" w:rsidRDefault="00EA0E06" w:rsidP="00EA0E06">
            <w:pPr>
              <w:pStyle w:val="NoSpacing"/>
              <w:rPr>
                <w:rFonts w:ascii="Calibri" w:eastAsia="Calibri" w:hAnsi="Calibri" w:cs="Times New Roman"/>
              </w:rPr>
            </w:pPr>
            <m:oMathPara>
              <m:oMath>
                <m:r>
                  <w:rPr>
                    <w:rFonts w:ascii="Cambria Math" w:eastAsia="Calibri" w:hAnsi="Cambria Math" w:cs="Times New Roman"/>
                  </w:rPr>
                  <m:t>120</m:t>
                </m:r>
                <m:r>
                  <m:rPr>
                    <m:sty m:val="p"/>
                  </m:rPr>
                  <w:rPr>
                    <w:rFonts w:ascii="Cambria Math" w:eastAsia="Calibri" w:hAnsi="Cambria Math" w:cs="Times New Roman"/>
                  </w:rPr>
                  <m:t xml:space="preserve"> mA</m:t>
                </m:r>
              </m:oMath>
            </m:oMathPara>
          </w:p>
        </w:tc>
        <w:tc>
          <w:tcPr>
            <w:tcW w:w="0" w:type="auto"/>
          </w:tcPr>
          <w:p w14:paraId="4A3EE251" w14:textId="06EA1C8B" w:rsidR="00EA0E06" w:rsidRDefault="00EA0E06" w:rsidP="00EA0E06">
            <w:pPr>
              <w:pStyle w:val="NoSpacing"/>
              <w:rPr>
                <w:rFonts w:ascii="Calibri" w:eastAsia="Calibri" w:hAnsi="Calibri" w:cs="Times New Roman"/>
              </w:rPr>
            </w:pPr>
          </w:p>
        </w:tc>
      </w:tr>
    </w:tbl>
    <w:p w14:paraId="2B2F6146" w14:textId="7F8ABA81" w:rsidR="004113F9" w:rsidRDefault="004113F9" w:rsidP="004113F9"/>
    <w:sectPr w:rsidR="004113F9" w:rsidSect="00230AD1">
      <w:footerReference w:type="first" r:id="rId1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D9C3B" w14:textId="77777777" w:rsidR="0072362E" w:rsidRDefault="0072362E" w:rsidP="00606735">
      <w:r>
        <w:separator/>
      </w:r>
    </w:p>
  </w:endnote>
  <w:endnote w:type="continuationSeparator" w:id="0">
    <w:p w14:paraId="7A2E62B4" w14:textId="77777777" w:rsidR="0072362E" w:rsidRDefault="0072362E" w:rsidP="006067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66571" w14:textId="4298A3CD" w:rsidR="00FC1C32" w:rsidRPr="00FC1C32" w:rsidRDefault="00FC1C32" w:rsidP="00FC1C32">
    <w:pPr>
      <w:pStyle w:val="Footer"/>
      <w:tabs>
        <w:tab w:val="clear" w:pos="4680"/>
        <w:tab w:val="clear" w:pos="9360"/>
        <w:tab w:val="left" w:pos="3140"/>
      </w:tabs>
    </w:pPr>
    <w:r>
      <w:t>RAM2E II was designed by Zane Kaminski and Garrett Fellers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C09DD" w14:textId="77777777" w:rsidR="0072362E" w:rsidRDefault="0072362E" w:rsidP="00606735">
      <w:r>
        <w:separator/>
      </w:r>
    </w:p>
  </w:footnote>
  <w:footnote w:type="continuationSeparator" w:id="0">
    <w:p w14:paraId="45C17CBA" w14:textId="77777777" w:rsidR="0072362E" w:rsidRDefault="0072362E" w:rsidP="00606735">
      <w:r>
        <w:continuationSeparator/>
      </w:r>
    </w:p>
  </w:footnote>
  <w:footnote w:id="1">
    <w:p w14:paraId="78AC4EA6" w14:textId="67749D81" w:rsidR="00C25753" w:rsidRPr="00EB713D" w:rsidRDefault="00C25753">
      <w:pPr>
        <w:pStyle w:val="FootnoteText"/>
      </w:pPr>
      <w:r w:rsidRPr="00EB713D">
        <w:rPr>
          <w:rStyle w:val="FootnoteReference"/>
        </w:rPr>
        <w:footnoteRef/>
      </w:r>
      <w:r w:rsidRPr="00EB713D">
        <w:t xml:space="preserve"> Maximum power consumption measured with </w:t>
      </w:r>
      <w:r w:rsidR="00EB713D" w:rsidRPr="00EB713D">
        <w:t>quadruple-</w:t>
      </w:r>
      <w:r w:rsidRPr="00EB713D">
        <w:t xml:space="preserve">unrolled auxiliary RAM </w:t>
      </w:r>
      <w:r w:rsidR="00EB713D">
        <w:t>read/write</w:t>
      </w:r>
      <w:r w:rsidRPr="00EB713D">
        <w:t xml:space="preserve"> loop running </w:t>
      </w:r>
      <w:r w:rsidR="00EB713D" w:rsidRPr="00EB713D">
        <w:t>on</w:t>
      </w:r>
      <w:r w:rsidRPr="00EB713D">
        <w:t xml:space="preserve"> </w:t>
      </w:r>
      <w:proofErr w:type="spellStart"/>
      <w:r w:rsidRPr="00EB713D">
        <w:t>FastCHIP</w:t>
      </w:r>
      <w:proofErr w:type="spellEnd"/>
      <w:r w:rsidRPr="00EB713D">
        <w:t xml:space="preserve"> </w:t>
      </w:r>
      <w:proofErr w:type="spellStart"/>
      <w:r w:rsidRPr="00EB713D">
        <w:t>IIe</w:t>
      </w:r>
      <w:proofErr w:type="spellEnd"/>
      <w:r w:rsidRPr="00EB713D">
        <w:t xml:space="preserve"> accelerator at 16.6 </w:t>
      </w:r>
      <w:proofErr w:type="spellStart"/>
      <w:r w:rsidRPr="00EB713D">
        <w:t>MHz.</w:t>
      </w:r>
      <w:proofErr w:type="spellEnd"/>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325"/>
    <w:rsid w:val="00005852"/>
    <w:rsid w:val="00010274"/>
    <w:rsid w:val="0001791D"/>
    <w:rsid w:val="000204E7"/>
    <w:rsid w:val="00022CCC"/>
    <w:rsid w:val="00022E84"/>
    <w:rsid w:val="000247BD"/>
    <w:rsid w:val="000257A7"/>
    <w:rsid w:val="00033367"/>
    <w:rsid w:val="00052C6F"/>
    <w:rsid w:val="000652E0"/>
    <w:rsid w:val="000942FA"/>
    <w:rsid w:val="000970D7"/>
    <w:rsid w:val="000A5553"/>
    <w:rsid w:val="000B325D"/>
    <w:rsid w:val="000D0BA1"/>
    <w:rsid w:val="000D1E96"/>
    <w:rsid w:val="000D3EEE"/>
    <w:rsid w:val="000D419A"/>
    <w:rsid w:val="000D5B4B"/>
    <w:rsid w:val="000F2EEB"/>
    <w:rsid w:val="000F7EF6"/>
    <w:rsid w:val="00114536"/>
    <w:rsid w:val="00116FBB"/>
    <w:rsid w:val="001272C7"/>
    <w:rsid w:val="0013346E"/>
    <w:rsid w:val="001348FA"/>
    <w:rsid w:val="0014303E"/>
    <w:rsid w:val="00144379"/>
    <w:rsid w:val="00146D86"/>
    <w:rsid w:val="0015091A"/>
    <w:rsid w:val="00151E7D"/>
    <w:rsid w:val="00157672"/>
    <w:rsid w:val="00167EBA"/>
    <w:rsid w:val="0017223D"/>
    <w:rsid w:val="0017508E"/>
    <w:rsid w:val="00177960"/>
    <w:rsid w:val="001A370E"/>
    <w:rsid w:val="001B051F"/>
    <w:rsid w:val="001B4129"/>
    <w:rsid w:val="001B4F70"/>
    <w:rsid w:val="001B76F3"/>
    <w:rsid w:val="001C6FEC"/>
    <w:rsid w:val="001D68A7"/>
    <w:rsid w:val="001F2A37"/>
    <w:rsid w:val="001F3306"/>
    <w:rsid w:val="001F4360"/>
    <w:rsid w:val="001F4AA0"/>
    <w:rsid w:val="001F69ED"/>
    <w:rsid w:val="00210AE7"/>
    <w:rsid w:val="002111BC"/>
    <w:rsid w:val="00211222"/>
    <w:rsid w:val="00212C40"/>
    <w:rsid w:val="00215525"/>
    <w:rsid w:val="002200AD"/>
    <w:rsid w:val="00220959"/>
    <w:rsid w:val="00222AEF"/>
    <w:rsid w:val="00222B1A"/>
    <w:rsid w:val="00224A52"/>
    <w:rsid w:val="00225C4B"/>
    <w:rsid w:val="00230AD1"/>
    <w:rsid w:val="00234A45"/>
    <w:rsid w:val="00242F71"/>
    <w:rsid w:val="0024362D"/>
    <w:rsid w:val="00260FE9"/>
    <w:rsid w:val="0026662A"/>
    <w:rsid w:val="0029023B"/>
    <w:rsid w:val="0029319B"/>
    <w:rsid w:val="00296FA9"/>
    <w:rsid w:val="002A0B1A"/>
    <w:rsid w:val="002A18E9"/>
    <w:rsid w:val="002B1692"/>
    <w:rsid w:val="002B1D4E"/>
    <w:rsid w:val="002B6679"/>
    <w:rsid w:val="002E116A"/>
    <w:rsid w:val="002E3A06"/>
    <w:rsid w:val="002F6406"/>
    <w:rsid w:val="00304C59"/>
    <w:rsid w:val="003141F0"/>
    <w:rsid w:val="00320DC1"/>
    <w:rsid w:val="00331776"/>
    <w:rsid w:val="0033371E"/>
    <w:rsid w:val="003365C7"/>
    <w:rsid w:val="00337CE9"/>
    <w:rsid w:val="00352AA7"/>
    <w:rsid w:val="00353B98"/>
    <w:rsid w:val="003562AD"/>
    <w:rsid w:val="00365E72"/>
    <w:rsid w:val="00370A69"/>
    <w:rsid w:val="003716B6"/>
    <w:rsid w:val="00372B02"/>
    <w:rsid w:val="00375C5E"/>
    <w:rsid w:val="00377F40"/>
    <w:rsid w:val="0038364C"/>
    <w:rsid w:val="00383E94"/>
    <w:rsid w:val="00395BA2"/>
    <w:rsid w:val="003B225B"/>
    <w:rsid w:val="003B3976"/>
    <w:rsid w:val="003B7C57"/>
    <w:rsid w:val="003B7DFD"/>
    <w:rsid w:val="003C298E"/>
    <w:rsid w:val="003D6022"/>
    <w:rsid w:val="003E08EC"/>
    <w:rsid w:val="003F073B"/>
    <w:rsid w:val="003F3ED7"/>
    <w:rsid w:val="0040059D"/>
    <w:rsid w:val="004011E0"/>
    <w:rsid w:val="004113F9"/>
    <w:rsid w:val="00412C68"/>
    <w:rsid w:val="0041453B"/>
    <w:rsid w:val="00420330"/>
    <w:rsid w:val="0044223A"/>
    <w:rsid w:val="00444EE1"/>
    <w:rsid w:val="004543D1"/>
    <w:rsid w:val="00454629"/>
    <w:rsid w:val="00456E5E"/>
    <w:rsid w:val="00460C16"/>
    <w:rsid w:val="00466BBA"/>
    <w:rsid w:val="00466DBE"/>
    <w:rsid w:val="0048037D"/>
    <w:rsid w:val="004A52A2"/>
    <w:rsid w:val="004B7A74"/>
    <w:rsid w:val="004C4FDB"/>
    <w:rsid w:val="004C6FF5"/>
    <w:rsid w:val="004D4C92"/>
    <w:rsid w:val="004E2F6A"/>
    <w:rsid w:val="004E5BF7"/>
    <w:rsid w:val="00505D04"/>
    <w:rsid w:val="00510FC0"/>
    <w:rsid w:val="00511E34"/>
    <w:rsid w:val="00520379"/>
    <w:rsid w:val="0054078E"/>
    <w:rsid w:val="005451FF"/>
    <w:rsid w:val="0054541D"/>
    <w:rsid w:val="005516CB"/>
    <w:rsid w:val="005537ED"/>
    <w:rsid w:val="0056553C"/>
    <w:rsid w:val="00567EF8"/>
    <w:rsid w:val="005757DE"/>
    <w:rsid w:val="00577950"/>
    <w:rsid w:val="005842E8"/>
    <w:rsid w:val="005878AB"/>
    <w:rsid w:val="005937B8"/>
    <w:rsid w:val="005A143F"/>
    <w:rsid w:val="005A4C9B"/>
    <w:rsid w:val="005B3558"/>
    <w:rsid w:val="005B6315"/>
    <w:rsid w:val="005C301F"/>
    <w:rsid w:val="005C41DF"/>
    <w:rsid w:val="005C44A2"/>
    <w:rsid w:val="005C5798"/>
    <w:rsid w:val="005C6099"/>
    <w:rsid w:val="005D3531"/>
    <w:rsid w:val="00606735"/>
    <w:rsid w:val="00607325"/>
    <w:rsid w:val="00612454"/>
    <w:rsid w:val="006131AE"/>
    <w:rsid w:val="0062139D"/>
    <w:rsid w:val="006255F9"/>
    <w:rsid w:val="00647D26"/>
    <w:rsid w:val="00650175"/>
    <w:rsid w:val="006658FA"/>
    <w:rsid w:val="00665EAA"/>
    <w:rsid w:val="006713F6"/>
    <w:rsid w:val="0067261C"/>
    <w:rsid w:val="00674EEE"/>
    <w:rsid w:val="006761CE"/>
    <w:rsid w:val="00686B50"/>
    <w:rsid w:val="0069223D"/>
    <w:rsid w:val="00697EFF"/>
    <w:rsid w:val="006A689B"/>
    <w:rsid w:val="006B3FE7"/>
    <w:rsid w:val="006B6023"/>
    <w:rsid w:val="006C016B"/>
    <w:rsid w:val="006D4FE7"/>
    <w:rsid w:val="006E0415"/>
    <w:rsid w:val="006E082D"/>
    <w:rsid w:val="006E14B8"/>
    <w:rsid w:val="006F321B"/>
    <w:rsid w:val="00702950"/>
    <w:rsid w:val="00707F4F"/>
    <w:rsid w:val="0071079E"/>
    <w:rsid w:val="00710F03"/>
    <w:rsid w:val="007118EE"/>
    <w:rsid w:val="007170ED"/>
    <w:rsid w:val="0072022A"/>
    <w:rsid w:val="0072362E"/>
    <w:rsid w:val="00725DCD"/>
    <w:rsid w:val="007402B8"/>
    <w:rsid w:val="00753176"/>
    <w:rsid w:val="00756698"/>
    <w:rsid w:val="00767B36"/>
    <w:rsid w:val="007776C3"/>
    <w:rsid w:val="00787AA5"/>
    <w:rsid w:val="00790D3C"/>
    <w:rsid w:val="007917D6"/>
    <w:rsid w:val="007A4A2F"/>
    <w:rsid w:val="007B3372"/>
    <w:rsid w:val="007B40BA"/>
    <w:rsid w:val="007D4A95"/>
    <w:rsid w:val="007E0A82"/>
    <w:rsid w:val="007F5D0B"/>
    <w:rsid w:val="007F64ED"/>
    <w:rsid w:val="008135D0"/>
    <w:rsid w:val="0081424C"/>
    <w:rsid w:val="00814FA4"/>
    <w:rsid w:val="00816A5F"/>
    <w:rsid w:val="00821648"/>
    <w:rsid w:val="00822564"/>
    <w:rsid w:val="00824E5E"/>
    <w:rsid w:val="00834FC6"/>
    <w:rsid w:val="00836405"/>
    <w:rsid w:val="00842CCA"/>
    <w:rsid w:val="0084772D"/>
    <w:rsid w:val="00856654"/>
    <w:rsid w:val="00861A2D"/>
    <w:rsid w:val="00863D98"/>
    <w:rsid w:val="0086530F"/>
    <w:rsid w:val="00875066"/>
    <w:rsid w:val="00896F23"/>
    <w:rsid w:val="008A148E"/>
    <w:rsid w:val="008F3F67"/>
    <w:rsid w:val="008F71B8"/>
    <w:rsid w:val="00917590"/>
    <w:rsid w:val="009217D8"/>
    <w:rsid w:val="009219BC"/>
    <w:rsid w:val="00927FEB"/>
    <w:rsid w:val="00943628"/>
    <w:rsid w:val="00944C07"/>
    <w:rsid w:val="00947345"/>
    <w:rsid w:val="00947679"/>
    <w:rsid w:val="00952E28"/>
    <w:rsid w:val="0097010C"/>
    <w:rsid w:val="00972593"/>
    <w:rsid w:val="009726D6"/>
    <w:rsid w:val="009756C6"/>
    <w:rsid w:val="00982AE6"/>
    <w:rsid w:val="00985015"/>
    <w:rsid w:val="00990EB6"/>
    <w:rsid w:val="009911AF"/>
    <w:rsid w:val="00992692"/>
    <w:rsid w:val="00992E99"/>
    <w:rsid w:val="00993FFA"/>
    <w:rsid w:val="0099462B"/>
    <w:rsid w:val="00996337"/>
    <w:rsid w:val="00997FCF"/>
    <w:rsid w:val="009A49D4"/>
    <w:rsid w:val="009A51A8"/>
    <w:rsid w:val="009B49FC"/>
    <w:rsid w:val="009B790F"/>
    <w:rsid w:val="009C483C"/>
    <w:rsid w:val="009C7843"/>
    <w:rsid w:val="009D5113"/>
    <w:rsid w:val="009D7081"/>
    <w:rsid w:val="009E5045"/>
    <w:rsid w:val="009E5A29"/>
    <w:rsid w:val="009E7324"/>
    <w:rsid w:val="009F1AC9"/>
    <w:rsid w:val="009F562E"/>
    <w:rsid w:val="00A00A31"/>
    <w:rsid w:val="00A0183A"/>
    <w:rsid w:val="00A01FD2"/>
    <w:rsid w:val="00A05BC0"/>
    <w:rsid w:val="00A0776F"/>
    <w:rsid w:val="00A14D87"/>
    <w:rsid w:val="00A17B22"/>
    <w:rsid w:val="00A2747A"/>
    <w:rsid w:val="00A31FC7"/>
    <w:rsid w:val="00A36592"/>
    <w:rsid w:val="00A37B78"/>
    <w:rsid w:val="00A5546C"/>
    <w:rsid w:val="00A72A36"/>
    <w:rsid w:val="00A835EF"/>
    <w:rsid w:val="00A90A11"/>
    <w:rsid w:val="00A91348"/>
    <w:rsid w:val="00A9253F"/>
    <w:rsid w:val="00AA4BF2"/>
    <w:rsid w:val="00AA7D2E"/>
    <w:rsid w:val="00AB34C3"/>
    <w:rsid w:val="00AC3108"/>
    <w:rsid w:val="00AC6AA1"/>
    <w:rsid w:val="00AD101B"/>
    <w:rsid w:val="00AD72E8"/>
    <w:rsid w:val="00AE2961"/>
    <w:rsid w:val="00AF33FF"/>
    <w:rsid w:val="00AF63D9"/>
    <w:rsid w:val="00B01703"/>
    <w:rsid w:val="00B018A2"/>
    <w:rsid w:val="00B110B9"/>
    <w:rsid w:val="00B13888"/>
    <w:rsid w:val="00B13921"/>
    <w:rsid w:val="00B237E5"/>
    <w:rsid w:val="00B25E92"/>
    <w:rsid w:val="00B27AC5"/>
    <w:rsid w:val="00B33C7B"/>
    <w:rsid w:val="00B4230C"/>
    <w:rsid w:val="00B522FA"/>
    <w:rsid w:val="00B62C81"/>
    <w:rsid w:val="00B635BE"/>
    <w:rsid w:val="00B65F8A"/>
    <w:rsid w:val="00B83700"/>
    <w:rsid w:val="00B850A9"/>
    <w:rsid w:val="00B96CE1"/>
    <w:rsid w:val="00BA458D"/>
    <w:rsid w:val="00BA7389"/>
    <w:rsid w:val="00BA7F6E"/>
    <w:rsid w:val="00BC2702"/>
    <w:rsid w:val="00BC2BAE"/>
    <w:rsid w:val="00BE44DF"/>
    <w:rsid w:val="00C016C7"/>
    <w:rsid w:val="00C02294"/>
    <w:rsid w:val="00C06F6C"/>
    <w:rsid w:val="00C117BA"/>
    <w:rsid w:val="00C1318F"/>
    <w:rsid w:val="00C13B4F"/>
    <w:rsid w:val="00C1440A"/>
    <w:rsid w:val="00C147CF"/>
    <w:rsid w:val="00C21631"/>
    <w:rsid w:val="00C25753"/>
    <w:rsid w:val="00C25BE0"/>
    <w:rsid w:val="00C25C5A"/>
    <w:rsid w:val="00C3042C"/>
    <w:rsid w:val="00C3076A"/>
    <w:rsid w:val="00C30BC7"/>
    <w:rsid w:val="00C4091E"/>
    <w:rsid w:val="00C50189"/>
    <w:rsid w:val="00C535F4"/>
    <w:rsid w:val="00C569CF"/>
    <w:rsid w:val="00C57C5E"/>
    <w:rsid w:val="00C61B00"/>
    <w:rsid w:val="00C84C91"/>
    <w:rsid w:val="00C8638F"/>
    <w:rsid w:val="00C90384"/>
    <w:rsid w:val="00C94D4B"/>
    <w:rsid w:val="00C97A89"/>
    <w:rsid w:val="00CC0AD7"/>
    <w:rsid w:val="00CC34CF"/>
    <w:rsid w:val="00CC3BA1"/>
    <w:rsid w:val="00CC3D23"/>
    <w:rsid w:val="00CD450D"/>
    <w:rsid w:val="00CD4BAE"/>
    <w:rsid w:val="00CD4CF8"/>
    <w:rsid w:val="00CD4E76"/>
    <w:rsid w:val="00CD56A9"/>
    <w:rsid w:val="00CE5771"/>
    <w:rsid w:val="00CE5CCE"/>
    <w:rsid w:val="00CF7AF4"/>
    <w:rsid w:val="00D02FF7"/>
    <w:rsid w:val="00D0660F"/>
    <w:rsid w:val="00D125ED"/>
    <w:rsid w:val="00D14C84"/>
    <w:rsid w:val="00D16528"/>
    <w:rsid w:val="00D2022C"/>
    <w:rsid w:val="00D2060F"/>
    <w:rsid w:val="00D23875"/>
    <w:rsid w:val="00D25326"/>
    <w:rsid w:val="00D30A17"/>
    <w:rsid w:val="00D3649C"/>
    <w:rsid w:val="00D42D96"/>
    <w:rsid w:val="00D437E9"/>
    <w:rsid w:val="00D45DFE"/>
    <w:rsid w:val="00D5249D"/>
    <w:rsid w:val="00D6491C"/>
    <w:rsid w:val="00D7165F"/>
    <w:rsid w:val="00D82F95"/>
    <w:rsid w:val="00D84197"/>
    <w:rsid w:val="00D843C6"/>
    <w:rsid w:val="00D903C4"/>
    <w:rsid w:val="00D93673"/>
    <w:rsid w:val="00DA0520"/>
    <w:rsid w:val="00DA58FF"/>
    <w:rsid w:val="00DB7621"/>
    <w:rsid w:val="00DC0EC6"/>
    <w:rsid w:val="00DC2E80"/>
    <w:rsid w:val="00DE0827"/>
    <w:rsid w:val="00DE215B"/>
    <w:rsid w:val="00DE53A6"/>
    <w:rsid w:val="00E048FE"/>
    <w:rsid w:val="00E06328"/>
    <w:rsid w:val="00E1090F"/>
    <w:rsid w:val="00E13064"/>
    <w:rsid w:val="00E16BB3"/>
    <w:rsid w:val="00E1798B"/>
    <w:rsid w:val="00E208D4"/>
    <w:rsid w:val="00E246E5"/>
    <w:rsid w:val="00E33F17"/>
    <w:rsid w:val="00E34DA7"/>
    <w:rsid w:val="00E35965"/>
    <w:rsid w:val="00E40857"/>
    <w:rsid w:val="00E56E40"/>
    <w:rsid w:val="00E6074B"/>
    <w:rsid w:val="00E74686"/>
    <w:rsid w:val="00E859F2"/>
    <w:rsid w:val="00E9589A"/>
    <w:rsid w:val="00EA0E06"/>
    <w:rsid w:val="00EA623C"/>
    <w:rsid w:val="00EA6607"/>
    <w:rsid w:val="00EA69FD"/>
    <w:rsid w:val="00EB713D"/>
    <w:rsid w:val="00EC03E1"/>
    <w:rsid w:val="00EC21BA"/>
    <w:rsid w:val="00ED204F"/>
    <w:rsid w:val="00EE4BF2"/>
    <w:rsid w:val="00EF75D7"/>
    <w:rsid w:val="00F12A4F"/>
    <w:rsid w:val="00F15E40"/>
    <w:rsid w:val="00F203FF"/>
    <w:rsid w:val="00F223DD"/>
    <w:rsid w:val="00F22F54"/>
    <w:rsid w:val="00F24F78"/>
    <w:rsid w:val="00F278C3"/>
    <w:rsid w:val="00F30B13"/>
    <w:rsid w:val="00F472AA"/>
    <w:rsid w:val="00F524DD"/>
    <w:rsid w:val="00F63347"/>
    <w:rsid w:val="00F73B99"/>
    <w:rsid w:val="00F7448B"/>
    <w:rsid w:val="00F757D0"/>
    <w:rsid w:val="00F76C4E"/>
    <w:rsid w:val="00F86C6E"/>
    <w:rsid w:val="00F86CC2"/>
    <w:rsid w:val="00F92281"/>
    <w:rsid w:val="00F964C3"/>
    <w:rsid w:val="00FA2B4E"/>
    <w:rsid w:val="00FA3840"/>
    <w:rsid w:val="00FA54AF"/>
    <w:rsid w:val="00FB24AB"/>
    <w:rsid w:val="00FB3FBD"/>
    <w:rsid w:val="00FB65E6"/>
    <w:rsid w:val="00FC1C32"/>
    <w:rsid w:val="00FC4C97"/>
    <w:rsid w:val="00FD12E2"/>
    <w:rsid w:val="00FD7736"/>
    <w:rsid w:val="00FF2B04"/>
    <w:rsid w:val="00FF57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63C08"/>
  <w15:chartTrackingRefBased/>
  <w15:docId w15:val="{3682B828-5DFB-AF4D-94F0-9A3AC7C66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F67"/>
    <w:pPr>
      <w:spacing w:after="120"/>
    </w:pPr>
  </w:style>
  <w:style w:type="paragraph" w:styleId="Heading1">
    <w:name w:val="heading 1"/>
    <w:basedOn w:val="Normal"/>
    <w:next w:val="Normal"/>
    <w:link w:val="Heading1Char"/>
    <w:uiPriority w:val="9"/>
    <w:qFormat/>
    <w:rsid w:val="000204E7"/>
    <w:pPr>
      <w:keepNext/>
      <w:keepLines/>
      <w:spacing w:before="12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22A"/>
    <w:pPr>
      <w:keepNext/>
      <w:keepLines/>
      <w:spacing w:before="12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022A"/>
    <w:pPr>
      <w:keepNext/>
      <w:keepLines/>
      <w:spacing w:before="12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2022A"/>
    <w:pPr>
      <w:keepNext/>
      <w:keepLines/>
      <w:spacing w:before="12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917D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17D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204E7"/>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606735"/>
    <w:pPr>
      <w:tabs>
        <w:tab w:val="center" w:pos="4680"/>
        <w:tab w:val="right" w:pos="9360"/>
      </w:tabs>
    </w:pPr>
  </w:style>
  <w:style w:type="character" w:customStyle="1" w:styleId="HeaderChar">
    <w:name w:val="Header Char"/>
    <w:basedOn w:val="DefaultParagraphFont"/>
    <w:link w:val="Header"/>
    <w:uiPriority w:val="99"/>
    <w:rsid w:val="00606735"/>
  </w:style>
  <w:style w:type="paragraph" w:styleId="Footer">
    <w:name w:val="footer"/>
    <w:basedOn w:val="Normal"/>
    <w:link w:val="FooterChar"/>
    <w:uiPriority w:val="99"/>
    <w:unhideWhenUsed/>
    <w:rsid w:val="00606735"/>
    <w:pPr>
      <w:tabs>
        <w:tab w:val="center" w:pos="4680"/>
        <w:tab w:val="right" w:pos="9360"/>
      </w:tabs>
    </w:pPr>
  </w:style>
  <w:style w:type="character" w:customStyle="1" w:styleId="FooterChar">
    <w:name w:val="Footer Char"/>
    <w:basedOn w:val="DefaultParagraphFont"/>
    <w:link w:val="Footer"/>
    <w:uiPriority w:val="99"/>
    <w:rsid w:val="00606735"/>
  </w:style>
  <w:style w:type="character" w:customStyle="1" w:styleId="Heading2Char">
    <w:name w:val="Heading 2 Char"/>
    <w:basedOn w:val="DefaultParagraphFont"/>
    <w:link w:val="Heading2"/>
    <w:uiPriority w:val="9"/>
    <w:rsid w:val="007202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2022A"/>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F1A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4230C"/>
  </w:style>
  <w:style w:type="paragraph" w:customStyle="1" w:styleId="RegisterName">
    <w:name w:val="RegisterName"/>
    <w:basedOn w:val="Normal"/>
    <w:qFormat/>
    <w:rsid w:val="000204E7"/>
    <w:pPr>
      <w:spacing w:after="0"/>
      <w:jc w:val="center"/>
    </w:pPr>
  </w:style>
  <w:style w:type="paragraph" w:customStyle="1" w:styleId="RegisterAnnotation">
    <w:name w:val="RegisterAnnotation"/>
    <w:basedOn w:val="Normal"/>
    <w:qFormat/>
    <w:rsid w:val="000204E7"/>
    <w:pPr>
      <w:spacing w:after="0"/>
      <w:jc w:val="center"/>
    </w:pPr>
    <w:rPr>
      <w:sz w:val="22"/>
      <w:szCs w:val="22"/>
    </w:rPr>
  </w:style>
  <w:style w:type="character" w:customStyle="1" w:styleId="Heading4Char">
    <w:name w:val="Heading 4 Char"/>
    <w:basedOn w:val="DefaultParagraphFont"/>
    <w:link w:val="Heading4"/>
    <w:uiPriority w:val="9"/>
    <w:semiHidden/>
    <w:rsid w:val="0072022A"/>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7170ED"/>
    <w:rPr>
      <w:color w:val="0563C1" w:themeColor="hyperlink"/>
      <w:u w:val="single"/>
    </w:rPr>
  </w:style>
  <w:style w:type="character" w:styleId="UnresolvedMention">
    <w:name w:val="Unresolved Mention"/>
    <w:basedOn w:val="DefaultParagraphFont"/>
    <w:uiPriority w:val="99"/>
    <w:semiHidden/>
    <w:unhideWhenUsed/>
    <w:rsid w:val="007170ED"/>
    <w:rPr>
      <w:color w:val="605E5C"/>
      <w:shd w:val="clear" w:color="auto" w:fill="E1DFDD"/>
    </w:rPr>
  </w:style>
  <w:style w:type="character" w:styleId="FollowedHyperlink">
    <w:name w:val="FollowedHyperlink"/>
    <w:basedOn w:val="DefaultParagraphFont"/>
    <w:uiPriority w:val="99"/>
    <w:semiHidden/>
    <w:unhideWhenUsed/>
    <w:rsid w:val="00D0660F"/>
    <w:rPr>
      <w:color w:val="954F72" w:themeColor="followedHyperlink"/>
      <w:u w:val="single"/>
    </w:rPr>
  </w:style>
  <w:style w:type="paragraph" w:styleId="BalloonText">
    <w:name w:val="Balloon Text"/>
    <w:basedOn w:val="Normal"/>
    <w:link w:val="BalloonTextChar"/>
    <w:uiPriority w:val="99"/>
    <w:semiHidden/>
    <w:unhideWhenUsed/>
    <w:rsid w:val="00EF75D7"/>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F75D7"/>
    <w:rPr>
      <w:rFonts w:ascii="Times New Roman" w:hAnsi="Times New Roman" w:cs="Times New Roman"/>
      <w:sz w:val="18"/>
      <w:szCs w:val="18"/>
    </w:rPr>
  </w:style>
  <w:style w:type="paragraph" w:customStyle="1" w:styleId="Code">
    <w:name w:val="Code"/>
    <w:basedOn w:val="Normal"/>
    <w:qFormat/>
    <w:rsid w:val="00520379"/>
    <w:pPr>
      <w:autoSpaceDE w:val="0"/>
      <w:autoSpaceDN w:val="0"/>
      <w:adjustRightInd w:val="0"/>
    </w:pPr>
    <w:rPr>
      <w:rFonts w:ascii="Menlo" w:hAnsi="Menlo" w:cs="AppleSystemUIFont"/>
    </w:rPr>
  </w:style>
  <w:style w:type="paragraph" w:styleId="Subtitle">
    <w:name w:val="Subtitle"/>
    <w:basedOn w:val="Normal"/>
    <w:next w:val="Normal"/>
    <w:link w:val="SubtitleChar"/>
    <w:uiPriority w:val="11"/>
    <w:qFormat/>
    <w:rsid w:val="00577950"/>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577950"/>
    <w:rPr>
      <w:rFonts w:eastAsiaTheme="minorEastAsia"/>
      <w:color w:val="5A5A5A" w:themeColor="text1" w:themeTint="A5"/>
      <w:spacing w:val="15"/>
      <w:sz w:val="22"/>
      <w:szCs w:val="22"/>
    </w:rPr>
  </w:style>
  <w:style w:type="paragraph" w:styleId="FootnoteText">
    <w:name w:val="footnote text"/>
    <w:basedOn w:val="Normal"/>
    <w:link w:val="FootnoteTextChar"/>
    <w:uiPriority w:val="99"/>
    <w:semiHidden/>
    <w:unhideWhenUsed/>
    <w:rsid w:val="00C25753"/>
    <w:pPr>
      <w:spacing w:after="0"/>
    </w:pPr>
    <w:rPr>
      <w:sz w:val="20"/>
      <w:szCs w:val="20"/>
    </w:rPr>
  </w:style>
  <w:style w:type="character" w:customStyle="1" w:styleId="FootnoteTextChar">
    <w:name w:val="Footnote Text Char"/>
    <w:basedOn w:val="DefaultParagraphFont"/>
    <w:link w:val="FootnoteText"/>
    <w:uiPriority w:val="99"/>
    <w:semiHidden/>
    <w:rsid w:val="00C25753"/>
    <w:rPr>
      <w:sz w:val="20"/>
      <w:szCs w:val="20"/>
    </w:rPr>
  </w:style>
  <w:style w:type="character" w:styleId="FootnoteReference">
    <w:name w:val="footnote reference"/>
    <w:basedOn w:val="DefaultParagraphFont"/>
    <w:uiPriority w:val="99"/>
    <w:semiHidden/>
    <w:unhideWhenUsed/>
    <w:rsid w:val="00C25753"/>
    <w:rPr>
      <w:vertAlign w:val="superscript"/>
    </w:rPr>
  </w:style>
  <w:style w:type="character" w:styleId="PlaceholderText">
    <w:name w:val="Placeholder Text"/>
    <w:basedOn w:val="DefaultParagraphFont"/>
    <w:uiPriority w:val="99"/>
    <w:semiHidden/>
    <w:rsid w:val="00927F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150268">
      <w:bodyDiv w:val="1"/>
      <w:marLeft w:val="0"/>
      <w:marRight w:val="0"/>
      <w:marTop w:val="0"/>
      <w:marBottom w:val="0"/>
      <w:divBdr>
        <w:top w:val="none" w:sz="0" w:space="0" w:color="auto"/>
        <w:left w:val="none" w:sz="0" w:space="0" w:color="auto"/>
        <w:bottom w:val="none" w:sz="0" w:space="0" w:color="auto"/>
        <w:right w:val="none" w:sz="0" w:space="0" w:color="auto"/>
      </w:divBdr>
      <w:divsChild>
        <w:div w:id="1947616174">
          <w:marLeft w:val="0"/>
          <w:marRight w:val="0"/>
          <w:marTop w:val="0"/>
          <w:marBottom w:val="0"/>
          <w:divBdr>
            <w:top w:val="none" w:sz="0" w:space="0" w:color="auto"/>
            <w:left w:val="none" w:sz="0" w:space="0" w:color="auto"/>
            <w:bottom w:val="none" w:sz="0" w:space="0" w:color="auto"/>
            <w:right w:val="none" w:sz="0" w:space="0" w:color="auto"/>
          </w:divBdr>
          <w:divsChild>
            <w:div w:id="1126696853">
              <w:marLeft w:val="0"/>
              <w:marRight w:val="0"/>
              <w:marTop w:val="0"/>
              <w:marBottom w:val="0"/>
              <w:divBdr>
                <w:top w:val="none" w:sz="0" w:space="0" w:color="auto"/>
                <w:left w:val="none" w:sz="0" w:space="0" w:color="auto"/>
                <w:bottom w:val="none" w:sz="0" w:space="0" w:color="auto"/>
                <w:right w:val="none" w:sz="0" w:space="0" w:color="auto"/>
              </w:divBdr>
              <w:divsChild>
                <w:div w:id="1635329936">
                  <w:marLeft w:val="0"/>
                  <w:marRight w:val="0"/>
                  <w:marTop w:val="0"/>
                  <w:marBottom w:val="0"/>
                  <w:divBdr>
                    <w:top w:val="none" w:sz="0" w:space="0" w:color="auto"/>
                    <w:left w:val="none" w:sz="0" w:space="0" w:color="auto"/>
                    <w:bottom w:val="none" w:sz="0" w:space="0" w:color="auto"/>
                    <w:right w:val="none" w:sz="0" w:space="0" w:color="auto"/>
                  </w:divBdr>
                  <w:divsChild>
                    <w:div w:id="179158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857912">
      <w:bodyDiv w:val="1"/>
      <w:marLeft w:val="0"/>
      <w:marRight w:val="0"/>
      <w:marTop w:val="0"/>
      <w:marBottom w:val="0"/>
      <w:divBdr>
        <w:top w:val="none" w:sz="0" w:space="0" w:color="auto"/>
        <w:left w:val="none" w:sz="0" w:space="0" w:color="auto"/>
        <w:bottom w:val="none" w:sz="0" w:space="0" w:color="auto"/>
        <w:right w:val="none" w:sz="0" w:space="0" w:color="auto"/>
      </w:divBdr>
      <w:divsChild>
        <w:div w:id="1456748819">
          <w:marLeft w:val="0"/>
          <w:marRight w:val="0"/>
          <w:marTop w:val="0"/>
          <w:marBottom w:val="0"/>
          <w:divBdr>
            <w:top w:val="none" w:sz="0" w:space="0" w:color="auto"/>
            <w:left w:val="none" w:sz="0" w:space="0" w:color="auto"/>
            <w:bottom w:val="none" w:sz="0" w:space="0" w:color="auto"/>
            <w:right w:val="none" w:sz="0" w:space="0" w:color="auto"/>
          </w:divBdr>
          <w:divsChild>
            <w:div w:id="1107890993">
              <w:marLeft w:val="0"/>
              <w:marRight w:val="0"/>
              <w:marTop w:val="0"/>
              <w:marBottom w:val="0"/>
              <w:divBdr>
                <w:top w:val="none" w:sz="0" w:space="0" w:color="auto"/>
                <w:left w:val="none" w:sz="0" w:space="0" w:color="auto"/>
                <w:bottom w:val="none" w:sz="0" w:space="0" w:color="auto"/>
                <w:right w:val="none" w:sz="0" w:space="0" w:color="auto"/>
              </w:divBdr>
              <w:divsChild>
                <w:div w:id="311369672">
                  <w:marLeft w:val="0"/>
                  <w:marRight w:val="0"/>
                  <w:marTop w:val="0"/>
                  <w:marBottom w:val="0"/>
                  <w:divBdr>
                    <w:top w:val="none" w:sz="0" w:space="0" w:color="auto"/>
                    <w:left w:val="none" w:sz="0" w:space="0" w:color="auto"/>
                    <w:bottom w:val="none" w:sz="0" w:space="0" w:color="auto"/>
                    <w:right w:val="none" w:sz="0" w:space="0" w:color="auto"/>
                  </w:divBdr>
                  <w:divsChild>
                    <w:div w:id="171935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440231">
      <w:bodyDiv w:val="1"/>
      <w:marLeft w:val="0"/>
      <w:marRight w:val="0"/>
      <w:marTop w:val="0"/>
      <w:marBottom w:val="0"/>
      <w:divBdr>
        <w:top w:val="none" w:sz="0" w:space="0" w:color="auto"/>
        <w:left w:val="none" w:sz="0" w:space="0" w:color="auto"/>
        <w:bottom w:val="none" w:sz="0" w:space="0" w:color="auto"/>
        <w:right w:val="none" w:sz="0" w:space="0" w:color="auto"/>
      </w:divBdr>
      <w:divsChild>
        <w:div w:id="886143531">
          <w:marLeft w:val="0"/>
          <w:marRight w:val="0"/>
          <w:marTop w:val="0"/>
          <w:marBottom w:val="0"/>
          <w:divBdr>
            <w:top w:val="none" w:sz="0" w:space="0" w:color="auto"/>
            <w:left w:val="none" w:sz="0" w:space="0" w:color="auto"/>
            <w:bottom w:val="none" w:sz="0" w:space="0" w:color="auto"/>
            <w:right w:val="none" w:sz="0" w:space="0" w:color="auto"/>
          </w:divBdr>
          <w:divsChild>
            <w:div w:id="406390128">
              <w:marLeft w:val="0"/>
              <w:marRight w:val="0"/>
              <w:marTop w:val="0"/>
              <w:marBottom w:val="0"/>
              <w:divBdr>
                <w:top w:val="none" w:sz="0" w:space="0" w:color="auto"/>
                <w:left w:val="none" w:sz="0" w:space="0" w:color="auto"/>
                <w:bottom w:val="none" w:sz="0" w:space="0" w:color="auto"/>
                <w:right w:val="none" w:sz="0" w:space="0" w:color="auto"/>
              </w:divBdr>
              <w:divsChild>
                <w:div w:id="186732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532527">
      <w:bodyDiv w:val="1"/>
      <w:marLeft w:val="0"/>
      <w:marRight w:val="0"/>
      <w:marTop w:val="0"/>
      <w:marBottom w:val="0"/>
      <w:divBdr>
        <w:top w:val="none" w:sz="0" w:space="0" w:color="auto"/>
        <w:left w:val="none" w:sz="0" w:space="0" w:color="auto"/>
        <w:bottom w:val="none" w:sz="0" w:space="0" w:color="auto"/>
        <w:right w:val="none" w:sz="0" w:space="0" w:color="auto"/>
      </w:divBdr>
      <w:divsChild>
        <w:div w:id="1253465394">
          <w:marLeft w:val="0"/>
          <w:marRight w:val="0"/>
          <w:marTop w:val="0"/>
          <w:marBottom w:val="0"/>
          <w:divBdr>
            <w:top w:val="none" w:sz="0" w:space="0" w:color="auto"/>
            <w:left w:val="none" w:sz="0" w:space="0" w:color="auto"/>
            <w:bottom w:val="none" w:sz="0" w:space="0" w:color="auto"/>
            <w:right w:val="none" w:sz="0" w:space="0" w:color="auto"/>
          </w:divBdr>
          <w:divsChild>
            <w:div w:id="1491483694">
              <w:marLeft w:val="0"/>
              <w:marRight w:val="0"/>
              <w:marTop w:val="0"/>
              <w:marBottom w:val="0"/>
              <w:divBdr>
                <w:top w:val="none" w:sz="0" w:space="0" w:color="auto"/>
                <w:left w:val="none" w:sz="0" w:space="0" w:color="auto"/>
                <w:bottom w:val="none" w:sz="0" w:space="0" w:color="auto"/>
                <w:right w:val="none" w:sz="0" w:space="0" w:color="auto"/>
              </w:divBdr>
              <w:divsChild>
                <w:div w:id="1990790090">
                  <w:marLeft w:val="0"/>
                  <w:marRight w:val="0"/>
                  <w:marTop w:val="0"/>
                  <w:marBottom w:val="0"/>
                  <w:divBdr>
                    <w:top w:val="none" w:sz="0" w:space="0" w:color="auto"/>
                    <w:left w:val="none" w:sz="0" w:space="0" w:color="auto"/>
                    <w:bottom w:val="none" w:sz="0" w:space="0" w:color="auto"/>
                    <w:right w:val="none" w:sz="0" w:space="0" w:color="auto"/>
                  </w:divBdr>
                  <w:divsChild>
                    <w:div w:id="184905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arrettsworkshop.com"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garrettsworkshop.com/files/GWRAM/GWRAM.po"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github.com/garrettsworkshop"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A3427-1F59-BD4B-B937-07F7F82C1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1100</Words>
  <Characters>6274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Zane Kaminski</dc:creator>
  <cp:keywords/>
  <dc:description/>
  <cp:lastModifiedBy>Zane Kaminski</cp:lastModifiedBy>
  <cp:revision>3</cp:revision>
  <cp:lastPrinted>2021-08-06T02:24:00Z</cp:lastPrinted>
  <dcterms:created xsi:type="dcterms:W3CDTF">2021-08-06T06:37:00Z</dcterms:created>
  <dcterms:modified xsi:type="dcterms:W3CDTF">2021-08-06T06:37:00Z</dcterms:modified>
</cp:coreProperties>
</file>