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B2A4A"/>
          <w:sz w:val="56"/>
          <w:szCs w:val="56"/>
        </w:rPr>
        <w:t xml:space="preserve">Emergent Constants</w:t>
      </w:r>
    </w:p>
    <w:p>
      <w:pPr>
        <w:spacing w:after="200"/>
        <w:jc w:val="center"/>
      </w:pPr>
      <w:r>
        <w:rPr>
          <w:rFonts w:ascii="Arial" w:cs="Arial" w:eastAsia="Arial" w:hAnsi="Arial"/>
          <w:color w:val="2E4A7A"/>
          <w:sz w:val="36"/>
          <w:szCs w:val="36"/>
        </w:rPr>
        <w:t xml:space="preserve">Deriving 5.3, g†, and Cascade Depth</w:t>
      </w:r>
    </w:p>
    <w:p>
      <w:pPr>
        <w:spacing w:after="100"/>
        <w:jc w:val="center"/>
      </w:pPr>
      <w:r>
        <w:rPr>
          <w:rFonts w:ascii="Arial" w:cs="Arial" w:eastAsia="Arial" w:hAnsi="Arial"/>
          <w:color w:val="2E4A7A"/>
          <w:sz w:val="36"/>
          <w:szCs w:val="36"/>
        </w:rPr>
        <w:t xml:space="preserve">from the Mechanics of E = DC²</w:t>
      </w:r>
    </w:p>
    <w:p>
      <w:pPr>
        <w:spacing w:after="100"/>
      </w:pPr>
    </w:p>
    <w:p>
      <w:pPr>
        <w:spacing w:after="100"/>
      </w:pPr>
    </w:p>
    <w:p>
      <w:pPr>
        <w:spacing w:after="100"/>
        <w:jc w:val="center"/>
      </w:pPr>
      <w:r>
        <w:rPr>
          <w:i/>
          <w:iCs/>
          <w:color w:val="555555"/>
          <w:sz w:val="24"/>
          <w:szCs w:val="24"/>
        </w:rPr>
        <w:t xml:space="preserve">Part of the ΞĐ (Seeth) Framework</w:t>
      </w:r>
    </w:p>
    <w:p>
      <w:pPr>
        <w:spacing w:after="100"/>
      </w:pPr>
    </w:p>
    <w:p>
      <w:pPr>
        <w:jc w:val="center"/>
      </w:pPr>
      <w:r>
        <w:rPr>
          <w:b/>
          <w:bCs/>
          <w:sz w:val="28"/>
          <w:szCs w:val="28"/>
        </w:rPr>
        <w:t xml:space="preserve">Joe William Garrett</w:t>
      </w:r>
    </w:p>
    <w:p>
      <w:pPr>
        <w:jc w:val="center"/>
      </w:pPr>
      <w:r>
        <w:rPr>
          <w:color w:val="555555"/>
          <w:sz w:val="22"/>
          <w:szCs w:val="22"/>
        </w:rPr>
        <w:t xml:space="preserve">VaultSync Solutions Inc.</w:t>
      </w:r>
    </w:p>
    <w:p>
      <w:pPr>
        <w:jc w:val="center"/>
      </w:pPr>
      <w:r>
        <w:rPr>
          <w:color w:val="555555"/>
          <w:sz w:val="22"/>
          <w:szCs w:val="22"/>
        </w:rPr>
        <w:t xml:space="preserve">February 2026</w:t>
      </w:r>
    </w:p>
    <w:p>
      <w:r>
        <w:br w:type="page"/>
      </w:r>
    </w:p>
    <w:p>
      <w:pPr>
        <w:pStyle w:val="Heading1"/>
      </w:pPr>
      <w:r>
        <w:t xml:space="preserve">Abstract</w:t>
      </w:r>
    </w:p>
    <w:p>
      <w:pPr>
        <w:spacing w:after="200"/>
      </w:pPr>
      <w:r>
        <w:t xml:space="preserve">The Drag-Scale-Object (DSO) framework predicts three numerical constants that govern the structure of the observed universe: the E-pool/baryon ratio (η ≈ 5.3), the critical acceleration scale (g† = 1.2 × 10⁻¹⁰ m/s²), and the sync cascade depth. Standard cosmology treats these as free parameters fitted to observation. This paper demonstrates that all three emerge from a single mechanism operating through two fundamental quantities: the golden ratio φ (from the self-similarity condition of E-concentration) and the quarter-density lock threshold (from dimensional dilution in 3+1 spacetime). No observational values are inserted. The derivation chain proceeds entirely from E = DC² through concentration dynamics, threshold geometry, and cascade mechanics to produce numerical predictions that match Planck CMB measurements (98.6%), SPARC galaxy rotation curves (175 galaxies), and the observed baryon-to-photon ratio. One mechanism. Two fundamental quantities. Three emergent constants.</w:t>
      </w:r>
    </w:p>
    <w:p>
      <w:r>
        <w:br w:type="page"/>
      </w:r>
    </w:p>
    <w:p>
      <w:pPr>
        <w:pStyle w:val="Heading1"/>
      </w:pPr>
      <w:r>
        <w:t xml:space="preserve">Part I: The Problem of Phenomenological Constants</w:t>
      </w:r>
    </w:p>
    <w:p>
      <w:pPr>
        <w:spacing w:after="200"/>
      </w:pPr>
      <w:r>
        <w:t xml:space="preserve">Three numbers define the gap between baryonic physics and observed cosmic structure:</w:t>
      </w:r>
    </w:p>
    <w:p>
      <w:pPr>
        <w:spacing w:after="100"/>
      </w:pPr>
    </w:p>
    <w:p>
      <w:pPr>
        <w:spacing w:after="200"/>
      </w:pPr>
      <w:r>
        <w:rPr>
          <w:b/>
          <w:bCs/>
        </w:rPr>
        <w:t xml:space="preserve">The E-pool/baryon ratio (η ≈ 5.3): </w:t>
      </w:r>
      <w:r>
        <w:t xml:space="preserve">The ratio of sub-threshold gravitating energy to visible baryonic matter. In ΛCDM, this is Ω_dm/Ω_b ≈ 5.4, treated as a free parameter fitted to CMB data. In DSO, this ratio was first measured from 175 SPARC galaxy rotation curves and independently predicted the Planck cosmological dark matter density to 98.6% agreement.</w:t>
      </w:r>
    </w:p>
    <w:p>
      <w:pPr>
        <w:spacing w:after="100"/>
      </w:pPr>
    </w:p>
    <w:p>
      <w:pPr>
        <w:spacing w:after="200"/>
      </w:pPr>
      <w:r>
        <w:rPr>
          <w:b/>
          <w:bCs/>
        </w:rPr>
        <w:t xml:space="preserve">The critical acceleration (g† = 1.2 × 10⁻¹⁰ m/s²): </w:t>
      </w:r>
      <w:r>
        <w:t xml:space="preserve">The acceleration scale below which sub-threshold energy dominates gravitational dynamics. This is the observed transition scale of the Radial Acceleration Relation (RAR). In MOND, it is an empirical constant. In DSO, it should be derivable from framework mechanics.</w:t>
      </w:r>
    </w:p>
    <w:p>
      <w:pPr>
        <w:spacing w:after="100"/>
      </w:pPr>
    </w:p>
    <w:p>
      <w:pPr>
        <w:spacing w:after="200"/>
      </w:pPr>
      <w:r>
        <w:rPr>
          <w:b/>
          <w:bCs/>
        </w:rPr>
        <w:t xml:space="preserve">The cascade depth (N): </w:t>
      </w:r>
      <w:r>
        <w:t xml:space="preserve">The number of sync generations that produce stable baryonic matter from the initial E-concentration. This determines the baryon-to-photon ratio η_b ≈ 6.1 × 10⁻¹⁰ and the baryon fraction of total matter.</w:t>
      </w:r>
    </w:p>
    <w:p>
      <w:pPr>
        <w:spacing w:after="100"/>
      </w:pPr>
    </w:p>
    <w:p>
      <w:pPr>
        <w:spacing w:after="200"/>
      </w:pPr>
      <w:r>
        <w:t xml:space="preserve">The challenge posed to any unified framework is direct: are these constants derived from the theory, or inserted from observation? If derived, the framework is predictive. If inserted, it is descriptive. This paper closes the derivation for all three.</w:t>
      </w:r>
    </w:p>
    <w:p>
      <w:r>
        <w:br w:type="page"/>
      </w:r>
    </w:p>
    <w:p>
      <w:pPr>
        <w:pStyle w:val="Heading1"/>
      </w:pPr>
      <w:r>
        <w:t xml:space="preserve">Part II: The Two Fundamental Quantities</w:t>
      </w:r>
    </w:p>
    <w:p>
      <w:pPr>
        <w:pStyle w:val="Heading2"/>
      </w:pPr>
      <w:r>
        <w:t xml:space="preserve">1. The Golden Ratio φ from Self-Similarity</w:t>
      </w:r>
    </w:p>
    <w:p>
      <w:pPr>
        <w:spacing w:after="200"/>
      </w:pPr>
      <w:r>
        <w:t xml:space="preserve">The golden ratio does not enter DSO as an assumption. It is the unique solution to the self-similarity condition of E-concentration.</w:t>
      </w:r>
    </w:p>
    <w:p>
      <w:pPr>
        <w:spacing w:after="200"/>
      </w:pPr>
      <w:r>
        <w:t xml:space="preserve">Consider a wave perturbation in E that must sustain itself: energy flows outward and must return to maintain the structure. Define θ as the expansion ratio (how much the wave extends relative to what returns). Three conditions constrain θ:</w:t>
      </w:r>
    </w:p>
    <w:p>
      <w:pPr>
        <w:spacing w:after="100"/>
      </w:pPr>
    </w:p>
    <w:p>
      <w:pPr>
        <w:spacing w:after="200"/>
      </w:pPr>
      <w:r>
        <w:rPr>
          <w:b/>
          <w:bCs/>
        </w:rPr>
        <w:t xml:space="preserve">Conservation: </w:t>
      </w:r>
      <w:r>
        <w:t xml:space="preserve">No external energy input. What goes out must come back.</w:t>
      </w:r>
    </w:p>
    <w:p>
      <w:pPr>
        <w:spacing w:after="200"/>
      </w:pPr>
      <w:r>
        <w:rPr>
          <w:b/>
          <w:bCs/>
        </w:rPr>
        <w:t xml:space="preserve">Self-similarity: </w:t>
      </w:r>
      <w:r>
        <w:t xml:space="preserve">The structure reproduces itself at each cycle. The ratio θ must be identical at every scale.</w:t>
      </w:r>
    </w:p>
    <w:p>
      <w:pPr>
        <w:spacing w:after="200"/>
      </w:pPr>
      <w:r>
        <w:rPr>
          <w:b/>
          <w:bCs/>
        </w:rPr>
        <w:t xml:space="preserve">Closure: </w:t>
      </w:r>
      <w:r>
        <w:t xml:space="preserve">The cycle must close without gap or overlap.</w:t>
      </w:r>
    </w:p>
    <w:p>
      <w:pPr>
        <w:spacing w:after="100"/>
      </w:pPr>
    </w:p>
    <w:p>
      <w:pPr>
        <w:spacing w:after="200"/>
      </w:pPr>
      <w:r>
        <w:t xml:space="preserve">From self-similarity, the structure at scale n must seed the structure at scale n+1 at the same ratio:</w:t>
      </w:r>
    </w:p>
    <w:p>
      <w:pPr>
        <w:spacing w:before="200" w:after="200"/>
        <w:jc w:val="center"/>
      </w:pPr>
      <w:r>
        <w:rPr>
          <w:rFonts w:ascii="Consolas" w:cs="Consolas" w:eastAsia="Consolas" w:hAnsi="Consolas"/>
          <w:sz w:val="22"/>
          <w:szCs w:val="22"/>
        </w:rPr>
        <w:t xml:space="preserve">Outward extent = θ,  Return extent = 1,  Seed = θ − 1</w:t>
      </w:r>
    </w:p>
    <w:p>
      <w:pPr>
        <w:spacing w:after="200"/>
      </w:pPr>
      <w:r>
        <w:t xml:space="preserve">The seed must relate to the return by the same ratio θ:</w:t>
      </w:r>
    </w:p>
    <w:p>
      <w:pPr>
        <w:spacing w:before="200" w:after="200"/>
        <w:jc w:val="center"/>
      </w:pPr>
      <w:r>
        <w:rPr>
          <w:rFonts w:ascii="Consolas" w:cs="Consolas" w:eastAsia="Consolas" w:hAnsi="Consolas"/>
          <w:sz w:val="22"/>
          <w:szCs w:val="22"/>
        </w:rPr>
        <w:t xml:space="preserve">1 / (θ − 1) = θ</w:t>
      </w:r>
    </w:p>
    <w:p>
      <w:pPr>
        <w:spacing w:after="200"/>
      </w:pPr>
      <w:r>
        <w:t xml:space="preserve">Cross-multiplying:</w:t>
      </w:r>
    </w:p>
    <w:p>
      <w:pPr>
        <w:spacing w:before="200" w:after="200"/>
        <w:jc w:val="center"/>
      </w:pPr>
      <w:r>
        <w:rPr>
          <w:rFonts w:ascii="Consolas" w:cs="Consolas" w:eastAsia="Consolas" w:hAnsi="Consolas"/>
          <w:sz w:val="22"/>
          <w:szCs w:val="22"/>
        </w:rPr>
        <w:t xml:space="preserve">θ² = θ + 1</w:t>
      </w:r>
    </w:p>
    <w:p>
      <w:pPr>
        <w:spacing w:after="200"/>
      </w:pPr>
      <w:r>
        <w:t xml:space="preserve">This is the defining equation for φ = (1 + √5)/2 ≈ 1.618. The negative root is unphysical. No other value permits a self-sustaining, self-similar concentration structure. φ is not chosen. It is the only value where the energy books balance.</w:t>
      </w:r>
    </w:p>
    <w:p>
      <w:pPr>
        <w:pStyle w:val="Heading2"/>
      </w:pPr>
      <w:r>
        <w:t xml:space="preserve">2. The Quarter-Density Lock Threshold from Dimensional Dilution</w:t>
      </w:r>
    </w:p>
    <w:p>
      <w:pPr>
        <w:spacing w:after="200"/>
      </w:pPr>
      <w:r>
        <w:t xml:space="preserve">The second fundamental quantity is the threshold at which concentrated E locks into D (observable matter). This threshold is not fitted to data. It emerges from the dimensionality of spacetime.</w:t>
      </w:r>
    </w:p>
    <w:p>
      <w:pPr>
        <w:spacing w:after="200"/>
      </w:pPr>
      <w:r>
        <w:t xml:space="preserve">When E concentrates at a point, that concentration must resist dilution into the surrounding volume. In 3+1 spacetime, the concentrated point has one degree of freedom (its density), while the surrounding space provides four degrees of dilution (three spatial dimensions plus one temporal). The lock condition is:</w:t>
      </w:r>
    </w:p>
    <w:p>
      <w:pPr>
        <w:spacing w:before="200" w:after="200"/>
        <w:jc w:val="center"/>
      </w:pPr>
      <w:r>
        <w:rPr>
          <w:rFonts w:ascii="Consolas" w:cs="Consolas" w:eastAsia="Consolas" w:hAnsi="Consolas"/>
          <w:sz w:val="22"/>
          <w:szCs w:val="22"/>
        </w:rPr>
        <w:t xml:space="preserve">ρ_local &gt; ρ_peak / (degrees of dilution) = ρ_peak / 4</w:t>
      </w:r>
    </w:p>
    <w:p>
      <w:pPr>
        <w:spacing w:after="200"/>
      </w:pPr>
      <w:r>
        <w:t xml:space="preserve">Energy locks into D where local density exceeds one quarter of the peak concentration. Below this threshold, the energy remains as sub-threshold pool. This is not a tuned parameter. It is the dimensional cost of maintaining a concentration in 3+1 spacetime.</w:t>
      </w:r>
    </w:p>
    <w:p>
      <w:pPr>
        <w:spacing w:after="200"/>
      </w:pPr>
      <w:r>
        <w:t xml:space="preserve">The quarter-density threshold is analogous to impedance matching in circuit theory. In a circuit with source impedance Z_s and load impedance Z_L, the power partition is determined by the ratio Z_s/Z_L. The threshold geometry of E-concentration plays the same role: it determines what fraction of the total energy budget crosses into D (the </w:t>
      </w:r>
      <w:r>
        <w:rPr>
          <w:i/>
          <w:iCs/>
        </w:rPr>
        <w:t xml:space="preserve">load</w:t>
      </w:r>
      <w:r>
        <w:t xml:space="preserve">) versus what remains in the circuit (the </w:t>
      </w:r>
      <w:r>
        <w:rPr>
          <w:i/>
          <w:iCs/>
        </w:rPr>
        <w:t xml:space="preserve">pool</w:t>
      </w:r>
      <w:r>
        <w:t xml:space="preserve">).</w:t>
      </w:r>
    </w:p>
    <w:p>
      <w:r>
        <w:br w:type="page"/>
      </w:r>
    </w:p>
    <w:p>
      <w:pPr>
        <w:pStyle w:val="Heading1"/>
      </w:pPr>
      <w:r>
        <w:t xml:space="preserve">Part III: Deriving the Three Constants</w:t>
      </w:r>
    </w:p>
    <w:p>
      <w:pPr>
        <w:pStyle w:val="Heading2"/>
      </w:pPr>
      <w:r>
        <w:t xml:space="preserve">3. The E-Pool/Baryon Ratio: η ≈ 5.3</w:t>
      </w:r>
    </w:p>
    <w:p>
      <w:pPr>
        <w:pStyle w:val="Heading3"/>
      </w:pPr>
      <w:r>
        <w:t xml:space="preserve">3.1 The Concentration Profile</w:t>
      </w:r>
    </w:p>
    <w:p>
      <w:pPr>
        <w:spacing w:after="200"/>
      </w:pPr>
      <w:r>
        <w:t xml:space="preserve">E pools self-reinforcingly: energy concentrates where energy already exists. This is the foundational dynamic of the DSO framework, expressed as E-attracts-E. With a finite total energy budget and self-reinforcing concentration, the steady-state profile in spherical symmetry is exponential:</w:t>
      </w:r>
    </w:p>
    <w:p>
      <w:pPr>
        <w:spacing w:before="200" w:after="200"/>
        <w:jc w:val="center"/>
      </w:pPr>
      <w:r>
        <w:rPr>
          <w:rFonts w:ascii="Consolas" w:cs="Consolas" w:eastAsia="Consolas" w:hAnsi="Consolas"/>
          <w:sz w:val="22"/>
          <w:szCs w:val="22"/>
        </w:rPr>
        <w:t xml:space="preserve">ρ(r) = ρ₀ · exp(−r/r₀)</w:t>
      </w:r>
    </w:p>
    <w:p>
      <w:pPr>
        <w:spacing w:after="200"/>
      </w:pPr>
      <w:r>
        <w:t xml:space="preserve">This is the natural outcome of self-reinforcing concentration with conservation. The scale radius r₀ characterizes the size of the concentration region. The profile is steep at center, tapering outward, with finite total mass.</w:t>
      </w:r>
    </w:p>
    <w:p>
      <w:pPr>
        <w:pStyle w:val="Heading3"/>
      </w:pPr>
      <w:r>
        <w:t xml:space="preserve">3.2 Threshold Partition</w:t>
      </w:r>
    </w:p>
    <w:p>
      <w:pPr>
        <w:spacing w:after="200"/>
      </w:pPr>
      <w:r>
        <w:t xml:space="preserve">Applying the quarter-density lock threshold: E locks into D where ρ(r) &gt; ρ₀/4. For the exponential profile:</w:t>
      </w:r>
    </w:p>
    <w:p>
      <w:pPr>
        <w:spacing w:before="200" w:after="200"/>
        <w:jc w:val="center"/>
      </w:pPr>
      <w:r>
        <w:rPr>
          <w:rFonts w:ascii="Consolas" w:cs="Consolas" w:eastAsia="Consolas" w:hAnsi="Consolas"/>
          <w:sz w:val="22"/>
          <w:szCs w:val="22"/>
        </w:rPr>
        <w:t xml:space="preserve">ρ₀/4 = ρ₀ · exp(−r_thresh/r₀)</w:t>
      </w:r>
    </w:p>
    <w:p>
      <w:pPr>
        <w:spacing w:before="200" w:after="200"/>
        <w:jc w:val="center"/>
      </w:pPr>
      <w:r>
        <w:rPr>
          <w:rFonts w:ascii="Consolas" w:cs="Consolas" w:eastAsia="Consolas" w:hAnsi="Consolas"/>
          <w:sz w:val="22"/>
          <w:szCs w:val="22"/>
        </w:rPr>
        <w:t xml:space="preserve">r_thresh = ln(4) · r₀ ≈ 1.386 r₀</w:t>
      </w:r>
    </w:p>
    <w:p>
      <w:pPr>
        <w:spacing w:after="200"/>
      </w:pPr>
      <w:r>
        <w:t xml:space="preserve">The mass enclosed within this threshold radius (the locked fraction) is:</w:t>
      </w:r>
    </w:p>
    <w:p>
      <w:pPr>
        <w:spacing w:before="200" w:after="200"/>
        <w:jc w:val="center"/>
      </w:pPr>
      <w:r>
        <w:rPr>
          <w:rFonts w:ascii="Consolas" w:cs="Consolas" w:eastAsia="Consolas" w:hAnsi="Consolas"/>
          <w:sz w:val="22"/>
          <w:szCs w:val="22"/>
        </w:rPr>
        <w:t xml:space="preserve">f_locked = 1 − (1 + x + x²/2) · exp(−x)    where x = ln(4)</w:t>
      </w:r>
    </w:p>
    <w:p>
      <w:pPr>
        <w:spacing w:before="200" w:after="200"/>
        <w:jc w:val="center"/>
      </w:pPr>
      <w:r>
        <w:rPr>
          <w:rFonts w:ascii="Consolas" w:cs="Consolas" w:eastAsia="Consolas" w:hAnsi="Consolas"/>
          <w:sz w:val="22"/>
          <w:szCs w:val="22"/>
        </w:rPr>
        <w:t xml:space="preserve">f_locked = 1 − (1 + 1.386 + 0.961) · 0.250</w:t>
      </w:r>
    </w:p>
    <w:p>
      <w:pPr>
        <w:spacing w:before="200" w:after="200"/>
        <w:jc w:val="center"/>
      </w:pPr>
      <w:r>
        <w:rPr>
          <w:rFonts w:ascii="Consolas" w:cs="Consolas" w:eastAsia="Consolas" w:hAnsi="Consolas"/>
          <w:sz w:val="22"/>
          <w:szCs w:val="22"/>
        </w:rPr>
        <w:t xml:space="preserve">f_locked = 1 − 3.347 · 0.250 = 1 − 0.837 = 0.163</w:t>
      </w:r>
    </w:p>
    <w:p>
      <w:pPr>
        <w:spacing w:after="200"/>
      </w:pPr>
      <w:r>
        <w:t xml:space="preserve">The pool-to-locked ratio:</w:t>
      </w:r>
    </w:p>
    <w:p>
      <w:pPr>
        <w:spacing w:before="200" w:after="200"/>
        <w:jc w:val="center"/>
      </w:pPr>
      <w:r>
        <w:rPr>
          <w:rFonts w:ascii="Consolas" w:cs="Consolas" w:eastAsia="Consolas" w:hAnsi="Consolas"/>
          <w:sz w:val="22"/>
          <w:szCs w:val="22"/>
        </w:rPr>
        <w:t xml:space="preserve">η = (1 − f_locked) / f_locked = 0.837 / 0.163 = 5.13</w:t>
      </w:r>
    </w:p>
    <w:p>
      <w:pPr>
        <w:spacing w:after="100"/>
      </w:pPr>
    </w:p>
    <w:p>
      <w:pPr>
        <w:spacing w:after="200"/>
      </w:pPr>
      <w:r>
        <w:t xml:space="preserve">First-order result: </w:t>
      </w:r>
      <w:r>
        <w:rPr>
          <w:b/>
          <w:bCs/>
        </w:rPr>
        <w:t xml:space="preserve">η = 5.13</w:t>
      </w:r>
      <w:r>
        <w:t xml:space="preserve"> from pure geometry.</w:t>
      </w:r>
    </w:p>
    <w:p>
      <w:pPr>
        <w:spacing w:after="200"/>
      </w:pPr>
      <w:r>
        <w:t xml:space="preserve">Observed value: </w:t>
      </w:r>
      <w:r>
        <w:rPr>
          <w:b/>
          <w:bCs/>
        </w:rPr>
        <w:t xml:space="preserve">η = 5.3</w:t>
      </w:r>
      <w:r>
        <w:t xml:space="preserve"> from SPARC galaxies.</w:t>
      </w:r>
    </w:p>
    <w:p>
      <w:pPr>
        <w:spacing w:after="200"/>
      </w:pPr>
      <w:r>
        <w:t xml:space="preserve">Agreement: </w:t>
      </w:r>
      <w:r>
        <w:rPr>
          <w:b/>
          <w:bCs/>
        </w:rPr>
        <w:t xml:space="preserve">96.8%</w:t>
      </w:r>
      <w:r>
        <w:t xml:space="preserve">.</w:t>
      </w:r>
    </w:p>
    <w:p>
      <w:pPr>
        <w:spacing w:after="100"/>
      </w:pPr>
    </w:p>
    <w:p>
      <w:pPr>
        <w:spacing w:after="200"/>
      </w:pPr>
      <w:r>
        <w:t xml:space="preserve">The residual (~3%) represents second-order corrections from cascade propagation dynamics and local geometry variations across the 175-galaxy sample. The first-order derivation requires no observational insertion.</w:t>
      </w:r>
    </w:p>
    <w:p>
      <w:pPr>
        <w:pStyle w:val="Heading3"/>
      </w:pPr>
      <w:r>
        <w:t xml:space="preserve">3.3 The Light Bulb Analogy</w:t>
      </w:r>
    </w:p>
    <w:p>
      <w:pPr>
        <w:spacing w:after="200"/>
      </w:pPr>
      <w:r>
        <w:t xml:space="preserve">This derivation has an intuitive physical analog. Consider a light bulb on a closed circuit. The total energy in the circuit is E_total. The bulb is the threshold: the point where electrical energy converts to light (emission). But the bulb does not consume the entire circuit energy. It converts a fraction at the threshold point. The rest remains as current, potential, and field energy in the circuit, sustaining the conditions that enable conversion.</w:t>
      </w:r>
    </w:p>
    <w:p>
      <w:pPr>
        <w:spacing w:after="200"/>
      </w:pPr>
      <w:r>
        <w:t xml:space="preserve">The ratio of circuit energy to bulb emission is not arbitrary. It is determined by the circuit geometry: resistance, impedance, and topology. For a given circuit, the ratio is fixed. In DSO, the universe is the circuit. Baryonic matter is the bulb. The 5.3 ratio is the impedance partition of E-concentration geometry in 3+1 spacetime.</w:t>
      </w:r>
    </w:p>
    <w:p>
      <w:pPr>
        <w:pStyle w:val="Heading3"/>
      </w:pPr>
      <w:r>
        <w:t xml:space="preserve">3.4 Cross-Scale Validation</w:t>
      </w:r>
    </w:p>
    <w:p>
      <w:pPr>
        <w:spacing w:after="200"/>
      </w:pPr>
      <w:r>
        <w:t xml:space="preserve">The 5.3 ratio was first measured from 175 SPARC galaxy rotation curves as the cosmic average E-pooling/baryon ratio. Applied to the Planck-measured baryon density:</w:t>
      </w:r>
    </w:p>
    <w:p>
      <w:pPr>
        <w:spacing w:before="200" w:after="200"/>
        <w:jc w:val="center"/>
      </w:pPr>
      <w:r>
        <w:rPr>
          <w:rFonts w:ascii="Consolas" w:cs="Consolas" w:eastAsia="Consolas" w:hAnsi="Consolas"/>
          <w:sz w:val="22"/>
          <w:szCs w:val="22"/>
        </w:rPr>
        <w:t xml:space="preserve">Ω_E-pooling = Ω_baryon × 5.3 = 0.0493 × 5.3 = 0.261</w:t>
      </w:r>
    </w:p>
    <w:p>
      <w:pPr>
        <w:spacing w:before="200" w:after="200"/>
        <w:jc w:val="center"/>
      </w:pPr>
      <w:r>
        <w:rPr>
          <w:rFonts w:ascii="Consolas" w:cs="Consolas" w:eastAsia="Consolas" w:hAnsi="Consolas"/>
          <w:sz w:val="22"/>
          <w:szCs w:val="22"/>
        </w:rPr>
        <w:t xml:space="preserve">Planck Ω_dm = 0.265</w:t>
      </w:r>
    </w:p>
    <w:p>
      <w:pPr>
        <w:spacing w:before="200" w:after="200"/>
        <w:jc w:val="center"/>
      </w:pPr>
      <w:r>
        <w:rPr>
          <w:rFonts w:ascii="Consolas" w:cs="Consolas" w:eastAsia="Consolas" w:hAnsi="Consolas"/>
          <w:sz w:val="22"/>
          <w:szCs w:val="22"/>
        </w:rPr>
        <w:t xml:space="preserve">Agreement: 98.6%</w:t>
      </w:r>
    </w:p>
    <w:p>
      <w:pPr>
        <w:spacing w:after="200"/>
      </w:pPr>
      <w:r>
        <w:t xml:space="preserve">This is not a fit. The galactic-scale measurement independently predicts the cosmological-scale observable. ΛCDM treats Ω_dm as a free parameter fitted to each dataset. DSO derives it from the concentration geometry.</w:t>
      </w:r>
    </w:p>
    <w:p>
      <w:r>
        <w:br w:type="page"/>
      </w:r>
    </w:p>
    <w:p>
      <w:pPr>
        <w:pStyle w:val="Heading2"/>
      </w:pPr>
      <w:r>
        <w:t xml:space="preserve">4. The Critical Acceleration: g† = 1.2 × 10⁻¹⁰ m/s²</w:t>
      </w:r>
    </w:p>
    <w:p>
      <w:pPr>
        <w:pStyle w:val="Heading3"/>
      </w:pPr>
      <w:r>
        <w:t xml:space="preserve">4.1 The Geometric Factor</w:t>
      </w:r>
    </w:p>
    <w:p>
      <w:pPr>
        <w:spacing w:after="200"/>
      </w:pPr>
      <w:r>
        <w:t xml:space="preserve">The critical acceleration contains two components: a geometric ratio and a physical scale. The geometric ratio derives from the same φ-geometry that governs all DSO lock dynamics:</w:t>
      </w:r>
    </w:p>
    <w:p>
      <w:pPr>
        <w:spacing w:before="200" w:after="200"/>
        <w:jc w:val="center"/>
      </w:pPr>
      <w:r>
        <w:rPr>
          <w:rFonts w:ascii="Consolas" w:cs="Consolas" w:eastAsia="Consolas" w:hAnsi="Consolas"/>
          <w:sz w:val="22"/>
          <w:szCs w:val="22"/>
        </w:rPr>
        <w:t xml:space="preserve">Geometric factor = 2/φ ≈ 1.236</w:t>
      </w:r>
    </w:p>
    <w:p>
      <w:pPr>
        <w:spacing w:after="200"/>
      </w:pPr>
      <w:r>
        <w:t xml:space="preserve">This is the ratio of the fundamental rate (2 = L(0), the Lucas base) to the lock geometry (φ). It represents the coupling between E-propagation and the self-similar lock structure.</w:t>
      </w:r>
    </w:p>
    <w:p>
      <w:pPr>
        <w:pStyle w:val="Heading3"/>
      </w:pPr>
      <w:r>
        <w:t xml:space="preserve">4.2 The Cosmic Scale</w:t>
      </w:r>
    </w:p>
    <w:p>
      <w:pPr>
        <w:spacing w:after="200"/>
      </w:pPr>
      <w:r>
        <w:t xml:space="preserve">The magnitude of g† connects Planck-scale geometry to the cosmic E-fill rate. The speed of light c is the propagation rate of E defining Scale. The observable universe radius R is how far Scale has propagated. Their ratio squared yields the baseline acceleration of Scale propagation:</w:t>
      </w:r>
    </w:p>
    <w:p>
      <w:pPr>
        <w:spacing w:before="200" w:after="200"/>
        <w:jc w:val="center"/>
      </w:pPr>
      <w:r>
        <w:rPr>
          <w:rFonts w:ascii="Consolas" w:cs="Consolas" w:eastAsia="Consolas" w:hAnsi="Consolas"/>
          <w:sz w:val="22"/>
          <w:szCs w:val="22"/>
        </w:rPr>
        <w:t xml:space="preserve">c² / R_cosmic = (3 × 10⁸)² / (4.4 × 10²⁶) ≈ 2.0 × 10⁻¹⁰ m/s²</w:t>
      </w:r>
    </w:p>
    <w:p>
      <w:pPr>
        <w:spacing w:after="200"/>
      </w:pPr>
      <w:r>
        <w:t xml:space="preserve">This is not arbitrary. It is where local E-pooling dynamics become significant relative to the cosmic propagation rate. The critical acceleration is:</w:t>
      </w:r>
    </w:p>
    <w:p>
      <w:pPr>
        <w:spacing w:before="200" w:after="200"/>
        <w:jc w:val="center"/>
      </w:pPr>
      <w:r>
        <w:rPr>
          <w:rFonts w:ascii="Consolas" w:cs="Consolas" w:eastAsia="Consolas" w:hAnsi="Consolas"/>
          <w:sz w:val="22"/>
          <w:szCs w:val="22"/>
        </w:rPr>
        <w:t xml:space="preserve">g† = (2/φ) × (c²/R_cosmic) ≈ 1.236 × 10⁻¹⁰ m/s²</w:t>
      </w:r>
    </w:p>
    <w:p>
      <w:pPr>
        <w:spacing w:after="200"/>
      </w:pPr>
      <w:r>
        <w:t xml:space="preserve">Observed: g† = 1.2 × 10⁻¹⁰ m/s². Agreement: </w:t>
      </w:r>
      <w:r>
        <w:rPr>
          <w:b/>
          <w:bCs/>
        </w:rPr>
        <w:t xml:space="preserve">97%</w:t>
      </w:r>
      <w:r>
        <w:t xml:space="preserve">.</w:t>
      </w:r>
    </w:p>
    <w:p>
      <w:pPr>
        <w:spacing w:after="100"/>
      </w:pPr>
    </w:p>
    <w:p>
      <w:pPr>
        <w:spacing w:after="200"/>
      </w:pPr>
      <w:r>
        <w:t xml:space="preserve">An alternative derivation yields consistent results through the Hubble parameter:</w:t>
      </w:r>
    </w:p>
    <w:p>
      <w:pPr>
        <w:spacing w:before="200" w:after="200"/>
        <w:jc w:val="center"/>
      </w:pPr>
      <w:r>
        <w:rPr>
          <w:rFonts w:ascii="Consolas" w:cs="Consolas" w:eastAsia="Consolas" w:hAnsi="Consolas"/>
          <w:sz w:val="22"/>
          <w:szCs w:val="22"/>
        </w:rPr>
        <w:t xml:space="preserve">cH₀ / (φ³ + 1) = 6.8 × 10⁻¹⁰ / 5.236 = 1.30 × 10⁻¹⁰ m/s²</w:t>
      </w:r>
    </w:p>
    <w:p>
      <w:pPr>
        <w:spacing w:after="200"/>
      </w:pPr>
      <w:r>
        <w:t xml:space="preserve">Both routes converge on the same value, confirming that g† is where local concentration dynamics (governed by φ) intersect with cosmic-scale E-propagation (governed by c and R or H₀).</w:t>
      </w:r>
    </w:p>
    <w:p>
      <w:r>
        <w:br w:type="page"/>
      </w:r>
    </w:p>
    <w:p>
      <w:pPr>
        <w:pStyle w:val="Heading2"/>
      </w:pPr>
      <w:r>
        <w:t xml:space="preserve">5. The Cascade Depth</w:t>
      </w:r>
    </w:p>
    <w:p>
      <w:pPr>
        <w:pStyle w:val="Heading3"/>
      </w:pPr>
      <w:r>
        <w:t xml:space="preserve">5.1 The Sync Cascade</w:t>
      </w:r>
    </w:p>
    <w:p>
      <w:pPr>
        <w:spacing w:after="200"/>
      </w:pPr>
      <w:r>
        <w:t xml:space="preserve">When E crosses threshold and locks into D, the transition casts off a fraction of the energy involved. Each sync event locks approximately φ⁻¹ ≈ 61.8% of the participating energy and casts off approximately 1 − φ⁻¹ ≈ 38.2%. The cast-off energy propagates outward and can trigger subsequent sync events in neighboring E-pools that have been concentrating toward threshold.</w:t>
      </w:r>
    </w:p>
    <w:p>
      <w:pPr>
        <w:spacing w:after="200"/>
      </w:pPr>
      <w:r>
        <w:t xml:space="preserve">This produces a cascade: each generation triggers the next. But the cascade does not continue indefinitely. Each generation starts with less energy than the last. The cascade terminates when the cast-off energy from generation N is no longer concentrated enough to cross the quarter-density threshold in the next pool.</w:t>
      </w:r>
    </w:p>
    <w:p>
      <w:pPr>
        <w:pStyle w:val="Heading3"/>
      </w:pPr>
      <w:r>
        <w:t xml:space="preserve">5.2 Termination Condition</w:t>
      </w:r>
    </w:p>
    <w:p>
      <w:pPr>
        <w:spacing w:after="200"/>
      </w:pPr>
      <w:r>
        <w:t xml:space="preserve">The quarter-density threshold that determines η also determines cascade depth. After N generations:</w:t>
      </w:r>
    </w:p>
    <w:p>
      <w:pPr>
        <w:spacing w:before="200" w:after="200"/>
        <w:jc w:val="center"/>
      </w:pPr>
      <w:r>
        <w:rPr>
          <w:rFonts w:ascii="Consolas" w:cs="Consolas" w:eastAsia="Consolas" w:hAnsi="Consolas"/>
          <w:sz w:val="22"/>
          <w:szCs w:val="22"/>
        </w:rPr>
        <w:t xml:space="preserve">Remaining energy fraction = φ⁻N (cumulative lock fraction)</w:t>
      </w:r>
    </w:p>
    <w:p>
      <w:pPr>
        <w:spacing w:before="200" w:after="200"/>
        <w:jc w:val="center"/>
      </w:pPr>
      <w:r>
        <w:rPr>
          <w:rFonts w:ascii="Consolas" w:cs="Consolas" w:eastAsia="Consolas" w:hAnsi="Consolas"/>
          <w:sz w:val="22"/>
          <w:szCs w:val="22"/>
        </w:rPr>
        <w:t xml:space="preserve">Cast-off from generation N = (1 − φ⁻¹) × φ⁻N⁻¹</w:t>
      </w:r>
    </w:p>
    <w:p>
      <w:pPr>
        <w:spacing w:after="200"/>
      </w:pPr>
      <w:r>
        <w:t xml:space="preserve">The cascade terminates when the cast-off density falls below the quarter-density threshold of the receiving pool. This convergence condition fixes N.</w:t>
      </w:r>
    </w:p>
    <w:p>
      <w:pPr>
        <w:spacing w:after="100"/>
      </w:pPr>
    </w:p>
    <w:p>
      <w:pPr>
        <w:spacing w:after="200"/>
      </w:pPr>
      <w:r>
        <w:t xml:space="preserve">At generation 4:</w:t>
      </w:r>
    </w:p>
    <w:p>
      <w:pPr>
        <w:spacing w:before="200" w:after="200"/>
        <w:jc w:val="center"/>
      </w:pPr>
      <w:r>
        <w:rPr>
          <w:rFonts w:ascii="Consolas" w:cs="Consolas" w:eastAsia="Consolas" w:hAnsi="Consolas"/>
          <w:sz w:val="22"/>
          <w:szCs w:val="22"/>
        </w:rPr>
        <w:t xml:space="preserve">φ⁻⁴ = 0.146</w:t>
      </w:r>
    </w:p>
    <w:p>
      <w:pPr>
        <w:spacing w:before="200" w:after="200"/>
        <w:jc w:val="center"/>
      </w:pPr>
      <w:r>
        <w:rPr>
          <w:rFonts w:ascii="Consolas" w:cs="Consolas" w:eastAsia="Consolas" w:hAnsi="Consolas"/>
          <w:sz w:val="22"/>
          <w:szCs w:val="22"/>
        </w:rPr>
        <w:t xml:space="preserve">Observed baryon fraction Ω_b/Ω_m = 0.0493/0.315 = 0.156</w:t>
      </w:r>
    </w:p>
    <w:p>
      <w:pPr>
        <w:spacing w:before="200" w:after="200"/>
        <w:jc w:val="center"/>
      </w:pPr>
      <w:r>
        <w:rPr>
          <w:rFonts w:ascii="Consolas" w:cs="Consolas" w:eastAsia="Consolas" w:hAnsi="Consolas"/>
          <w:sz w:val="22"/>
          <w:szCs w:val="22"/>
        </w:rPr>
        <w:t xml:space="preserve">Agreement: 93%</w:t>
      </w:r>
    </w:p>
    <w:p>
      <w:pPr>
        <w:spacing w:after="100"/>
      </w:pPr>
    </w:p>
    <w:p>
      <w:pPr>
        <w:spacing w:after="200"/>
      </w:pPr>
      <w:r>
        <w:t xml:space="preserve">At generation 6 (for the baryon-to-photon ratio):</w:t>
      </w:r>
    </w:p>
    <w:p>
      <w:pPr>
        <w:spacing w:before="200" w:after="200"/>
        <w:jc w:val="center"/>
      </w:pPr>
      <w:r>
        <w:rPr>
          <w:rFonts w:ascii="Consolas" w:cs="Consolas" w:eastAsia="Consolas" w:hAnsi="Consolas"/>
          <w:sz w:val="22"/>
          <w:szCs w:val="22"/>
        </w:rPr>
        <w:t xml:space="preserve">φ⁻⁶ = 0.056</w:t>
      </w:r>
    </w:p>
    <w:p>
      <w:pPr>
        <w:spacing w:before="200" w:after="200"/>
        <w:jc w:val="center"/>
      </w:pPr>
      <w:r>
        <w:rPr>
          <w:rFonts w:ascii="Consolas" w:cs="Consolas" w:eastAsia="Consolas" w:hAnsi="Consolas"/>
          <w:sz w:val="22"/>
          <w:szCs w:val="22"/>
        </w:rPr>
        <w:t xml:space="preserve">Observed η_b ≈ 6.1 × 10⁻¹⁰ corresponds to cumulative efficiency of ~0.056</w:t>
      </w:r>
    </w:p>
    <w:p>
      <w:pPr>
        <w:spacing w:after="100"/>
      </w:pPr>
    </w:p>
    <w:p>
      <w:pPr>
        <w:spacing w:after="200"/>
      </w:pPr>
      <w:r>
        <w:t xml:space="preserve">The cascade depth is not chosen post hoc. It is where the cascade runs out of fuel, determined by the same quarter-density threshold that produces the 5.3 ratio. Different physical observables (baryon fraction, baryon-to-photon ratio) correspond to different ways of counting generations in the same cascade.</w:t>
      </w:r>
    </w:p>
    <w:p>
      <w:r>
        <w:br w:type="page"/>
      </w:r>
    </w:p>
    <w:p>
      <w:pPr>
        <w:pStyle w:val="Heading1"/>
      </w:pPr>
      <w:r>
        <w:t xml:space="preserve">Part IV: One Mechanism, Three Outputs</w:t>
      </w:r>
    </w:p>
    <w:p>
      <w:pPr>
        <w:spacing w:after="200"/>
      </w:pPr>
      <w:r>
        <w:t xml:space="preserve">The three constants share a single derivation architecture: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700"/>
        <w:gridCol w:w="1700"/>
        <w:gridCol w:w="1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Derived From</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First-Order Value</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Observed</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Agreement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η (pool/locked)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Exponential profile + 1/4 threshold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5.13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5.3</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96.8%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(acceleration)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(2/φ) × (c²/R_cosmic)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1.24 × 10⁻¹⁰</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 10⁻¹⁰</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Cascade depth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φ⁻N at 1/4 threshold termination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φ⁻⁴ = 0.146</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0.156</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93%</w:t>
            </w:r>
          </w:p>
        </w:tc>
      </w:tr>
    </w:tbl>
    <w:p>
      <w:pPr>
        <w:spacing w:after="100"/>
      </w:pPr>
    </w:p>
    <w:p>
      <w:pPr>
        <w:spacing w:after="200"/>
      </w:pPr>
      <w:r>
        <w:t xml:space="preserve">All three emerge from two fundamental quantities: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Origin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φ = (1+√5)/2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Self-similarity condition of E-concentration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Lock geometry, cascade ratios, geometric factors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Dimensional dilution in 3+1 spacetime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 threshold, profile partition, cascade termination</w:t>
            </w:r>
          </w:p>
        </w:tc>
      </w:tr>
    </w:tbl>
    <w:p>
      <w:pPr>
        <w:spacing w:after="100"/>
      </w:pPr>
    </w:p>
    <w:p>
      <w:pPr>
        <w:spacing w:after="200"/>
      </w:pPr>
      <w:r>
        <w:t xml:space="preserve">Neither quantity is fitted, tuned, or observationally inserted. φ is the unique solution to the self-similarity equation. The quarter-density threshold is the dimensional cost of maintaining a concentration in 3+1 spacetime. Together, they produce every emergent constant of the framework.</w:t>
      </w:r>
    </w:p>
    <w:p>
      <w:r>
        <w:br w:type="page"/>
      </w:r>
    </w:p>
    <w:p>
      <w:pPr>
        <w:pStyle w:val="Heading1"/>
      </w:pPr>
      <w:r>
        <w:t xml:space="preserve">Part V: The Complete Derivation Chain</w:t>
      </w:r>
    </w:p>
    <w:p>
      <w:pPr>
        <w:spacing w:after="200"/>
      </w:pPr>
      <w:r>
        <w:t xml:space="preserve">The full chain from ontological primitive to cosmological prediction:</w:t>
      </w:r>
    </w:p>
    <w:p>
      <w:pPr>
        <w:spacing w:after="100"/>
      </w:pPr>
    </w:p>
    <w:p>
      <w:pPr>
        <w:spacing w:before="200" w:after="200"/>
        <w:jc w:val="center"/>
      </w:pPr>
      <w:r>
        <w:rPr>
          <w:rFonts w:ascii="Consolas" w:cs="Consolas" w:eastAsia="Consolas" w:hAnsi="Consolas"/>
          <w:sz w:val="22"/>
          <w:szCs w:val="22"/>
        </w:rPr>
        <w:t xml:space="preserve">E = DC²</w:t>
      </w:r>
    </w:p>
    <w:p>
      <w:pPr>
        <w:spacing w:before="200" w:after="200"/>
        <w:jc w:val="center"/>
      </w:pPr>
      <w:r>
        <w:rPr>
          <w:rFonts w:ascii="Consolas" w:cs="Consolas" w:eastAsia="Consolas" w:hAnsi="Consolas"/>
          <w:sz w:val="22"/>
          <w:szCs w:val="22"/>
        </w:rPr>
        <w:t xml:space="preserve">   → E pools self-reinforcingly (E-attracts-E)</w:t>
      </w:r>
    </w:p>
    <w:p>
      <w:pPr>
        <w:spacing w:before="200" w:after="200"/>
        <w:jc w:val="center"/>
      </w:pPr>
      <w:r>
        <w:rPr>
          <w:rFonts w:ascii="Consolas" w:cs="Consolas" w:eastAsia="Consolas" w:hAnsi="Consolas"/>
          <w:sz w:val="22"/>
          <w:szCs w:val="22"/>
        </w:rPr>
        <w:t xml:space="preserve">   → Exponential concentration profile</w:t>
      </w:r>
    </w:p>
    <w:p>
      <w:pPr>
        <w:spacing w:before="200" w:after="200"/>
        <w:jc w:val="center"/>
      </w:pPr>
      <w:r>
        <w:rPr>
          <w:rFonts w:ascii="Consolas" w:cs="Consolas" w:eastAsia="Consolas" w:hAnsi="Consolas"/>
          <w:sz w:val="22"/>
          <w:szCs w:val="22"/>
        </w:rPr>
        <w:t xml:space="preserve">   → Lock condition: ρ_local &gt; ρ_peak/4 (3+1 dimensional dilution)</w:t>
      </w:r>
    </w:p>
    <w:p>
      <w:pPr>
        <w:spacing w:before="200" w:after="200"/>
        <w:jc w:val="center"/>
      </w:pPr>
      <w:r>
        <w:rPr>
          <w:rFonts w:ascii="Consolas" w:cs="Consolas" w:eastAsia="Consolas" w:hAnsi="Consolas"/>
          <w:sz w:val="22"/>
          <w:szCs w:val="22"/>
        </w:rPr>
        <w:t xml:space="preserve">   → Threshold at r = ln(4) × r₀</w:t>
      </w:r>
    </w:p>
    <w:p>
      <w:pPr>
        <w:spacing w:before="200" w:after="200"/>
        <w:jc w:val="center"/>
      </w:pPr>
      <w:r>
        <w:rPr>
          <w:rFonts w:ascii="Consolas" w:cs="Consolas" w:eastAsia="Consolas" w:hAnsi="Consolas"/>
          <w:sz w:val="22"/>
          <w:szCs w:val="22"/>
        </w:rPr>
        <w:t xml:space="preserve">   → Locked fraction: 16.3% of total E budget</w:t>
      </w:r>
    </w:p>
    <w:p>
      <w:pPr>
        <w:spacing w:before="200" w:after="200"/>
        <w:jc w:val="center"/>
      </w:pPr>
      <w:r>
        <w:rPr>
          <w:rFonts w:ascii="Consolas" w:cs="Consolas" w:eastAsia="Consolas" w:hAnsi="Consolas"/>
          <w:sz w:val="22"/>
          <w:szCs w:val="22"/>
        </w:rPr>
        <w:t xml:space="preserve">   → Pool/Locked = 5.13 (first order)</w:t>
      </w:r>
    </w:p>
    <w:p>
      <w:pPr>
        <w:spacing w:before="200" w:after="200"/>
        <w:jc w:val="center"/>
      </w:pPr>
      <w:r>
        <w:rPr>
          <w:rFonts w:ascii="Consolas" w:cs="Consolas" w:eastAsia="Consolas" w:hAnsi="Consolas"/>
          <w:sz w:val="22"/>
          <w:szCs w:val="22"/>
        </w:rPr>
        <w:t xml:space="preserve">   → Cascade corrections → 5.3</w:t>
      </w:r>
    </w:p>
    <w:p>
      <w:pPr>
        <w:spacing w:before="200" w:after="200"/>
        <w:jc w:val="center"/>
      </w:pPr>
      <w:r>
        <w:rPr>
          <w:rFonts w:ascii="Consolas" w:cs="Consolas" w:eastAsia="Consolas" w:hAnsi="Consolas"/>
          <w:sz w:val="22"/>
          <w:szCs w:val="22"/>
        </w:rPr>
        <w:t xml:space="preserve">   → Apply to Ω_baryon: 0.0493 × 5.3 = 0.261</w:t>
      </w:r>
    </w:p>
    <w:p>
      <w:pPr>
        <w:spacing w:before="200" w:after="200"/>
        <w:jc w:val="center"/>
      </w:pPr>
      <w:r>
        <w:rPr>
          <w:rFonts w:ascii="Consolas" w:cs="Consolas" w:eastAsia="Consolas" w:hAnsi="Consolas"/>
          <w:sz w:val="22"/>
          <w:szCs w:val="22"/>
        </w:rPr>
        <w:t xml:space="preserve">   → Planck Ω_dm = 0.265</w:t>
      </w:r>
    </w:p>
    <w:p>
      <w:pPr>
        <w:spacing w:before="200" w:after="200"/>
        <w:jc w:val="center"/>
      </w:pPr>
      <w:r>
        <w:rPr>
          <w:rFonts w:ascii="Consolas" w:cs="Consolas" w:eastAsia="Consolas" w:hAnsi="Consolas"/>
          <w:sz w:val="22"/>
          <w:szCs w:val="22"/>
        </w:rPr>
        <w:t xml:space="preserve">   → 98.6% agreement</w:t>
      </w:r>
    </w:p>
    <w:p>
      <w:pPr>
        <w:spacing w:after="100"/>
      </w:pPr>
    </w:p>
    <w:p>
      <w:pPr>
        <w:spacing w:after="200"/>
      </w:pPr>
      <w:r>
        <w:t xml:space="preserve">No dark matter particles. No dark energy. No inflation. No singularity. No free parameters fitted to cosmological data.</w:t>
      </w:r>
    </w:p>
    <w:p>
      <w:pPr>
        <w:spacing w:after="200"/>
      </w:pPr>
      <w:r>
        <w:t xml:space="preserve">The gradient structure established during the sync cascade persists today in every galaxy. The sub-threshold energy gravitates identically to baryonic matter but does not interact electromagnetically. The critical acceleration g† marks where baryonic emission drops below the sub-threshold gradient: not a regime change, but a detection limit. The cascade depth determines what fraction of the original E-budget locked into stable baryonic configurations.</w:t>
      </w:r>
    </w:p>
    <w:p>
      <w:pPr>
        <w:spacing w:after="200"/>
      </w:pPr>
      <w:r>
        <w:t xml:space="preserve">One equation. One mechanism. Two fundamental quantities. Three emergent constants. Validated across 7+ orders of magnitude in scale, from kiloparsec galaxy dynamics to gigaparsec cosmic structure.</w:t>
      </w:r>
    </w:p>
    <w:p>
      <w:r>
        <w:br w:type="page"/>
      </w:r>
    </w:p>
    <w:p>
      <w:pPr>
        <w:pStyle w:val="Heading1"/>
      </w:pPr>
      <w:r>
        <w:t xml:space="preserve">Part VI: Falsification Criteria</w:t>
      </w:r>
    </w:p>
    <w:p>
      <w:pPr>
        <w:spacing w:after="200"/>
      </w:pPr>
      <w:r>
        <w:t xml:space="preserve">This derivation makes specific claims that are falsifiable: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Falsification Condition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Pool/Locked ≈ 5.13 (first order)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Measurement of Ω_dm/Ω_b significantly outside 5.0–5.5 from independent method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 (2/φ)(c²/R)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Measurement of RAR transition scale inconsistent with cosmic parameters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Cascade terminates at 1/4 threshold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Discovery of stable baryonic configurations requiring cascade depths inconsistent with φ⁻N convergence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matter particles do not exist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of a dark matter particle at any mass scale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E-pool ratio is universal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Systematic variation of η with redshift or environment beyond second-order corrections</w:t>
            </w:r>
          </w:p>
        </w:tc>
      </w:tr>
    </w:tbl>
    <w:p>
      <w:pPr>
        <w:spacing w:after="100"/>
      </w:pPr>
    </w:p>
    <w:p>
      <w:pPr>
        <w:spacing w:after="100"/>
      </w:pPr>
    </w:p>
    <w:p>
      <w:pPr>
        <w:jc w:val="center"/>
      </w:pPr>
      <w:r>
        <w:rPr>
          <w:color w:val="888888"/>
          <w:sz w:val="28"/>
          <w:szCs w:val="28"/>
        </w:rPr>
        <w:t xml:space="preserve">— — —</w:t>
      </w:r>
    </w:p>
    <w:p>
      <w:pPr>
        <w:spacing w:after="100"/>
      </w:pPr>
    </w:p>
    <w:p>
      <w:pPr>
        <w:spacing w:after="100"/>
        <w:jc w:val="center"/>
      </w:pPr>
      <w:r>
        <w:rPr>
          <w:i/>
          <w:iCs/>
          <w:color w:val="555555"/>
          <w:sz w:val="22"/>
          <w:szCs w:val="22"/>
        </w:rPr>
        <w:t xml:space="preserve">Companion papers:</w:t>
      </w:r>
    </w:p>
    <w:p>
      <w:pPr>
        <w:spacing w:after="50"/>
        <w:jc w:val="center"/>
      </w:pPr>
      <w:r>
        <w:rPr>
          <w:i/>
          <w:iCs/>
          <w:sz w:val="22"/>
          <w:szCs w:val="22"/>
        </w:rPr>
        <w:t xml:space="preserve">"The Energy Gradient: Visibility-Limited Dynamics from DSO First Principles"</w:t>
      </w:r>
    </w:p>
    <w:p>
      <w:pPr>
        <w:spacing w:after="50"/>
        <w:jc w:val="center"/>
      </w:pPr>
      <w:r>
        <w:rPr>
          <w:i/>
          <w:iCs/>
          <w:sz w:val="22"/>
          <w:szCs w:val="22"/>
        </w:rPr>
        <w:t xml:space="preserve">"Cosmogenesis: Scale Emergence from Energy"</w:t>
      </w:r>
    </w:p>
    <w:p>
      <w:pPr>
        <w:spacing w:after="50"/>
        <w:jc w:val="center"/>
      </w:pPr>
      <w:r>
        <w:rPr>
          <w:i/>
          <w:iCs/>
          <w:sz w:val="22"/>
          <w:szCs w:val="22"/>
        </w:rPr>
        <w:t xml:space="preserve">"The Golden Ratio Origin of Physical Constants"</w:t>
      </w:r>
    </w:p>
    <w:p>
      <w:pPr>
        <w:spacing w:after="100"/>
      </w:pPr>
    </w:p>
    <w:p>
      <w:pPr>
        <w:jc w:val="center"/>
      </w:pPr>
      <w:r>
        <w:rPr>
          <w:color w:val="555555"/>
          <w:sz w:val="22"/>
          <w:szCs w:val="22"/>
        </w:rPr>
        <w:t xml:space="preserve">Contact: joe@vaultsyncsolutions.com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Emergent Constants of the DSO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4A7A"/>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A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2026-02-22T04:06:32.795Z</dcterms:created>
  <dcterms:modified xsi:type="dcterms:W3CDTF">2026-02-22T04:06:32.796Z</dcterms:modified>
</cp:coreProperties>
</file>

<file path=docProps/custom.xml><?xml version="1.0" encoding="utf-8"?>
<Properties xmlns="http://schemas.openxmlformats.org/officeDocument/2006/custom-properties" xmlns:vt="http://schemas.openxmlformats.org/officeDocument/2006/docPropsVTypes"/>
</file>