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Hi Guruprasad,</w:t>
      </w:r>
    </w:p>
    <w:p>
      <w:pPr>
        <w:spacing w:after="160"/>
      </w:pPr>
      <w:r>
        <w:t xml:space="preserve">This is the strongest of your submissions so far. You took the methodology feedback from the first round and applied it cleanly here, and the engineering discipline is exactly what this kind of substrate needs. Specifics I checked and confirmed:</w:t>
      </w:r>
    </w:p>
    <w:p>
      <w:pPr>
        <w:pStyle w:val="ListParagraph"/>
        <w:numPr>
          <w:ilvl w:val="0"/>
          <w:numId w:val="2"/>
        </w:numPr>
        <w:spacing w:after="80"/>
      </w:pPr>
      <w:r>
        <w:t xml:space="preserve">The train/val/test split is genuinely clean — zero leakage, no duplicate cases. I reproduced your 100% test result exactly.</w:t>
      </w:r>
    </w:p>
    <w:p>
      <w:pPr>
        <w:pStyle w:val="ListParagraph"/>
        <w:numPr>
          <w:ilvl w:val="0"/>
          <w:numId w:val="2"/>
        </w:numPr>
        <w:spacing w:after="80"/>
      </w:pPr>
      <w:r>
        <w:t xml:space="preserve">You excluded the borderline cases from the confusion metrics rather than counting them as wins. That’s the honest choice and you made it without being asked.</w:t>
      </w:r>
    </w:p>
    <w:p>
      <w:pPr>
        <w:pStyle w:val="ListParagraph"/>
        <w:numPr>
          <w:ilvl w:val="0"/>
          <w:numId w:val="2"/>
        </w:numPr>
        <w:spacing w:after="80"/>
      </w:pPr>
      <w:r>
        <w:t xml:space="preserve">The aggregator docstring reasons through mean / min / max / median / trimmed-mean and justifies the choice, including the n=11 outlier-influence math. That’s the level of reasoning I was hoping to see.</w:t>
      </w:r>
    </w:p>
    <w:p>
      <w:pPr>
        <w:pStyle w:val="ListParagraph"/>
        <w:numPr>
          <w:ilvl w:val="0"/>
          <w:numId w:val="2"/>
        </w:numPr>
        <w:spacing w:after="80"/>
      </w:pPr>
      <w:r>
        <w:t xml:space="preserve">The test suite covers the right things: seed independence, seed-collision-fails-closed, coverage-below-floor-fails-closed, the closed-enum invariant, an AST guard against bare threshold literals in the gate, and a no-bypass probe.</w:t>
      </w:r>
    </w:p>
    <w:p>
      <w:pPr>
        <w:pStyle w:val="ListParagraph"/>
        <w:numPr>
          <w:ilvl w:val="0"/>
          <w:numId w:val="2"/>
        </w:numPr>
        <w:spacing w:after="80"/>
      </w:pPr>
      <w:r>
        <w:t xml:space="preserve">It runs fully offline with no model dependency. Reproducing your numbers took zero setup, which matters more than it sounds.</w:t>
      </w:r>
    </w:p>
    <w:p>
      <w:pPr>
        <w:spacing w:after="160"/>
      </w:pPr>
      <w:r>
        <w:t xml:space="preserve">Now the substantive issue, because it’s the important one and it’s worth sitting with.</w:t>
      </w:r>
    </w:p>
    <w:p>
      <w:pPr>
        <w:pStyle w:val="Heading1"/>
      </w:pPr>
      <w:r>
        <w:t xml:space="preserve">The gate scores keyword presence, not claim quality</w:t>
      </w:r>
    </w:p>
    <w:p>
      <w:pPr>
        <w:spacing w:after="160"/>
      </w:pPr>
      <w:r>
        <w:t xml:space="preserve">The 100% test accuracy is real, but it is measuring something narrower than it looks. Because you authored both the challengers and the test corpus, the challenger keyword lists and the corpus vocabulary are matched to each other by construction. In your corpus, “peer-reviewed” appears in 27 of 27 PASS cases and 1 FAIL; “anecdotal” and “no irb” each appear in 14 FAIL cases and 0 PASS. So a scorer that simply keys on those substrings will separate your corpus perfectly — without doing any actual evidence assessment.</w:t>
      </w:r>
    </w:p>
    <w:p>
      <w:pPr>
        <w:spacing w:after="160"/>
      </w:pPr>
      <w:r>
        <w:t xml:space="preserve">To test this, I wrote a small held-out set: genuinely weak claims phrased so they avoid your trigger words, and genuinely strong claims phrased plainly. The gate scored 3 of 10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400"/>
        <w:gridCol w:w="4960"/>
      </w:tblGrid>
      <w:tr>
        <w:tc>
          <w:tcPr>
            <w:tcW w:type="dxa" w:w="15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18"/>
                <w:szCs w:val="18"/>
              </w:rPr>
              <w:t xml:space="preserve">Expected</w:t>
            </w:r>
          </w:p>
        </w:tc>
        <w:tc>
          <w:tcPr>
            <w:tcW w:type="dxa" w:w="15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18"/>
                <w:szCs w:val="18"/>
              </w:rPr>
              <w:t xml:space="preserve">Gate verdict</w:t>
            </w:r>
          </w:p>
        </w:tc>
        <w:tc>
          <w:tcPr>
            <w:tcW w:type="dxa" w:w="140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18"/>
                <w:szCs w:val="18"/>
              </w:rPr>
              <w:t xml:space="preserve">DAS</w:t>
            </w:r>
          </w:p>
        </w:tc>
        <w:tc>
          <w:tcPr>
            <w:tcW w:type="dxa" w:w="4960"/>
            <w:tcBorders>
              <w:top w:val="single" w:color="CCCCCC" w:sz="1"/>
              <w:left w:val="single" w:color="CCCCCC" w:sz="1"/>
              <w:bottom w:val="single" w:color="CCCCCC" w:sz="1"/>
              <w:right w:val="single" w:color="CCCCCC" w:sz="1"/>
            </w:tcBorders>
            <w:shd w:fill="2E5A88" w:val="clear"/>
            <w:tcMar>
              <w:top w:type="dxa" w:w="60"/>
              <w:left w:type="dxa" w:w="100"/>
              <w:bottom w:type="dxa" w:w="60"/>
              <w:right w:type="dxa" w:w="100"/>
            </w:tcMar>
          </w:tcPr>
          <w:p>
            <w:r>
              <w:rPr>
                <w:b/>
                <w:bCs/>
                <w:color w:val="FFFFFF"/>
                <w:sz w:val="18"/>
                <w:szCs w:val="18"/>
              </w:rPr>
              <w:t xml:space="preserve">Case</w:t>
            </w:r>
          </w:p>
        </w:tc>
      </w:tr>
      <w:tr>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FAIL</w:t>
            </w:r>
          </w:p>
        </w:tc>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PASS</w:t>
            </w:r>
          </w:p>
        </w:tc>
        <w:tc>
          <w:tcPr>
            <w:tcW w:type="dxa" w:w="14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0.770</w:t>
            </w:r>
          </w:p>
        </w:tc>
        <w:tc>
          <w:tcPr>
            <w:tcW w:type="dxa" w:w="496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n=1, single observation</w:t>
            </w:r>
          </w:p>
        </w:tc>
      </w:tr>
      <w:tr>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FAIL</w:t>
            </w:r>
          </w:p>
        </w:tc>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PASS</w:t>
            </w:r>
          </w:p>
        </w:tc>
        <w:tc>
          <w:tcPr>
            <w:tcW w:type="dxa" w:w="14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0.757</w:t>
            </w:r>
          </w:p>
        </w:tc>
        <w:tc>
          <w:tcPr>
            <w:tcW w:type="dxa" w:w="496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testimonial of one person</w:t>
            </w:r>
          </w:p>
        </w:tc>
      </w:tr>
      <w:tr>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FAIL</w:t>
            </w:r>
          </w:p>
        </w:tc>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PASS</w:t>
            </w:r>
          </w:p>
        </w:tc>
        <w:tc>
          <w:tcPr>
            <w:tcW w:type="dxa" w:w="14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0.757</w:t>
            </w:r>
          </w:p>
        </w:tc>
        <w:tc>
          <w:tcPr>
            <w:tcW w:type="dxa" w:w="496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single-run dish experiment</w:t>
            </w:r>
          </w:p>
        </w:tc>
      </w:tr>
      <w:tr>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FAIL</w:t>
            </w:r>
          </w:p>
        </w:tc>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PASS</w:t>
            </w:r>
          </w:p>
        </w:tc>
        <w:tc>
          <w:tcPr>
            <w:tcW w:type="dxa" w:w="14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0.757</w:t>
            </w:r>
          </w:p>
        </w:tc>
        <w:tc>
          <w:tcPr>
            <w:tcW w:type="dxa" w:w="496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zero statistics computed</w:t>
            </w:r>
          </w:p>
        </w:tc>
      </w:tr>
      <w:tr>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FAIL</w:t>
            </w:r>
          </w:p>
        </w:tc>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PASS</w:t>
            </w:r>
          </w:p>
        </w:tc>
        <w:tc>
          <w:tcPr>
            <w:tcW w:type="dxa" w:w="14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0.757</w:t>
            </w:r>
          </w:p>
        </w:tc>
        <w:tc>
          <w:tcPr>
            <w:tcW w:type="dxa" w:w="496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stopped early / optional stopping</w:t>
            </w:r>
          </w:p>
        </w:tc>
      </w:tr>
      <w:tr>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FAIL</w:t>
            </w:r>
          </w:p>
        </w:tc>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PASS</w:t>
            </w:r>
          </w:p>
        </w:tc>
        <w:tc>
          <w:tcPr>
            <w:tcW w:type="dxa" w:w="14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0.757</w:t>
            </w:r>
          </w:p>
        </w:tc>
        <w:tc>
          <w:tcPr>
            <w:tcW w:type="dxa" w:w="496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tiny self-selected sample, subjective outcome</w:t>
            </w:r>
          </w:p>
        </w:tc>
      </w:tr>
      <w:tr>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FAIL</w:t>
            </w:r>
          </w:p>
        </w:tc>
        <w:tc>
          <w:tcPr>
            <w:tcW w:type="dxa" w:w="15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PASS</w:t>
            </w:r>
          </w:p>
        </w:tc>
        <w:tc>
          <w:tcPr>
            <w:tcW w:type="dxa" w:w="140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0.757</w:t>
            </w:r>
          </w:p>
        </w:tc>
        <w:tc>
          <w:tcPr>
            <w:tcW w:type="dxa" w:w="4960"/>
            <w:tcBorders>
              <w:top w:val="single" w:color="CCCCCC" w:sz="1"/>
              <w:left w:val="single" w:color="CCCCCC" w:sz="1"/>
              <w:bottom w:val="single" w:color="CCCCCC" w:sz="1"/>
              <w:right w:val="single" w:color="CCCCCC" w:sz="1"/>
            </w:tcBorders>
            <w:shd w:fill="FBE4E4" w:val="clear"/>
            <w:tcMar>
              <w:top w:type="dxa" w:w="60"/>
              <w:left w:type="dxa" w:w="100"/>
              <w:bottom w:type="dxa" w:w="60"/>
              <w:right w:type="dxa" w:w="100"/>
            </w:tcMar>
          </w:tcPr>
          <w:p>
            <w:r>
              <w:rPr>
                <w:sz w:val="18"/>
                <w:szCs w:val="18"/>
              </w:rPr>
              <w:t xml:space="preserve">no comparison arm, justified away</w:t>
            </w:r>
          </w:p>
        </w:tc>
      </w:tr>
      <w:tr>
        <w:tc>
          <w:tcPr>
            <w:tcW w:type="dxa" w:w="1500"/>
            <w:tcBorders>
              <w:top w:val="single" w:color="CCCCCC" w:sz="1"/>
              <w:left w:val="single" w:color="CCCCCC" w:sz="1"/>
              <w:bottom w:val="single" w:color="CCCCCC" w:sz="1"/>
              <w:right w:val="single" w:color="CCCCCC" w:sz="1"/>
            </w:tcBorders>
            <w:shd w:fill="E7F1E7" w:val="clear"/>
            <w:tcMar>
              <w:top w:type="dxa" w:w="60"/>
              <w:left w:type="dxa" w:w="100"/>
              <w:bottom w:type="dxa" w:w="60"/>
              <w:right w:type="dxa" w:w="100"/>
            </w:tcMar>
          </w:tcPr>
          <w:p>
            <w:r>
              <w:rPr>
                <w:sz w:val="18"/>
                <w:szCs w:val="18"/>
              </w:rPr>
              <w:t xml:space="preserve">PASS</w:t>
            </w:r>
          </w:p>
        </w:tc>
        <w:tc>
          <w:tcPr>
            <w:tcW w:type="dxa" w:w="1500"/>
            <w:tcBorders>
              <w:top w:val="single" w:color="CCCCCC" w:sz="1"/>
              <w:left w:val="single" w:color="CCCCCC" w:sz="1"/>
              <w:bottom w:val="single" w:color="CCCCCC" w:sz="1"/>
              <w:right w:val="single" w:color="CCCCCC" w:sz="1"/>
            </w:tcBorders>
            <w:shd w:fill="E7F1E7" w:val="clear"/>
            <w:tcMar>
              <w:top w:type="dxa" w:w="60"/>
              <w:left w:type="dxa" w:w="100"/>
              <w:bottom w:type="dxa" w:w="60"/>
              <w:right w:type="dxa" w:w="100"/>
            </w:tcMar>
          </w:tcPr>
          <w:p>
            <w:r>
              <w:rPr>
                <w:sz w:val="18"/>
                <w:szCs w:val="18"/>
              </w:rPr>
              <w:t xml:space="preserve">PASS</w:t>
            </w:r>
          </w:p>
        </w:tc>
        <w:tc>
          <w:tcPr>
            <w:tcW w:type="dxa" w:w="1400"/>
            <w:tcBorders>
              <w:top w:val="single" w:color="CCCCCC" w:sz="1"/>
              <w:left w:val="single" w:color="CCCCCC" w:sz="1"/>
              <w:bottom w:val="single" w:color="CCCCCC" w:sz="1"/>
              <w:right w:val="single" w:color="CCCCCC" w:sz="1"/>
            </w:tcBorders>
            <w:shd w:fill="E7F1E7" w:val="clear"/>
            <w:tcMar>
              <w:top w:type="dxa" w:w="60"/>
              <w:left w:type="dxa" w:w="100"/>
              <w:bottom w:type="dxa" w:w="60"/>
              <w:right w:type="dxa" w:w="100"/>
            </w:tcMar>
          </w:tcPr>
          <w:p>
            <w:r>
              <w:rPr>
                <w:sz w:val="18"/>
                <w:szCs w:val="18"/>
              </w:rPr>
              <w:t xml:space="preserve">0.420</w:t>
            </w:r>
          </w:p>
        </w:tc>
        <w:tc>
          <w:tcPr>
            <w:tcW w:type="dxa" w:w="4960"/>
            <w:tcBorders>
              <w:top w:val="single" w:color="CCCCCC" w:sz="1"/>
              <w:left w:val="single" w:color="CCCCCC" w:sz="1"/>
              <w:bottom w:val="single" w:color="CCCCCC" w:sz="1"/>
              <w:right w:val="single" w:color="CCCCCC" w:sz="1"/>
            </w:tcBorders>
            <w:shd w:fill="E7F1E7" w:val="clear"/>
            <w:tcMar>
              <w:top w:type="dxa" w:w="60"/>
              <w:left w:type="dxa" w:w="100"/>
              <w:bottom w:type="dxa" w:w="60"/>
              <w:right w:type="dxa" w:w="100"/>
            </w:tcMar>
          </w:tcPr>
          <w:p>
            <w:r>
              <w:rPr>
                <w:sz w:val="18"/>
                <w:szCs w:val="18"/>
              </w:rPr>
              <w:t xml:space="preserve">RCT, replicated, NEJM (correct)</w:t>
            </w:r>
          </w:p>
        </w:tc>
      </w:tr>
      <w:tr>
        <w:tc>
          <w:tcPr>
            <w:tcW w:type="dxa" w:w="1500"/>
            <w:tcBorders>
              <w:top w:val="single" w:color="CCCCCC" w:sz="1"/>
              <w:left w:val="single" w:color="CCCCCC" w:sz="1"/>
              <w:bottom w:val="single" w:color="CCCCCC" w:sz="1"/>
              <w:right w:val="single" w:color="CCCCCC" w:sz="1"/>
            </w:tcBorders>
            <w:shd w:fill="E7F1E7" w:val="clear"/>
            <w:tcMar>
              <w:top w:type="dxa" w:w="60"/>
              <w:left w:type="dxa" w:w="100"/>
              <w:bottom w:type="dxa" w:w="60"/>
              <w:right w:type="dxa" w:w="100"/>
            </w:tcMar>
          </w:tcPr>
          <w:p>
            <w:r>
              <w:rPr>
                <w:sz w:val="18"/>
                <w:szCs w:val="18"/>
              </w:rPr>
              <w:t xml:space="preserve">PASS</w:t>
            </w:r>
          </w:p>
        </w:tc>
        <w:tc>
          <w:tcPr>
            <w:tcW w:type="dxa" w:w="1500"/>
            <w:tcBorders>
              <w:top w:val="single" w:color="CCCCCC" w:sz="1"/>
              <w:left w:val="single" w:color="CCCCCC" w:sz="1"/>
              <w:bottom w:val="single" w:color="CCCCCC" w:sz="1"/>
              <w:right w:val="single" w:color="CCCCCC" w:sz="1"/>
            </w:tcBorders>
            <w:shd w:fill="E7F1E7" w:val="clear"/>
            <w:tcMar>
              <w:top w:type="dxa" w:w="60"/>
              <w:left w:type="dxa" w:w="100"/>
              <w:bottom w:type="dxa" w:w="60"/>
              <w:right w:type="dxa" w:w="100"/>
            </w:tcMar>
          </w:tcPr>
          <w:p>
            <w:r>
              <w:rPr>
                <w:sz w:val="18"/>
                <w:szCs w:val="18"/>
              </w:rPr>
              <w:t xml:space="preserve">PASS</w:t>
            </w:r>
          </w:p>
        </w:tc>
        <w:tc>
          <w:tcPr>
            <w:tcW w:type="dxa" w:w="1400"/>
            <w:tcBorders>
              <w:top w:val="single" w:color="CCCCCC" w:sz="1"/>
              <w:left w:val="single" w:color="CCCCCC" w:sz="1"/>
              <w:bottom w:val="single" w:color="CCCCCC" w:sz="1"/>
              <w:right w:val="single" w:color="CCCCCC" w:sz="1"/>
            </w:tcBorders>
            <w:shd w:fill="E7F1E7" w:val="clear"/>
            <w:tcMar>
              <w:top w:type="dxa" w:w="60"/>
              <w:left w:type="dxa" w:w="100"/>
              <w:bottom w:type="dxa" w:w="60"/>
              <w:right w:type="dxa" w:w="100"/>
            </w:tcMar>
          </w:tcPr>
          <w:p>
            <w:r>
              <w:rPr>
                <w:sz w:val="18"/>
                <w:szCs w:val="18"/>
              </w:rPr>
              <w:t xml:space="preserve">0.348</w:t>
            </w:r>
          </w:p>
        </w:tc>
        <w:tc>
          <w:tcPr>
            <w:tcW w:type="dxa" w:w="4960"/>
            <w:tcBorders>
              <w:top w:val="single" w:color="CCCCCC" w:sz="1"/>
              <w:left w:val="single" w:color="CCCCCC" w:sz="1"/>
              <w:bottom w:val="single" w:color="CCCCCC" w:sz="1"/>
              <w:right w:val="single" w:color="CCCCCC" w:sz="1"/>
            </w:tcBorders>
            <w:shd w:fill="E7F1E7" w:val="clear"/>
            <w:tcMar>
              <w:top w:type="dxa" w:w="60"/>
              <w:left w:type="dxa" w:w="100"/>
              <w:bottom w:type="dxa" w:w="60"/>
              <w:right w:type="dxa" w:w="100"/>
            </w:tcMar>
          </w:tcPr>
          <w:p>
            <w:r>
              <w:rPr>
                <w:sz w:val="18"/>
                <w:szCs w:val="18"/>
              </w:rPr>
              <w:t xml:space="preserve">meta-analysis, mechanism (correct)</w:t>
            </w:r>
          </w:p>
        </w:tc>
      </w:tr>
      <w:tr>
        <w:tc>
          <w:tcPr>
            <w:tcW w:type="dxa" w:w="1500"/>
            <w:tcBorders>
              <w:top w:val="single" w:color="CCCCCC" w:sz="1"/>
              <w:left w:val="single" w:color="CCCCCC" w:sz="1"/>
              <w:bottom w:val="single" w:color="CCCCCC" w:sz="1"/>
              <w:right w:val="single" w:color="CCCCCC" w:sz="1"/>
            </w:tcBorders>
            <w:shd w:fill="E7F1E7" w:val="clear"/>
            <w:tcMar>
              <w:top w:type="dxa" w:w="60"/>
              <w:left w:type="dxa" w:w="100"/>
              <w:bottom w:type="dxa" w:w="60"/>
              <w:right w:type="dxa" w:w="100"/>
            </w:tcMar>
          </w:tcPr>
          <w:p>
            <w:r>
              <w:rPr>
                <w:sz w:val="18"/>
                <w:szCs w:val="18"/>
              </w:rPr>
              <w:t xml:space="preserve">PASS</w:t>
            </w:r>
          </w:p>
        </w:tc>
        <w:tc>
          <w:tcPr>
            <w:tcW w:type="dxa" w:w="1500"/>
            <w:tcBorders>
              <w:top w:val="single" w:color="CCCCCC" w:sz="1"/>
              <w:left w:val="single" w:color="CCCCCC" w:sz="1"/>
              <w:bottom w:val="single" w:color="CCCCCC" w:sz="1"/>
              <w:right w:val="single" w:color="CCCCCC" w:sz="1"/>
            </w:tcBorders>
            <w:shd w:fill="E7F1E7" w:val="clear"/>
            <w:tcMar>
              <w:top w:type="dxa" w:w="60"/>
              <w:left w:type="dxa" w:w="100"/>
              <w:bottom w:type="dxa" w:w="60"/>
              <w:right w:type="dxa" w:w="100"/>
            </w:tcMar>
          </w:tcPr>
          <w:p>
            <w:r>
              <w:rPr>
                <w:sz w:val="18"/>
                <w:szCs w:val="18"/>
              </w:rPr>
              <w:t xml:space="preserve">PASS</w:t>
            </w:r>
          </w:p>
        </w:tc>
        <w:tc>
          <w:tcPr>
            <w:tcW w:type="dxa" w:w="1400"/>
            <w:tcBorders>
              <w:top w:val="single" w:color="CCCCCC" w:sz="1"/>
              <w:left w:val="single" w:color="CCCCCC" w:sz="1"/>
              <w:bottom w:val="single" w:color="CCCCCC" w:sz="1"/>
              <w:right w:val="single" w:color="CCCCCC" w:sz="1"/>
            </w:tcBorders>
            <w:shd w:fill="E7F1E7" w:val="clear"/>
            <w:tcMar>
              <w:top w:type="dxa" w:w="60"/>
              <w:left w:type="dxa" w:w="100"/>
              <w:bottom w:type="dxa" w:w="60"/>
              <w:right w:type="dxa" w:w="100"/>
            </w:tcMar>
          </w:tcPr>
          <w:p>
            <w:r>
              <w:rPr>
                <w:sz w:val="18"/>
                <w:szCs w:val="18"/>
              </w:rPr>
              <w:t xml:space="preserve">0.659</w:t>
            </w:r>
          </w:p>
        </w:tc>
        <w:tc>
          <w:tcPr>
            <w:tcW w:type="dxa" w:w="4960"/>
            <w:tcBorders>
              <w:top w:val="single" w:color="CCCCCC" w:sz="1"/>
              <w:left w:val="single" w:color="CCCCCC" w:sz="1"/>
              <w:bottom w:val="single" w:color="CCCCCC" w:sz="1"/>
              <w:right w:val="single" w:color="CCCCCC" w:sz="1"/>
            </w:tcBorders>
            <w:shd w:fill="E7F1E7" w:val="clear"/>
            <w:tcMar>
              <w:top w:type="dxa" w:w="60"/>
              <w:left w:type="dxa" w:w="100"/>
              <w:bottom w:type="dxa" w:w="60"/>
              <w:right w:type="dxa" w:w="100"/>
            </w:tcMar>
          </w:tcPr>
          <w:p>
            <w:r>
              <w:rPr>
                <w:sz w:val="18"/>
                <w:szCs w:val="18"/>
              </w:rPr>
              <w:t xml:space="preserve">three multi-center cohorts (correct)</w:t>
            </w:r>
          </w:p>
        </w:tc>
      </w:tr>
    </w:tbl>
    <w:p>
      <w:pPr>
        <w:spacing w:after="160" w:before="120"/>
      </w:pPr>
      <w:r>
        <w:rPr>
          <w:i w:val="false"/>
          <w:iCs w:val="false"/>
        </w:rPr>
        <w:t xml:space="preserve">All seven weak claims passed the gate. They all land at DAS ≈ 0.76 — just under your 0.80 threshold — because none of your trigger substrings fire, so the score never moves off the base prior. The clearest example: “A single mouse lived 40% longer after we gave it the compound once” (n=1, observed a single time) sails straight through.</w:t>
      </w:r>
    </w:p>
    <w:p>
      <w:pPr>
        <w:spacing w:after="160"/>
      </w:pPr>
      <w:r>
        <w:t xml:space="preserve">This is the same lesson as your first submission, one level up. There, a classifier looked excellent on self-authored data and then dropped on held-out vocabulary because it had learned register rather than intent. Here, the gate looks perfect on a self-authored corpus and then misses real weakness because it keys on vocabulary rather than the structure of the evidence. The fix isn’t more keywords — that’s a treadmill. It’s scoring the actual evidentiary shape: sample size, presence and type of a control, replication, whether the effect size is plausible given n, whether the conclusion follows from the design.</w:t>
      </w:r>
    </w:p>
    <w:p>
      <w:pPr>
        <w:pStyle w:val="Heading1"/>
      </w:pPr>
      <w:r>
        <w:t xml:space="preserve">Two smaller things</w:t>
      </w:r>
    </w:p>
    <w:p>
      <w:pPr>
        <w:pStyle w:val="ListParagraph"/>
        <w:numPr>
          <w:ilvl w:val="0"/>
          <w:numId w:val="3"/>
        </w:numPr>
        <w:spacing w:after="100"/>
      </w:pPr>
      <w:r>
        <w:t xml:space="preserve">The gate direction is inverted from the brief, and you didn’t flag it. The brief framed DAS as a score that clears a threshold to PASS (high = good, default 0.92). You implemented the opposite — high DAS = strong adversarial case = FAIL — which is a perfectly defensible reading, arguably the more natural one for a “devil’s-advocate score.” But you made the call silently. When you reinterpret a spec, say so and say why; a reviewer who expected the brief’s direction would otherwise read your gate as backwards.</w:t>
      </w:r>
    </w:p>
    <w:p>
      <w:pPr>
        <w:pStyle w:val="ListParagraph"/>
        <w:numPr>
          <w:ilvl w:val="0"/>
          <w:numId w:val="3"/>
        </w:numPr>
        <w:spacing w:after="100"/>
      </w:pPr>
      <w:r>
        <w:t xml:space="preserve">thresholds.py and config/defaults.yaml disagree. thresholds.py ships TAU_GATE_DAS = 0.80; defaults.yaml says tau_gate_das: 0.92, with a comment that the YAML mirrors the threshold module. The code reads from thresholds.py so behavior is fine, but you described the YAML as the audit-friendly source of truth, and an auditor reading it would get the wrong number. Pick one source of truth and make them agree.</w:t>
      </w:r>
    </w:p>
    <w:p>
      <w:pPr>
        <w:pStyle w:val="Heading1"/>
      </w:pPr>
      <w:r>
        <w:t xml:space="preserve">What I’d like next</w:t>
      </w:r>
    </w:p>
    <w:p>
      <w:pPr>
        <w:spacing w:after="160"/>
      </w:pPr>
      <w:r>
        <w:t xml:space="preserve">Two pieces, please — same independent, self-contained setup as before.</w:t>
      </w:r>
    </w:p>
    <w:p>
      <w:pPr>
        <w:pStyle w:val="ListParagraph"/>
        <w:numPr>
          <w:ilvl w:val="0"/>
          <w:numId w:val="3"/>
        </w:numPr>
        <w:spacing w:after="100"/>
      </w:pPr>
      <w:r>
        <w:t xml:space="preserve">Rebuild the evaluation corpus so it is NOT authored against your own challengers. The cleanest way: write the cases first, as an adversary would — weak claims that deliberately avoid obvious red-flag words, strong claims phrased plainly — and only then check how the gate does. The point is to break the vocabulary-matching loop. If that means the scorer needs to move beyond substring matching to do well, that’s the signal we’re looking for.</w:t>
      </w:r>
    </w:p>
    <w:p>
      <w:pPr>
        <w:pStyle w:val="ListParagraph"/>
        <w:numPr>
          <w:ilvl w:val="0"/>
          <w:numId w:val="3"/>
        </w:numPr>
        <w:spacing w:after="100"/>
      </w:pPr>
      <w:r>
        <w:t xml:space="preserve">Run the attached held-out probe file (heldout_datss_probes.py) and send back the table it prints. Then tell me how you’d change the challenger scoring so that the n=1 mouse and the stopped-early study fail the gate without you simply adding their specific phrases to a keyword list. I’m more interested in your approach to that than in a particular score.</w:t>
      </w:r>
    </w:p>
    <w:p>
      <w:pPr>
        <w:spacing w:after="160"/>
      </w:pPr>
      <w:r>
        <w:t xml:space="preserve">To run it: drop the file at the repo root next to the datss/ package and run python heldout_datss_probes.py. The file is below as well, in case the attachment doesn’t come through.</w:t>
      </w:r>
    </w:p>
    <w:p>
      <w:pPr>
        <w:pStyle w:val="Heading1"/>
      </w:pPr>
      <w:r>
        <w:t xml:space="preserve">Held-out probe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pPr>
            <w:r>
              <w:rPr>
                <w:rFonts w:ascii="Consolas" w:cs="Consolas" w:eastAsia="Consolas" w:hAnsi="Consolas"/>
                <w:sz w:val="17"/>
                <w:szCs w:val="17"/>
              </w:rPr>
              <w:t xml:space="preserve">from datss.models import ChallengeInput</w:t>
            </w:r>
          </w:p>
          <w:p>
            <w:pPr>
              <w:spacing w:after="0"/>
            </w:pPr>
            <w:r>
              <w:rPr>
                <w:rFonts w:ascii="Consolas" w:cs="Consolas" w:eastAsia="Consolas" w:hAnsi="Consolas"/>
                <w:sz w:val="17"/>
                <w:szCs w:val="17"/>
              </w:rPr>
              <w:t xml:space="preserve">from datss.gate import run_challenge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PROBES = [</w:t>
            </w:r>
          </w:p>
          <w:p>
            <w:pPr>
              <w:spacing w:after="0"/>
            </w:pPr>
            <w:r>
              <w:rPr>
                <w:rFonts w:ascii="Consolas" w:cs="Consolas" w:eastAsia="Consolas" w:hAnsi="Consolas"/>
                <w:sz w:val="17"/>
                <w:szCs w:val="17"/>
              </w:rPr>
              <w:t xml:space="preserve">    # Genuinely weak, phrased without trigger keywords (should FAIL):</w:t>
            </w:r>
          </w:p>
          <w:p>
            <w:pPr>
              <w:spacing w:after="0"/>
            </w:pPr>
            <w:r>
              <w:rPr>
                <w:rFonts w:ascii="Consolas" w:cs="Consolas" w:eastAsia="Consolas" w:hAnsi="Consolas"/>
                <w:sz w:val="17"/>
                <w:szCs w:val="17"/>
              </w:rPr>
              <w:t xml:space="preserve">    ("A single mouse lived 40% longer after we gave it the compound once.",</w:t>
            </w:r>
          </w:p>
          <w:p>
            <w:pPr>
              <w:spacing w:after="0"/>
            </w:pPr>
            <w:r>
              <w:rPr>
                <w:rFonts w:ascii="Consolas" w:cs="Consolas" w:eastAsia="Consolas" w:hAnsi="Consolas"/>
                <w:sz w:val="17"/>
                <w:szCs w:val="17"/>
              </w:rPr>
              <w:t xml:space="preserve">     {"n": 1, "design": "one animal, observed a single time", "source": "lab notebook"},</w:t>
            </w:r>
          </w:p>
          <w:p>
            <w:pPr>
              <w:spacing w:after="0"/>
            </w:pPr>
            <w:r>
              <w:rPr>
                <w:rFonts w:ascii="Consolas" w:cs="Consolas" w:eastAsia="Consolas" w:hAnsi="Consolas"/>
                <w:sz w:val="17"/>
                <w:szCs w:val="17"/>
              </w:rPr>
              <w:t xml:space="preserve">     "FAIL"),</w:t>
            </w:r>
          </w:p>
          <w:p>
            <w:pPr>
              <w:spacing w:after="0"/>
            </w:pPr>
            <w:r>
              <w:rPr>
                <w:rFonts w:ascii="Consolas" w:cs="Consolas" w:eastAsia="Consolas" w:hAnsi="Consolas"/>
                <w:sz w:val="17"/>
                <w:szCs w:val="17"/>
              </w:rPr>
              <w:t xml:space="preserve">    ("Our founder took the supplement and felt twenty years younger within a week.",</w:t>
            </w:r>
          </w:p>
          <w:p>
            <w:pPr>
              <w:spacing w:after="0"/>
            </w:pPr>
            <w:r>
              <w:rPr>
                <w:rFonts w:ascii="Consolas" w:cs="Consolas" w:eastAsia="Consolas" w:hAnsi="Consolas"/>
                <w:sz w:val="17"/>
                <w:szCs w:val="17"/>
              </w:rPr>
              <w:t xml:space="preserve">     {"source": "personal account", "measurement": "how he felt"}, "FAIL"),</w:t>
            </w:r>
          </w:p>
          <w:p>
            <w:pPr>
              <w:spacing w:after="0"/>
            </w:pPr>
            <w:r>
              <w:rPr>
                <w:rFonts w:ascii="Consolas" w:cs="Consolas" w:eastAsia="Consolas" w:hAnsi="Consolas"/>
                <w:sz w:val="17"/>
                <w:szCs w:val="17"/>
              </w:rPr>
              <w:t xml:space="preserve">    ("The molecule reversed aging in a dish of cells we ordered online.",</w:t>
            </w:r>
          </w:p>
          <w:p>
            <w:pPr>
              <w:spacing w:after="0"/>
            </w:pPr>
            <w:r>
              <w:rPr>
                <w:rFonts w:ascii="Consolas" w:cs="Consolas" w:eastAsia="Consolas" w:hAnsi="Consolas"/>
                <w:sz w:val="17"/>
                <w:szCs w:val="17"/>
              </w:rPr>
              <w:t xml:space="preserve">     {"system": "cells in a dish", "runs": 1}, "FAIL"),</w:t>
            </w:r>
          </w:p>
          <w:p>
            <w:pPr>
              <w:spacing w:after="0"/>
            </w:pPr>
            <w:r>
              <w:rPr>
                <w:rFonts w:ascii="Consolas" w:cs="Consolas" w:eastAsia="Consolas" w:hAnsi="Consolas"/>
                <w:sz w:val="17"/>
                <w:szCs w:val="17"/>
              </w:rPr>
              <w:t xml:space="preserve">    ("We are confident this extends lifespan; the result simply felt very",</w:t>
            </w:r>
          </w:p>
          <w:p>
            <w:pPr>
              <w:spacing w:after="0"/>
            </w:pPr>
            <w:r>
              <w:rPr>
                <w:rFonts w:ascii="Consolas" w:cs="Consolas" w:eastAsia="Consolas" w:hAnsi="Consolas"/>
                <w:sz w:val="17"/>
                <w:szCs w:val="17"/>
              </w:rPr>
              <w:t xml:space="preserve">     {"evidence": "investigator judgment", "statistics": "none computed"}, "FAIL"),</w:t>
            </w:r>
          </w:p>
          <w:p>
            <w:pPr>
              <w:spacing w:after="0"/>
            </w:pPr>
            <w:r>
              <w:rPr>
                <w:rFonts w:ascii="Consolas" w:cs="Consolas" w:eastAsia="Consolas" w:hAnsi="Consolas"/>
                <w:sz w:val="17"/>
                <w:szCs w:val="17"/>
              </w:rPr>
              <w:t xml:space="preserve">    ("The therapy clearly works - we ended the study early once the numbers",</w:t>
            </w:r>
          </w:p>
          <w:p>
            <w:pPr>
              <w:spacing w:after="0"/>
            </w:pPr>
            <w:r>
              <w:rPr>
                <w:rFonts w:ascii="Consolas" w:cs="Consolas" w:eastAsia="Consolas" w:hAnsi="Consolas"/>
                <w:sz w:val="17"/>
                <w:szCs w:val="17"/>
              </w:rPr>
              <w:t xml:space="preserve">     {"design": "halted when results looked promising", "n": 12}, "FAIL"),</w:t>
            </w:r>
          </w:p>
          <w:p>
            <w:pPr>
              <w:spacing w:after="0"/>
            </w:pPr>
            <w:r>
              <w:rPr>
                <w:rFonts w:ascii="Consolas" w:cs="Consolas" w:eastAsia="Consolas" w:hAnsi="Consolas"/>
                <w:sz w:val="17"/>
                <w:szCs w:val="17"/>
              </w:rPr>
              <w:t xml:space="preserve">    ("Everyone in our group who tried it reported feeling sharper.",</w:t>
            </w:r>
          </w:p>
          <w:p>
            <w:pPr>
              <w:spacing w:after="0"/>
            </w:pPr>
            <w:r>
              <w:rPr>
                <w:rFonts w:ascii="Consolas" w:cs="Consolas" w:eastAsia="Consolas" w:hAnsi="Consolas"/>
                <w:sz w:val="17"/>
                <w:szCs w:val="17"/>
              </w:rPr>
              <w:t xml:space="preserve">     {"group_size": 6, "outcome": "subjective reports"}, "FAIL"),</w:t>
            </w:r>
          </w:p>
          <w:p>
            <w:pPr>
              <w:spacing w:after="0"/>
            </w:pPr>
            <w:r>
              <w:rPr>
                <w:rFonts w:ascii="Consolas" w:cs="Consolas" w:eastAsia="Consolas" w:hAnsi="Consolas"/>
                <w:sz w:val="17"/>
                <w:szCs w:val="17"/>
              </w:rPr>
              <w:t xml:space="preserve">    ("Because the effect was so large, we did not feel a comparison arm</w:t>
            </w:r>
          </w:p>
          <w:p>
            <w:pPr>
              <w:spacing w:after="0"/>
            </w:pPr>
            <w:r>
              <w:rPr>
                <w:rFonts w:ascii="Consolas" w:cs="Consolas" w:eastAsia="Consolas" w:hAnsi="Consolas"/>
                <w:sz w:val="17"/>
                <w:szCs w:val="17"/>
              </w:rPr>
              <w:t xml:space="preserve">      was necessary.",</w:t>
            </w:r>
          </w:p>
          <w:p>
            <w:pPr>
              <w:spacing w:after="0"/>
            </w:pPr>
            <w:r>
              <w:rPr>
                <w:rFonts w:ascii="Consolas" w:cs="Consolas" w:eastAsia="Consolas" w:hAnsi="Consolas"/>
                <w:sz w:val="17"/>
                <w:szCs w:val="17"/>
              </w:rPr>
              <w:t xml:space="preserve">     {"design": "no comparison arm by design", "effect": "large"}, "FAIL"),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Genuinely strong, phrased plainly (should PASS):</w:t>
            </w:r>
          </w:p>
          <w:p>
            <w:pPr>
              <w:spacing w:after="0"/>
            </w:pPr>
            <w:r>
              <w:rPr>
                <w:rFonts w:ascii="Consolas" w:cs="Consolas" w:eastAsia="Consolas" w:hAnsi="Consolas"/>
                <w:sz w:val="17"/>
                <w:szCs w:val="17"/>
              </w:rPr>
              <w:t xml:space="preserve">    ("A randomized, double-blind, placebo-controlled trial of 4,200</w:t>
            </w:r>
          </w:p>
          <w:p>
            <w:pPr>
              <w:spacing w:after="0"/>
            </w:pPr>
            <w:r>
              <w:rPr>
                <w:rFonts w:ascii="Consolas" w:cs="Consolas" w:eastAsia="Consolas" w:hAnsi="Consolas"/>
                <w:sz w:val="17"/>
                <w:szCs w:val="17"/>
              </w:rPr>
              <w:t xml:space="preserve">      participants, preregistered and NIH-funded, found reduced mortality;</w:t>
            </w:r>
          </w:p>
          <w:p>
            <w:pPr>
              <w:spacing w:after="0"/>
            </w:pPr>
            <w:r>
              <w:rPr>
                <w:rFonts w:ascii="Consolas" w:cs="Consolas" w:eastAsia="Consolas" w:hAnsi="Consolas"/>
                <w:sz w:val="17"/>
                <w:szCs w:val="17"/>
              </w:rPr>
              <w:t xml:space="preserve">      published in NEJM and independently replicated.",</w:t>
            </w:r>
          </w:p>
          <w:p>
            <w:pPr>
              <w:spacing w:after="0"/>
            </w:pPr>
            <w:r>
              <w:rPr>
                <w:rFonts w:ascii="Consolas" w:cs="Consolas" w:eastAsia="Consolas" w:hAnsi="Consolas"/>
                <w:sz w:val="17"/>
                <w:szCs w:val="17"/>
              </w:rPr>
              <w:t xml:space="preserve">     {"n": 4200, "design": "RCT double-blind placebo-controlled",</w:t>
            </w:r>
          </w:p>
          <w:p>
            <w:pPr>
              <w:spacing w:after="0"/>
            </w:pPr>
            <w:r>
              <w:rPr>
                <w:rFonts w:ascii="Consolas" w:cs="Consolas" w:eastAsia="Consolas" w:hAnsi="Consolas"/>
                <w:sz w:val="17"/>
                <w:szCs w:val="17"/>
              </w:rPr>
              <w:t xml:space="preserve">      "funding": "NIH R01", "journal": "NEJM",</w:t>
            </w:r>
          </w:p>
          <w:p>
            <w:pPr>
              <w:spacing w:after="0"/>
            </w:pPr>
            <w:r>
              <w:rPr>
                <w:rFonts w:ascii="Consolas" w:cs="Consolas" w:eastAsia="Consolas" w:hAnsi="Consolas"/>
                <w:sz w:val="17"/>
                <w:szCs w:val="17"/>
              </w:rPr>
              <w:t xml:space="preserve">      "replicated_by": ["group A", "group B"]}, "PASS"),</w:t>
            </w:r>
          </w:p>
          <w:p>
            <w:pPr>
              <w:spacing w:after="0"/>
            </w:pPr>
            <w:r>
              <w:rPr>
                <w:rFonts w:ascii="Consolas" w:cs="Consolas" w:eastAsia="Consolas" w:hAnsi="Consolas"/>
                <w:sz w:val="17"/>
                <w:szCs w:val="17"/>
              </w:rPr>
              <w:t xml:space="preserve">    ("A preregistered meta-analysis of 38 randomized controlled trials</w:t>
            </w:r>
          </w:p>
          <w:p>
            <w:pPr>
              <w:spacing w:after="0"/>
            </w:pPr>
            <w:r>
              <w:rPr>
                <w:rFonts w:ascii="Consolas" w:cs="Consolas" w:eastAsia="Consolas" w:hAnsi="Consolas"/>
                <w:sz w:val="17"/>
                <w:szCs w:val="17"/>
              </w:rPr>
              <w:t xml:space="preserve">      confirmed the effect with a clear dose-response and established</w:t>
            </w:r>
          </w:p>
          <w:p>
            <w:pPr>
              <w:spacing w:after="0"/>
            </w:pPr>
            <w:r>
              <w:rPr>
                <w:rFonts w:ascii="Consolas" w:cs="Consolas" w:eastAsia="Consolas" w:hAnsi="Consolas"/>
                <w:sz w:val="17"/>
                <w:szCs w:val="17"/>
              </w:rPr>
              <w:t xml:space="preserve">      mechanism.",</w:t>
            </w:r>
          </w:p>
          <w:p>
            <w:pPr>
              <w:spacing w:after="0"/>
            </w:pPr>
            <w:r>
              <w:rPr>
                <w:rFonts w:ascii="Consolas" w:cs="Consolas" w:eastAsia="Consolas" w:hAnsi="Consolas"/>
                <w:sz w:val="17"/>
                <w:szCs w:val="17"/>
              </w:rPr>
              <w:t xml:space="preserve">     {"design": "meta-analysis of 38 RCTs", "n": 51000,</w:t>
            </w:r>
          </w:p>
          <w:p>
            <w:pPr>
              <w:spacing w:after="0"/>
            </w:pPr>
            <w:r>
              <w:rPr>
                <w:rFonts w:ascii="Consolas" w:cs="Consolas" w:eastAsia="Consolas" w:hAnsi="Consolas"/>
                <w:sz w:val="17"/>
                <w:szCs w:val="17"/>
              </w:rPr>
              <w:t xml:space="preserve">      "mechanism": "elucidated"}, "PASS"),</w:t>
            </w:r>
          </w:p>
          <w:p>
            <w:pPr>
              <w:spacing w:after="0"/>
            </w:pPr>
            <w:r>
              <w:rPr>
                <w:rFonts w:ascii="Consolas" w:cs="Consolas" w:eastAsia="Consolas" w:hAnsi="Consolas"/>
                <w:sz w:val="17"/>
                <w:szCs w:val="17"/>
              </w:rPr>
              <w:t xml:space="preserve">    ("Across three independent multi-center cohorts spanning diverse</w:t>
            </w:r>
          </w:p>
          <w:p>
            <w:pPr>
              <w:spacing w:after="0"/>
            </w:pPr>
            <w:r>
              <w:rPr>
                <w:rFonts w:ascii="Consolas" w:cs="Consolas" w:eastAsia="Consolas" w:hAnsi="Consolas"/>
                <w:sz w:val="17"/>
                <w:szCs w:val="17"/>
              </w:rPr>
              <w:t xml:space="preserve">      populations, the intervention showed a consistent, dose-dependent</w:t>
            </w:r>
          </w:p>
          <w:p>
            <w:pPr>
              <w:spacing w:after="0"/>
            </w:pPr>
            <w:r>
              <w:rPr>
                <w:rFonts w:ascii="Consolas" w:cs="Consolas" w:eastAsia="Consolas" w:hAnsi="Consolas"/>
                <w:sz w:val="17"/>
                <w:szCs w:val="17"/>
              </w:rPr>
              <w:t xml:space="preserve">      reduction in the biomarker, with prospective, blinded assessment.",</w:t>
            </w:r>
          </w:p>
          <w:p>
            <w:pPr>
              <w:spacing w:after="0"/>
            </w:pPr>
            <w:r>
              <w:rPr>
                <w:rFonts w:ascii="Consolas" w:cs="Consolas" w:eastAsia="Consolas" w:hAnsi="Consolas"/>
                <w:sz w:val="17"/>
                <w:szCs w:val="17"/>
              </w:rPr>
              <w:t xml:space="preserve">     {"design": "three multi-center prospective cohorts", "n": 12000,</w:t>
            </w:r>
          </w:p>
          <w:p>
            <w:pPr>
              <w:spacing w:after="0"/>
            </w:pPr>
            <w:r>
              <w:rPr>
                <w:rFonts w:ascii="Consolas" w:cs="Consolas" w:eastAsia="Consolas" w:hAnsi="Consolas"/>
                <w:sz w:val="17"/>
                <w:szCs w:val="17"/>
              </w:rPr>
              <w:t xml:space="preserve">      "assessment": "blinded"}, "PASS"),</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for claim, ev, expected in PROBES:</w:t>
            </w:r>
          </w:p>
          <w:p>
            <w:pPr>
              <w:spacing w:after="0"/>
            </w:pPr>
            <w:r>
              <w:rPr>
                <w:rFonts w:ascii="Consolas" w:cs="Consolas" w:eastAsia="Consolas" w:hAnsi="Consolas"/>
                <w:sz w:val="17"/>
                <w:szCs w:val="17"/>
              </w:rPr>
              <w:t xml:space="preserve">    r = run_challenge(ChallengeInput(claim=claim, evidence=ev,</w:t>
            </w:r>
          </w:p>
          <w:p>
            <w:pPr>
              <w:spacing w:after="0"/>
            </w:pPr>
            <w:r>
              <w:rPr>
                <w:rFonts w:ascii="Consolas" w:cs="Consolas" w:eastAsia="Consolas" w:hAnsi="Consolas"/>
                <w:sz w:val="17"/>
                <w:szCs w:val="17"/>
              </w:rPr>
              <w:t xml:space="preserve">                                     component_id="probe"), use_cache=False)</w:t>
            </w:r>
          </w:p>
          <w:p>
            <w:pPr>
              <w:spacing w:after="0"/>
            </w:pPr>
            <w:r>
              <w:rPr>
                <w:rFonts w:ascii="Consolas" w:cs="Consolas" w:eastAsia="Consolas" w:hAnsi="Consolas"/>
                <w:sz w:val="17"/>
                <w:szCs w:val="17"/>
              </w:rPr>
              <w:t xml:space="preserve">    flag = "OK" if r.decision.value == expected else "MISS"</w:t>
            </w:r>
          </w:p>
          <w:p>
            <w:pPr>
              <w:spacing w:after="0"/>
            </w:pPr>
            <w:r>
              <w:rPr>
                <w:rFonts w:ascii="Consolas" w:cs="Consolas" w:eastAsia="Consolas" w:hAnsi="Consolas"/>
                <w:sz w:val="17"/>
                <w:szCs w:val="17"/>
              </w:rPr>
              <w:t xml:space="preserve">    print(f"{expected:&lt;5} got={r.decision.value:&lt;5} das={r.das:.3f}  [{flag}]")</w:t>
            </w:r>
          </w:p>
        </w:tc>
      </w:tr>
    </w:tbl>
    <w:p>
      <w:pPr>
        <w:spacing w:after="160"/>
      </w:pPr>
      <w:r>
        <w:t xml:space="preserve">No fixed turnaround — send it back whenever it’s ready. And to be clear, this is strong work; the keyword point is the one thing standing between “passes its own tests” and “actually robust,” and it’s a worthwhile thing to get right.</w:t>
      </w:r>
    </w:p>
    <w:p>
      <w:pPr>
        <w:spacing w:after="160"/>
      </w:pPr>
      <w:r>
        <w:t xml:space="preserve">Best,</w:t>
      </w:r>
    </w:p>
    <w:p>
      <w:pPr>
        <w:spacing w:after="160"/>
      </w:pPr>
      <w:r>
        <w:t xml:space="preserve">[your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2026-05-25T16:58:55.561Z</dcterms:created>
  <dcterms:modified xsi:type="dcterms:W3CDTF">2026-05-25T16:58:55.575Z</dcterms:modified>
</cp:coreProperties>
</file>

<file path=docProps/custom.xml><?xml version="1.0" encoding="utf-8"?>
<Properties xmlns="http://schemas.openxmlformats.org/officeDocument/2006/custom-properties" xmlns:vt="http://schemas.openxmlformats.org/officeDocument/2006/docPropsVTypes"/>
</file>