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A88"/>
          <w:sz w:val="30"/>
          <w:szCs w:val="30"/>
        </w:rPr>
        <w:t xml:space="preserve">CureForge AI — Engineering Task Brief</w:t>
      </w:r>
    </w:p>
    <w:p>
      <w:pPr>
        <w:pBdr>
          <w:bottom w:val="single" w:color="2E5A88" w:sz="6" w:space="1"/>
        </w:pBdr>
        <w:spacing w:after="240"/>
      </w:pPr>
      <w:r>
        <w:rPr>
          <w:color w:val="555555"/>
          <w:sz w:val="24"/>
          <w:szCs w:val="24"/>
        </w:rPr>
        <w:t xml:space="preserve">Adversarial-Challenge Substrate (DATSS-style challenger orchestration)</w:t>
      </w:r>
    </w:p>
    <w:p>
      <w:pPr>
        <w:pStyle w:val="Heading1"/>
      </w:pPr>
      <w:r>
        <w:t xml:space="preserve">Context</w:t>
      </w:r>
    </w:p>
    <w:p>
      <w:pPr>
        <w:spacing w:after="160"/>
      </w:pPr>
      <w:r>
        <w:t xml:space="preserve">CureForge AI is an autonomous longevity-research platform: a federation of independent research “institutes” (disease-specific, organ-specific, and frontier-science modules) that generate hypotheses, design simulated experiments, and produce research outputs, coordinated by a shared software substrate. Because the institutes act with a high degree of autonomy, the platform depends on a set of cross-cutting safety and governance substrates that every institute is required to route through before any consequential action or external-facing claim is allowed to proceed.</w:t>
      </w:r>
    </w:p>
    <w:p>
      <w:pPr>
        <w:spacing w:after="160"/>
      </w:pPr>
      <w:r>
        <w:t xml:space="preserve">One of those substrates is an adversarial-challenge layer: before a high-stakes output is allowed through a governance gate, it is stress-tested by a pool of independent “challenger” agents whose job is to argue against it — a structured devil’s-advocate process. The challenge produces a single score; the output only proceeds if that score clears a configurable threshold and the challenger pool met independence and coverage requirements. This task is to build a clean, self-contained reference implementation of that challenger-orchestration layer. It is designed to run fully standalone — you will not need access to the rest of the platform, and there are no other team members involved.</w:t>
      </w:r>
    </w:p>
    <w:p>
      <w:pPr>
        <w:pStyle w:val="Heading1"/>
      </w:pPr>
      <w:r>
        <w:t xml:space="preserve">What you are building</w:t>
      </w:r>
    </w:p>
    <w:p>
      <w:pPr>
        <w:spacing w:after="160"/>
      </w:pPr>
      <w:r>
        <w:t xml:space="preserve">A library, callable through a single public entry point, that takes a claim or proposed action plus its supporting evidence, runs an adversarial challenge against it using a pool of independently-seeded challenger agents, aggregates the result into a single Devil’s-Advocate Score (DAS) in [0, 1], and returns a gate decision: PASS or FAIL, with a fully populated result object explaining why.</w:t>
      </w:r>
    </w:p>
    <w:p>
      <w:pPr>
        <w:spacing w:after="160"/>
      </w:pPr>
      <w:r>
        <w:t xml:space="preserve">The challenger agents themselves can be simple for this exercise — you may implement them as deterministic scoring functions, lightweight prompted models, or rule-based critics. </w:t>
      </w:r>
      <w:r>
        <w:rPr>
          <w:b/>
          <w:bCs/>
        </w:rPr>
        <w:t xml:space="preserve">The intelligence of an individual challenger is not what is being evaluated.</w:t>
      </w:r>
      <w:r>
        <w:t xml:space="preserve"> What matters is the orchestration substrate around them: independence of seeding, coverage across challenge dimensions, score aggregation, the gating decision, the failure-closed behavior, and the evaluation methodology you use to choose any thresholds.</w:t>
      </w:r>
    </w:p>
    <w:p>
      <w:pPr>
        <w:pStyle w:val="Heading2"/>
      </w:pPr>
      <w:r>
        <w:t xml:space="preserve">Suggested public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datss.models import ChallengeInput, GateDecision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from datss.gate import run_challenge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result = run_challenge(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ChallengeInput(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claim="...",            # the output being stress-tested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evidence={...},          # supporting evidence / provenance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component_id="...",      # which institute/component is requesting the gate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result.decision is GateDecision.PASS / .FAIL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result.das is the aggregated Devil's-Advocate Score in [0, 1]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result.subscores, result.coverage, result.challenger_seeds, result.reason populated</w:t>
            </w:r>
          </w:p>
        </w:tc>
      </w:tr>
    </w:tbl>
    <w:p>
      <w:pPr>
        <w:pStyle w:val="Heading1"/>
      </w:pPr>
      <w:r>
        <w:t xml:space="preserve">Required behavior (acceptance criteria)</w:t>
      </w:r>
    </w:p>
    <w:p>
      <w:pPr>
        <w:spacing w:after="160"/>
      </w:pPr>
      <w:r>
        <w:t xml:space="preserve">These are the named criteria the deliverable will be checked against. Each is independently testable.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Challenger pool with independent seeding. The challenge is run by at least 11 challenger agents. Each challenger must be independently seeded — its seed is drawn from a disjoint stream such that no two challengers share a seed, and a seed collision is detectable. The independence property should be verifiable by inspecting the seed-allocation logic, not just asserted at runtime.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Bias-class coverage ≥ 80%. Define a closed enumeration of “bias classes” — the distinct angles of attack a challenger can take (for example: evidence-quality skepticism, methodological critique, alternative-hypothesis generation, conflict-of-interest / provenance scrutiny, and so on; you choose a sensible closed set and document it). The pool of challengers seeded for any given challenge must cover at least 80% of the enumerated bias classes. The enumeration is closed: it must not be extensible at runtime.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 aggregation. The individual challenger outputs aggregate into a single Devil’s-Advocate Score (DAS) in [0, 1]. Document and justify the aggregation function you choose (mean, trimmed mean, min, quantile, etc.) — the choice has real consequences for how a single hostile or single lenient challenger affects the verdict, and we want to see that reasoning.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Named, configurable threshold. The pass/fail gate is governed by a threshold named tau_&lt;component&gt;_das with a named default value of 0.92. All thresholds in the system follow the naming convention tau_&lt;component&gt;_&lt;purpose&gt;, each declared in a dedicated thresholds module (not as bare numeric literals scattered through the policy code), each with a docstring noting what it gates and its default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Thresholds are not learned at runtime. The threshold is a configurable architectural parameter with a fixed named default. It must not be a learned hyperparameter or a value selected adaptively from the data at runtime. If you tune any default, tune it offline on a held-out split (see Evaluation below) and document the chosen value — do not let the system re-fit it during operation.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Failure-closed default. The gate returns FAIL (does not let the output proceed) on any of: fewer than the required challenger count, bias-class coverage below 80%, a detected seed collision, DAS below threshold, or a latency-budget breach. “Failure closed” means the safe default is to block, never to wave the output through. There must be no bypass path, override flag, or “force-proceed” mechanism anywhere in the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Bounded, instrumented latency. The end-to-end challenge has a bounded p99 latency, expressed as a named configurable parameter (tau_&lt;component&gt;_latency_p99) with a named default, and the gate fails closed if the budget is breached. Report p50 / p95 / p99 from an actual run. Because re-running an identical challenge is wasteful, include a caching strategy for challenge results where it is safe to do so, and explain when caching is and isn’t valid.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Result object is fully populated and explainable. The returned object exposes the decision, the aggregated DAS, the per-challenger subscores, the bias-class coverage achieved, the challenger seeds used, the reason for the verdict, and the requesting component id. All scores are in [0, 1].</w:t>
      </w:r>
    </w:p>
    <w:p>
      <w:pPr>
        <w:pStyle w:val="Heading1"/>
      </w:pPr>
      <w:r>
        <w:t xml:space="preserve">Evaluation discipline</w:t>
      </w:r>
    </w:p>
    <w:p>
      <w:pPr>
        <w:spacing w:after="160"/>
      </w:pPr>
      <w:r>
        <w:t xml:space="preserve">This is the part we care about most, and it is where your last submission already showed the right instincts — carry that forward. For any threshold default you select or tune: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a held-out split that is genuinely separate from anything used to build or tune the system. Tune on a validation set; touch the final evaluation set exactly once.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there is no leakage — no shared or duplicated items across the splits.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Report the operating point you chose, on which split, and what it cost on the held-out set, even if the held-out number is worse than the tuning number. An honest, lower number beats an optimistic one we can’t trust.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Instrument every threshold so its behavior can be re-evaluated later against new data. Never silently change a default; treat a default change as a deliberate, documented decision.</w:t>
      </w:r>
    </w:p>
    <w:p>
      <w:pPr>
        <w:pStyle w:val="Heading1"/>
      </w:pPr>
      <w:r>
        <w:t xml:space="preserve">Test material</w:t>
      </w:r>
    </w:p>
    <w:p>
      <w:pPr>
        <w:spacing w:after="160"/>
      </w:pPr>
      <w:r>
        <w:t xml:space="preserve">Author a small set of challenge cases yourself — a mix of claims that should clearly PASS (well-supported, defensible) and claims that should clearly FAIL (weakly supported, overreaching, or internally contradictory), plus a few genuinely borderline cases. Keep the cases distinct from one another; avoid near-duplicates. Aim for enough variety that the bias-class coverage requirement is actually exercised. Document how you constructed them.</w:t>
      </w:r>
    </w:p>
    <w:p>
      <w:pPr>
        <w:pStyle w:val="Heading1"/>
      </w:pPr>
      <w:r>
        <w:t xml:space="preserve">Constraints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Closed enumerations are not runtime-extensible. The bias-class enumeration (and any other status/class enums) must be closed sets fixed in code, not lists that can be appended to at runtime.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third-party vendor product names in the core library. Keep specific commercial product names (GPU stacks, named cloud services, named model-vendor SKUs) out of the library’s schemas, type definitions, and public interface. If you use a specific tool as infrastructure, keep it behind a neutral interface — the substrate should read as vendor-neutral.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external calls required to run. The deliverable must run end-to-end offline with pinned dependencies, the same way your last submission did. If a challenger uses a model, make it swappable and provide a deterministic offline default so the whole thing is reproducible without network access.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Deterministic and reproducible. Fix seeds; the same input must produce the same decision. Provide a single command to run the challenge over your test material and a single command to run the test suite.</w:t>
      </w:r>
    </w:p>
    <w:p>
      <w:pPr>
        <w:pStyle w:val="Heading1"/>
      </w:pPr>
      <w:r>
        <w:t xml:space="preserve">Deliverable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 library, with the public entry point above and a clear module layout (models, the challenger pool, the aggregation/gate logic, the thresholds module, configuration).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short README documenting: the bias-class enumeration and why you chose it, the aggregation function and its tradeoffs, the threshold defaults and how any tuning was done, the failure-closed paths, the caching strategy, and the latency numbers from a real run.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test suite covering the acceptance criteria above — including an adversarial test that constructs an input attempting to proceed without satisfying the gate, and asserts the system blocks it.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Your test material and a script that runs the gate over it and prints the per-case decisions and subscores.</w:t>
      </w:r>
    </w:p>
    <w:p>
      <w:pPr>
        <w:pStyle w:val="Heading1"/>
      </w:pPr>
      <w:r>
        <w:t xml:space="preserve">Working notes</w:t>
      </w:r>
    </w:p>
    <w:p>
      <w:pPr>
        <w:spacing w:after="160"/>
      </w:pPr>
      <w:r>
        <w:t xml:space="preserve">Keep the same engineering style as your last submission — clean module boundaries, named thresholds, an honest write-up of what works and what doesn’t. If a requirement turns out to be in tension with another (for example, a strict latency budget against a large challenger pool), make a defensible call and document the tradeoff rather than silently dropping a requirement.</w:t>
      </w:r>
    </w:p>
    <w:p>
      <w:pPr>
        <w:spacing w:after="160"/>
      </w:pPr>
      <w:r>
        <w:t xml:space="preserve">Reach out if anything is ambiguous before you start. There’s no fixed turnaround — send it back whenever it’s ready.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2E5A8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1F1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2026-05-21T14:58:33.855Z</dcterms:created>
  <dcterms:modified xsi:type="dcterms:W3CDTF">2026-05-21T14:58:33.855Z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