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6D1F"/>
          <w:sz w:val="20"/>
          <w:szCs w:val="20"/>
        </w:rPr>
        <w:t xml:space="preserve">BLACK ROSE CONSULTANCY LIMITED</w:t>
      </w:r>
    </w:p>
    <w:p>
      <w:pPr>
        <w:pBdr>
          <w:bottom w:val="single" w:color="C9A227" w:sz="16" w:space="6"/>
        </w:pBdr>
        <w:spacing w:after="200"/>
      </w:pPr>
      <w:r>
        <w:rPr>
          <w:b/>
          <w:bCs/>
          <w:color w:val="1A1A1A"/>
          <w:sz w:val="40"/>
          <w:szCs w:val="40"/>
        </w:rPr>
        <w:t xml:space="preserve">Client &amp; Task Reference Numbering Policy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Version 1.0  |  Effective Date: 1 September 2026  |  Owner: Operations / Partner Group</w:t>
      </w:r>
    </w:p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1. Purpose</w:t>
      </w:r>
    </w:p>
    <w:p>
      <w:pPr>
        <w:spacing w:after="120"/>
      </w:pPr>
      <w:r>
        <w:rPr>
          <w:sz w:val="21"/>
          <w:szCs w:val="21"/>
        </w:rPr>
        <w:t xml:space="preserve">This policy establishes a standard reference numbering format for all client tasks, engagements, and files across Black Rose Consultancy's service lines — audit, tax, accounting, and advisory. It ensures every task is traceable, searchable, and consistently filed across the task tracker, document store, and client correspondence.</w:t>
      </w:r>
    </w:p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2. Reference Format</w:t>
      </w:r>
    </w:p>
    <w:p>
      <w:pPr>
        <w:shd w:fill="0F0F0F" w:val="clear"/>
        <w:spacing w:after="100" w:before="100"/>
        <w:jc w:val="center"/>
      </w:pPr>
      <w:r>
        <w:rPr>
          <w:b/>
          <w:bCs/>
          <w:color w:val="C9A227"/>
          <w:sz w:val="26"/>
          <w:szCs w:val="26"/>
        </w:rPr>
        <w:t xml:space="preserve">[CLIENT CODE] – [SERVICE TYPE] – [YEAR] – [SEQUENCE]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Example:  ADH-ACC-2026-014</w:t>
      </w:r>
    </w:p>
    <w:p>
      <w:pPr>
        <w:spacing w:after="120"/>
      </w:pPr>
      <w:r>
        <w:rPr>
          <w:sz w:val="21"/>
          <w:szCs w:val="21"/>
        </w:rPr>
        <w:t xml:space="preserve">This reads as: ADH (client) · ACC (accounting service) · 2026 (engagement year) · 014 (14th reference issued for that client/service/year combination).</w:t>
      </w:r>
    </w:p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3. Segment Definitions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460"/>
      </w:tblGrid>
      <w:tr>
        <w:trPr>
          <w:tblHeader/>
        </w:trPr>
        <w:tc>
          <w:tcPr>
            <w:tcW w:type="dxa" w:w="22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46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Code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letters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short code unique to each client (see Section 4).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letters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Identifies the workstream — AUD, TAX, ACC, ADV, INT (see Section 5).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digits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engagement or financial year the task relates to, not necessarily the calendar year the task was created.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digits</w:t>
            </w:r>
          </w:p>
        </w:tc>
        <w:tc>
          <w:tcPr>
            <w:tcW w:type="dxa" w:w="5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Running number starting at 001, unique within the same client + service + year combination.</w:t>
            </w:r>
          </w:p>
        </w:tc>
      </w:tr>
    </w:tbl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4. Approved Client Codes</w:t>
      </w:r>
    </w:p>
    <w:p>
      <w:pPr>
        <w:spacing w:after="120"/>
      </w:pPr>
      <w:r>
        <w:rPr>
          <w:sz w:val="21"/>
          <w:szCs w:val="21"/>
        </w:rPr>
        <w:t xml:space="preserve">Codes below are drawn from currently registered clients. New clients are assigned a code by Operations before their first task is logged.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460"/>
      </w:tblGrid>
      <w:tr>
        <w:trPr>
          <w:tblHeader/>
        </w:trPr>
        <w:tc>
          <w:tcPr>
            <w:tcW w:type="dxa" w:w="60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46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ADH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ADH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AMM Law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AMM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BRC Consultancy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BRCC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Briq Consultancy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BRQ</w:t>
            </w:r>
          </w:p>
        </w:tc>
      </w:tr>
      <w:t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Multiplier</w:t>
            </w:r>
          </w:p>
        </w:tc>
        <w:tc>
          <w:tcPr>
            <w:tcW w:type="dxa" w:w="3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Ultimate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Note: "BRCC" is used (rather than "BRC") to avoid confusion with Black Rose Consultancy's own internal reference prefix.</w:t>
      </w:r>
    </w:p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5. Service Type Codes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rPr>
          <w:tblHeader/>
        </w:trPr>
        <w:tc>
          <w:tcPr>
            <w:tcW w:type="dxa" w:w="22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26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Line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&amp; Assurance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</w:t>
            </w:r>
          </w:p>
        </w:tc>
        <w:tc>
          <w:tcPr>
            <w:tcW w:type="dxa" w:w="7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Advisory &amp; Filing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Accounting &amp; Bookkeeping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</w:t>
            </w:r>
          </w:p>
        </w:tc>
        <w:tc>
          <w:tcPr>
            <w:tcW w:type="dxa" w:w="7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Advisory / Consulting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/ Non-client (firm administration)</w:t>
            </w:r>
          </w:p>
        </w:tc>
      </w:tr>
    </w:tbl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6. Worked Examples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600"/>
        <w:gridCol w:w="2760"/>
      </w:tblGrid>
      <w:tr>
        <w:trPr>
          <w:tblHeader/>
        </w:trPr>
        <w:tc>
          <w:tcPr>
            <w:tcW w:type="dxa" w:w="32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60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60"/>
            <w:shd w:fill="8A6D1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of Chao expense claim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ADH-ACC-2026-014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Statutory filing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MULT-TAX-2026-003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Accounting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Accounting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ULT-ACC-2026-008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Internal Review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 Rose (internal)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BR-INT-2026-001</w:t>
            </w:r>
          </w:p>
        </w:tc>
      </w:tr>
    </w:tbl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7. Application Across the Firm</w:t>
      </w:r>
    </w:p>
    <w:p>
      <w:pPr>
        <w:spacing w:after="100" w:before="240"/>
      </w:pPr>
      <w:r>
        <w:rPr>
          <w:b/>
          <w:bCs/>
          <w:color w:val="1A1A1A"/>
          <w:sz w:val="24"/>
          <w:szCs w:val="24"/>
        </w:rPr>
        <w:t xml:space="preserve">7.1 Task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task card includes a "Reference No." field, positioned next to Due Date and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reference is auto-generated once a Client and Service Type are selected; the system assigns the next available sequence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References are searchable directly from the top search bar (e.g. searching "ADH-ACC-2026-014" returns the exact task).</w:t>
      </w:r>
    </w:p>
    <w:p>
      <w:pPr>
        <w:spacing w:after="100" w:before="240"/>
      </w:pPr>
      <w:r>
        <w:rPr>
          <w:b/>
          <w:bCs/>
          <w:color w:val="1A1A1A"/>
          <w:sz w:val="24"/>
          <w:szCs w:val="24"/>
        </w:rPr>
        <w:t xml:space="preserve">7.2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Uploaded documents are named using the task's reference as a prefix, e.g. ADH-ACC-2026-014_ExpenseClaim.pdf.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keeps a task and its supporting evidence permanently linked, even if files are moved or archived.</w:t>
      </w:r>
    </w:p>
    <w:p>
      <w:pPr>
        <w:spacing w:after="100" w:before="240"/>
      </w:pPr>
      <w:r>
        <w:rPr>
          <w:b/>
          <w:bCs/>
          <w:color w:val="1A1A1A"/>
          <w:sz w:val="24"/>
          <w:szCs w:val="24"/>
        </w:rPr>
        <w:t xml:space="preserve">7.3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Sub-items within a checklist inherit the parent task's reference with a letter suffix, e.g. ADH-ACC-2026-014-A, -B, -C.</w:t>
      </w:r>
    </w:p>
    <w:p>
      <w:pPr>
        <w:spacing w:after="100" w:before="240"/>
      </w:pPr>
      <w:r>
        <w:rPr>
          <w:b/>
          <w:bCs/>
          <w:color w:val="1A1A1A"/>
          <w:sz w:val="24"/>
          <w:szCs w:val="24"/>
        </w:rPr>
        <w:t xml:space="preserve">7.4 Visual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service type carries a consistent colour tag across the tracker: Audit = blue, Tax = purple, Accounting = teal, Advisory = amber, Internal = grey.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is in addition to (not a replacement for) the existing urgency colour coding (overdue/today/upcoming).</w:t>
      </w:r>
    </w:p>
    <w:p>
      <w:pPr>
        <w:pStyle w:val="Heading1"/>
        <w:pBdr>
          <w:bottom w:val="single" w:color="8A6D1F" w:sz="8" w:space="4"/>
        </w:pBdr>
        <w:spacing w:after="150" w:before="300"/>
      </w:pPr>
      <w:r>
        <w:rPr>
          <w:b/>
          <w:bCs/>
          <w:color w:val="8A6D1F"/>
          <w:sz w:val="28"/>
          <w:szCs w:val="28"/>
        </w:rPr>
        <w:t xml:space="preserve">8.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Client codes are fixed at client onboarding and must not be reused if a client relationship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Sequence numbers never reset mid-year and are never reused, even if a task is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Year segment reflects the engagement/financial year, which may differ from the calendar year the task is logged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Operations reviews and issues new client/service codes; no ad-hoc codes should be created by individual staff.</w:t>
      </w:r>
    </w:p>
    <w:p>
      <w:pPr>
        <w:pBdr>
          <w:top w:val="single" w:color="C9A227" w:sz="8" w:space="6"/>
        </w:pBdr>
        <w:spacing w:before="300"/>
      </w:pPr>
      <w:r>
        <w:rPr>
          <w:i/>
          <w:iCs/>
          <w:color w:val="888888"/>
          <w:sz w:val="17"/>
          <w:szCs w:val="17"/>
        </w:rPr>
        <w:t xml:space="preserve">Black Rose Consultancy Limited — Internal Policy Document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2026-09-01T07:11:49.150Z</dcterms:created>
  <dcterms:modified xsi:type="dcterms:W3CDTF">2026-09-01T07:11:49.163Z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