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spacing w:after="60"/>
        <w:jc w:val="center"/>
      </w:pPr>
      <w:r>
        <w:rPr>
          <w:b/>
          <w:bCs/>
          <w:color w:val="5E8BFF"/>
          <w:sz w:val="56"/>
          <w:szCs w:val="56"/>
        </w:rPr>
        <w:t xml:space="preserve">Alteris</w:t>
      </w:r>
    </w:p>
    <w:p>
      <w:pPr>
        <w:spacing w:after="40"/>
        <w:jc w:val="center"/>
      </w:pPr>
      <w:r>
        <w:rPr>
          <w:i/>
          <w:iCs/>
          <w:color w:val="64748B"/>
          <w:sz w:val="24"/>
          <w:szCs w:val="24"/>
        </w:rPr>
        <w:t xml:space="preserve">Where Great Prompts Evolve.</w:t>
      </w:r>
    </w:p>
    <w:p>
      <w:pPr>
        <w:spacing w:after="40"/>
        <w:jc w:val="center"/>
      </w:pPr>
      <w:r>
        <w:rPr>
          <w:color w:val="1E293B"/>
          <w:sz w:val="22"/>
          <w:szCs w:val="22"/>
        </w:rPr>
        <w:t xml:space="preserve">AI Prompt Engineering Platform — Capstone Project Report</w:t>
      </w:r>
    </w:p>
    <w:p>
      <w:pPr>
        <w:pBdr>
          <w:bottom w:val="single" w:color="CBD5E1" w:sz="6" w:space="8"/>
        </w:pBdr>
        <w:spacing w:after="400"/>
        <w:jc w:val="center"/>
      </w:pPr>
      <w:r>
        <w:rPr>
          <w:color w:val="64748B"/>
          <w:sz w:val="20"/>
          <w:szCs w:val="20"/>
        </w:rPr>
        <w:t xml:space="preserve">Team SheCodez</w:t>
      </w:r>
    </w:p>
    <w:p>
      <w:pPr>
        <w:pStyle w:val="Heading1"/>
        <w:spacing w:after="160" w:before="320"/>
      </w:pPr>
      <w:r>
        <w:rPr>
          <w:b/>
          <w:bCs/>
          <w:color w:val="151B2F"/>
          <w:sz w:val="30"/>
          <w:szCs w:val="30"/>
        </w:rPr>
        <w:t xml:space="preserve">1. Introduction</w:t>
      </w:r>
    </w:p>
    <w:p>
      <w:pPr>
        <w:spacing w:after="160" w:line="300"/>
      </w:pPr>
      <w:r>
        <w:rPr>
          <w:i w:val="false"/>
          <w:iCs w:val="false"/>
          <w:color w:val="1E293B"/>
          <w:sz w:val="22"/>
          <w:szCs w:val="22"/>
        </w:rPr>
        <w:t xml:space="preserve">Alteris is an AI Prompt Engineering Platform built to demonstrate practical mastery of prompt engineering concepts through a fully functioning, production-style SaaS web application. Rather than a static coursework exercise, Alteris gives developers a real workspace to create, test, version, compare, and analyze prompts against a live large language model, closing the loop between writing a prompt and understanding how well it actually performs.</w:t>
      </w:r>
    </w:p>
    <w:p>
      <w:pPr>
        <w:spacing w:after="160" w:line="300"/>
      </w:pPr>
      <w:r>
        <w:rPr>
          <w:i w:val="false"/>
          <w:iCs w:val="false"/>
          <w:color w:val="1E293B"/>
          <w:sz w:val="22"/>
          <w:szCs w:val="22"/>
        </w:rPr>
        <w:t xml:space="preserve">The platform was built end-to-end across six milestones: foundational setup, authentication and prompt management, live prompt execution against the Groq API, version control and A/B testing, cost tracking and analytics, and finally testing, security hardening, and deployment. Each milestone built directly on the data and architecture established in the one before it.</w:t>
      </w:r>
    </w:p>
    <w:p>
      <w:pPr>
        <w:pStyle w:val="Heading1"/>
        <w:spacing w:after="160" w:before="320"/>
      </w:pPr>
      <w:r>
        <w:rPr>
          <w:b/>
          <w:bCs/>
          <w:color w:val="151B2F"/>
          <w:sz w:val="30"/>
          <w:szCs w:val="30"/>
        </w:rPr>
        <w:t xml:space="preserve">2. Problem Statement</w:t>
      </w:r>
    </w:p>
    <w:p>
      <w:pPr>
        <w:spacing w:after="160" w:line="300"/>
      </w:pPr>
      <w:r>
        <w:rPr>
          <w:i w:val="false"/>
          <w:iCs w:val="false"/>
          <w:color w:val="1E293B"/>
          <w:sz w:val="22"/>
          <w:szCs w:val="22"/>
        </w:rPr>
        <w:t xml:space="preserve">Prompt engineering is inherently iterative: a developer writes a system prompt, tests it, tweaks the wording, and tests again — often losing track of which version performed best, how much each test run costs, and why a change helped or hurt. Existing general-purpose tools (plain text editors, ad-hoc API playgrounds) provide no structured way to manage this lifecycle. Alteris addresses this gap by treating prompt engineering as a first-class engineering discipline, complete with version history, controlled A/B comparisons, and quantitative performance and cost tracking.</w:t>
      </w:r>
    </w:p>
    <w:p>
      <w:pPr>
        <w:pStyle w:val="Heading1"/>
        <w:spacing w:after="160" w:before="320"/>
      </w:pPr>
      <w:r>
        <w:rPr>
          <w:b/>
          <w:bCs/>
          <w:color w:val="151B2F"/>
          <w:sz w:val="30"/>
          <w:szCs w:val="30"/>
        </w:rPr>
        <w:t xml:space="preserve">3. Objectives</w:t>
      </w:r>
    </w:p>
    <w:p>
      <w:pPr>
        <w:pStyle w:val="ListParagraph"/>
        <w:numPr>
          <w:ilvl w:val="0"/>
          <w:numId w:val="1"/>
        </w:numPr>
        <w:spacing w:after="80" w:line="280"/>
      </w:pPr>
      <w:r>
        <w:rPr>
          <w:color w:val="1E293B"/>
          <w:sz w:val="22"/>
          <w:szCs w:val="22"/>
        </w:rPr>
        <w:t xml:space="preserve">Provide secure, authenticated storage for a user's prompt library.</w:t>
      </w:r>
    </w:p>
    <w:p>
      <w:pPr>
        <w:pStyle w:val="ListParagraph"/>
        <w:numPr>
          <w:ilvl w:val="0"/>
          <w:numId w:val="1"/>
        </w:numPr>
        <w:spacing w:after="80" w:line="280"/>
      </w:pPr>
      <w:r>
        <w:rPr>
          <w:color w:val="1E293B"/>
          <w:sz w:val="22"/>
          <w:szCs w:val="22"/>
        </w:rPr>
        <w:t xml:space="preserve">Allow prompts to be executed against a real LLM and capture the response, token usage, and latency.</w:t>
      </w:r>
    </w:p>
    <w:p>
      <w:pPr>
        <w:pStyle w:val="ListParagraph"/>
        <w:numPr>
          <w:ilvl w:val="0"/>
          <w:numId w:val="1"/>
        </w:numPr>
        <w:spacing w:after="80" w:line="280"/>
      </w:pPr>
      <w:r>
        <w:rPr>
          <w:color w:val="1E293B"/>
          <w:sz w:val="22"/>
          <w:szCs w:val="22"/>
        </w:rPr>
        <w:t xml:space="preserve">Support lightweight version control so prompt iterations are never silently lost.</w:t>
      </w:r>
    </w:p>
    <w:p>
      <w:pPr>
        <w:pStyle w:val="ListParagraph"/>
        <w:numPr>
          <w:ilvl w:val="0"/>
          <w:numId w:val="1"/>
        </w:numPr>
        <w:spacing w:after="80" w:line="280"/>
      </w:pPr>
      <w:r>
        <w:rPr>
          <w:color w:val="1E293B"/>
          <w:sz w:val="22"/>
          <w:szCs w:val="22"/>
        </w:rPr>
        <w:t xml:space="preserve">Enable controlled A/B comparison between two prompt versions under identical test conditions.</w:t>
      </w:r>
    </w:p>
    <w:p>
      <w:pPr>
        <w:pStyle w:val="ListParagraph"/>
        <w:numPr>
          <w:ilvl w:val="0"/>
          <w:numId w:val="1"/>
        </w:numPr>
        <w:spacing w:after="80" w:line="280"/>
      </w:pPr>
      <w:r>
        <w:rPr>
          <w:color w:val="1E293B"/>
          <w:sz w:val="22"/>
          <w:szCs w:val="22"/>
        </w:rPr>
        <w:t xml:space="preserve">Estimate real-world API cost from token usage, and visualize usage trends over time.</w:t>
      </w:r>
    </w:p>
    <w:p>
      <w:pPr>
        <w:pStyle w:val="ListParagraph"/>
        <w:numPr>
          <w:ilvl w:val="0"/>
          <w:numId w:val="1"/>
        </w:numPr>
        <w:spacing w:after="80" w:line="280"/>
      </w:pPr>
      <w:r>
        <w:rPr>
          <w:color w:val="1E293B"/>
          <w:sz w:val="22"/>
          <w:szCs w:val="22"/>
        </w:rPr>
        <w:t xml:space="preserve">Ship a premium, responsive, dark-themed interface comparable to modern AI-era SaaS products.</w:t>
      </w:r>
    </w:p>
    <w:p>
      <w:pPr>
        <w:pStyle w:val="Heading1"/>
        <w:spacing w:after="160" w:before="320"/>
      </w:pPr>
      <w:r>
        <w:rPr>
          <w:b/>
          <w:bCs/>
          <w:color w:val="151B2F"/>
          <w:sz w:val="30"/>
          <w:szCs w:val="30"/>
        </w:rPr>
        <w:t xml:space="preserve">4. System Architecture</w:t>
      </w:r>
    </w:p>
    <w:p>
      <w:pPr>
        <w:spacing w:after="160" w:line="300"/>
      </w:pPr>
      <w:r>
        <w:rPr>
          <w:i w:val="false"/>
          <w:iCs w:val="false"/>
          <w:color w:val="1E293B"/>
          <w:sz w:val="22"/>
          <w:szCs w:val="22"/>
        </w:rPr>
        <w:t xml:space="preserve">Alteris follows a conventional two-tier REST architecture: a stateless JavaScript frontend communicates with a FastAPI backend over authenticated HTTP requests. The backend owns all business logic, data persistence, and the single integration point with the Groq API, so the frontend never talks to Groq directly — this keeps the API key server-side and gives the system a clean seam for adding further model providers in the future without touching any other part of the codebase.</w:t>
      </w:r>
    </w:p>
    <w:p>
      <w:pPr>
        <w:spacing w:after="160" w:line="300"/>
      </w:pPr>
      <w:r>
        <w:rPr>
          <w:i w:val="false"/>
          <w:iCs w:val="false"/>
          <w:color w:val="1E293B"/>
          <w:sz w:val="22"/>
          <w:szCs w:val="22"/>
        </w:rPr>
        <w:t xml:space="preserve">Authentication uses JSON Web Tokens: on login, the server issues a signed token containing the user's identity, which the frontend stores and attaches to every subsequent request. Because the token itself carries verified identity, the backend never needs to maintain server-side session state. Every resource-owning endpoint (prompts, versions, executions) independently verifies that the requesting user actually owns the resource being accessed, closing off a common vulnerability class known as broken object-level authorization.</w:t>
      </w:r>
    </w:p>
    <w:p>
      <w:pPr>
        <w:spacing w:after="160" w:line="300"/>
      </w:pPr>
      <w:r>
        <w:rPr>
          <w:i w:val="false"/>
          <w:iCs w:val="false"/>
          <w:color w:val="1E293B"/>
          <w:sz w:val="22"/>
          <w:szCs w:val="22"/>
        </w:rPr>
        <w:t xml:space="preserve">The technology choices made for each layer, and the reasoning behind them, are summarized below.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00"/>
      </w:tblGrid>
      <w:tr>
        <w:tc>
          <w:tcPr>
            <w:tcW w:type="dxa" w:w="2200"/>
            <w:shd w:fill="EEF2FF" w:color="auto" w:val="clear"/>
            <w:tcMar>
              <w:top w:type="dxa" w:w="100"/>
              <w:left w:type="dxa" w:w="120"/>
              <w:bottom w:type="dxa" w:w="100"/>
              <w:right w:type="dxa" w:w="120"/>
            </w:tcMar>
          </w:tcPr>
          <w:p>
            <w:r>
              <w:rPr>
                <w:b/>
                <w:bCs/>
                <w:color w:val="5E8BFF"/>
                <w:sz w:val="20"/>
                <w:szCs w:val="20"/>
              </w:rPr>
              <w:t xml:space="preserve">Layer</w:t>
            </w:r>
          </w:p>
        </w:tc>
        <w:tc>
          <w:tcPr>
            <w:tcW w:type="dxa" w:w="2900"/>
            <w:shd w:fill="EEF2FF" w:color="auto" w:val="clear"/>
            <w:tcMar>
              <w:top w:type="dxa" w:w="100"/>
              <w:left w:type="dxa" w:w="120"/>
              <w:bottom w:type="dxa" w:w="100"/>
              <w:right w:type="dxa" w:w="120"/>
            </w:tcMar>
          </w:tcPr>
          <w:p>
            <w:r>
              <w:rPr>
                <w:b/>
                <w:bCs/>
                <w:color w:val="5E8BFF"/>
                <w:sz w:val="20"/>
                <w:szCs w:val="20"/>
              </w:rPr>
              <w:t xml:space="preserve">Technology</w:t>
            </w:r>
          </w:p>
        </w:tc>
        <w:tc>
          <w:tcPr>
            <w:tcW w:type="dxa" w:w="4200"/>
            <w:shd w:fill="EEF2FF" w:color="auto" w:val="clear"/>
            <w:tcMar>
              <w:top w:type="dxa" w:w="100"/>
              <w:left w:type="dxa" w:w="120"/>
              <w:bottom w:type="dxa" w:w="100"/>
              <w:right w:type="dxa" w:w="120"/>
            </w:tcMar>
          </w:tcPr>
          <w:p>
            <w:r>
              <w:rPr>
                <w:b/>
                <w:bCs/>
                <w:color w:val="5E8BFF"/>
                <w:sz w:val="20"/>
                <w:szCs w:val="20"/>
              </w:rPr>
              <w:t xml:space="preserve">Rationale</w:t>
            </w:r>
          </w:p>
        </w:tc>
      </w:tr>
      <w:tr>
        <w:tc>
          <w:tcPr>
            <w:tcW w:type="dxa" w:w="2200"/>
            <w:tcMar>
              <w:top w:type="dxa" w:w="100"/>
              <w:left w:type="dxa" w:w="120"/>
              <w:bottom w:type="dxa" w:w="100"/>
              <w:right w:type="dxa" w:w="120"/>
            </w:tcMar>
          </w:tcPr>
          <w:p>
            <w:r>
              <w:rPr>
                <w:b w:val="false"/>
                <w:bCs w:val="false"/>
                <w:color w:val="1E293B"/>
                <w:sz w:val="20"/>
                <w:szCs w:val="20"/>
              </w:rPr>
              <w:t xml:space="preserve">Frontend</w:t>
            </w:r>
          </w:p>
        </w:tc>
        <w:tc>
          <w:tcPr>
            <w:tcW w:type="dxa" w:w="2900"/>
            <w:tcMar>
              <w:top w:type="dxa" w:w="100"/>
              <w:left w:type="dxa" w:w="120"/>
              <w:bottom w:type="dxa" w:w="100"/>
              <w:right w:type="dxa" w:w="120"/>
            </w:tcMar>
          </w:tcPr>
          <w:p>
            <w:r>
              <w:rPr>
                <w:b w:val="false"/>
                <w:bCs w:val="false"/>
                <w:color w:val="1E293B"/>
                <w:sz w:val="20"/>
                <w:szCs w:val="20"/>
              </w:rPr>
              <w:t xml:space="preserve">HTML, CSS, JavaScript, Chart.js</w:t>
            </w:r>
          </w:p>
        </w:tc>
        <w:tc>
          <w:tcPr>
            <w:tcW w:type="dxa" w:w="4200"/>
            <w:tcMar>
              <w:top w:type="dxa" w:w="100"/>
              <w:left w:type="dxa" w:w="120"/>
              <w:bottom w:type="dxa" w:w="100"/>
              <w:right w:type="dxa" w:w="120"/>
            </w:tcMar>
          </w:tcPr>
          <w:p>
            <w:r>
              <w:rPr>
                <w:b w:val="false"/>
                <w:bCs w:val="false"/>
                <w:color w:val="1E293B"/>
                <w:sz w:val="20"/>
                <w:szCs w:val="20"/>
              </w:rPr>
              <w:t xml:space="preserve">No build tooling required; keeps the stack simple and fully transparent</w:t>
            </w:r>
          </w:p>
        </w:tc>
      </w:tr>
      <w:tr>
        <w:tc>
          <w:tcPr>
            <w:tcW w:type="dxa" w:w="2200"/>
            <w:tcMar>
              <w:top w:type="dxa" w:w="100"/>
              <w:left w:type="dxa" w:w="120"/>
              <w:bottom w:type="dxa" w:w="100"/>
              <w:right w:type="dxa" w:w="120"/>
            </w:tcMar>
          </w:tcPr>
          <w:p>
            <w:r>
              <w:rPr>
                <w:b w:val="false"/>
                <w:bCs w:val="false"/>
                <w:color w:val="1E293B"/>
                <w:sz w:val="20"/>
                <w:szCs w:val="20"/>
              </w:rPr>
              <w:t xml:space="preserve">Backend</w:t>
            </w:r>
          </w:p>
        </w:tc>
        <w:tc>
          <w:tcPr>
            <w:tcW w:type="dxa" w:w="2900"/>
            <w:tcMar>
              <w:top w:type="dxa" w:w="100"/>
              <w:left w:type="dxa" w:w="120"/>
              <w:bottom w:type="dxa" w:w="100"/>
              <w:right w:type="dxa" w:w="120"/>
            </w:tcMar>
          </w:tcPr>
          <w:p>
            <w:r>
              <w:rPr>
                <w:b w:val="false"/>
                <w:bCs w:val="false"/>
                <w:color w:val="1E293B"/>
                <w:sz w:val="20"/>
                <w:szCs w:val="20"/>
              </w:rPr>
              <w:t xml:space="preserve">FastAPI (Python)</w:t>
            </w:r>
          </w:p>
        </w:tc>
        <w:tc>
          <w:tcPr>
            <w:tcW w:type="dxa" w:w="4200"/>
            <w:tcMar>
              <w:top w:type="dxa" w:w="100"/>
              <w:left w:type="dxa" w:w="120"/>
              <w:bottom w:type="dxa" w:w="100"/>
              <w:right w:type="dxa" w:w="120"/>
            </w:tcMar>
          </w:tcPr>
          <w:p>
            <w:r>
              <w:rPr>
                <w:b w:val="false"/>
                <w:bCs w:val="false"/>
                <w:color w:val="1E293B"/>
                <w:sz w:val="20"/>
                <w:szCs w:val="20"/>
              </w:rPr>
              <w:t xml:space="preserve">Automatic validation, async support, auto-generated API docs</w:t>
            </w:r>
          </w:p>
        </w:tc>
      </w:tr>
      <w:tr>
        <w:tc>
          <w:tcPr>
            <w:tcW w:type="dxa" w:w="2200"/>
            <w:tcMar>
              <w:top w:type="dxa" w:w="100"/>
              <w:left w:type="dxa" w:w="120"/>
              <w:bottom w:type="dxa" w:w="100"/>
              <w:right w:type="dxa" w:w="120"/>
            </w:tcMar>
          </w:tcPr>
          <w:p>
            <w:r>
              <w:rPr>
                <w:b w:val="false"/>
                <w:bCs w:val="false"/>
                <w:color w:val="1E293B"/>
                <w:sz w:val="20"/>
                <w:szCs w:val="20"/>
              </w:rPr>
              <w:t xml:space="preserve">Database</w:t>
            </w:r>
          </w:p>
        </w:tc>
        <w:tc>
          <w:tcPr>
            <w:tcW w:type="dxa" w:w="2900"/>
            <w:tcMar>
              <w:top w:type="dxa" w:w="100"/>
              <w:left w:type="dxa" w:w="120"/>
              <w:bottom w:type="dxa" w:w="100"/>
              <w:right w:type="dxa" w:w="120"/>
            </w:tcMar>
          </w:tcPr>
          <w:p>
            <w:r>
              <w:rPr>
                <w:b w:val="false"/>
                <w:bCs w:val="false"/>
                <w:color w:val="1E293B"/>
                <w:sz w:val="20"/>
                <w:szCs w:val="20"/>
              </w:rPr>
              <w:t xml:space="preserve">SQLite</w:t>
            </w:r>
          </w:p>
        </w:tc>
        <w:tc>
          <w:tcPr>
            <w:tcW w:type="dxa" w:w="4200"/>
            <w:tcMar>
              <w:top w:type="dxa" w:w="100"/>
              <w:left w:type="dxa" w:w="120"/>
              <w:bottom w:type="dxa" w:w="100"/>
              <w:right w:type="dxa" w:w="120"/>
            </w:tcMar>
          </w:tcPr>
          <w:p>
            <w:r>
              <w:rPr>
                <w:b w:val="false"/>
                <w:bCs w:val="false"/>
                <w:color w:val="1E293B"/>
                <w:sz w:val="20"/>
                <w:szCs w:val="20"/>
              </w:rPr>
              <w:t xml:space="preserve">Zero-setup relational database; single file, portable</w:t>
            </w:r>
          </w:p>
        </w:tc>
      </w:tr>
      <w:tr>
        <w:tc>
          <w:tcPr>
            <w:tcW w:type="dxa" w:w="2200"/>
            <w:tcMar>
              <w:top w:type="dxa" w:w="100"/>
              <w:left w:type="dxa" w:w="120"/>
              <w:bottom w:type="dxa" w:w="100"/>
              <w:right w:type="dxa" w:w="120"/>
            </w:tcMar>
          </w:tcPr>
          <w:p>
            <w:r>
              <w:rPr>
                <w:b w:val="false"/>
                <w:bCs w:val="false"/>
                <w:color w:val="1E293B"/>
                <w:sz w:val="20"/>
                <w:szCs w:val="20"/>
              </w:rPr>
              <w:t xml:space="preserve">Auth</w:t>
            </w:r>
          </w:p>
        </w:tc>
        <w:tc>
          <w:tcPr>
            <w:tcW w:type="dxa" w:w="2900"/>
            <w:tcMar>
              <w:top w:type="dxa" w:w="100"/>
              <w:left w:type="dxa" w:w="120"/>
              <w:bottom w:type="dxa" w:w="100"/>
              <w:right w:type="dxa" w:w="120"/>
            </w:tcMar>
          </w:tcPr>
          <w:p>
            <w:r>
              <w:rPr>
                <w:b w:val="false"/>
                <w:bCs w:val="false"/>
                <w:color w:val="1E293B"/>
                <w:sz w:val="20"/>
                <w:szCs w:val="20"/>
              </w:rPr>
              <w:t xml:space="preserve">JWT + bcrypt</w:t>
            </w:r>
          </w:p>
        </w:tc>
        <w:tc>
          <w:tcPr>
            <w:tcW w:type="dxa" w:w="4200"/>
            <w:tcMar>
              <w:top w:type="dxa" w:w="100"/>
              <w:left w:type="dxa" w:w="120"/>
              <w:bottom w:type="dxa" w:w="100"/>
              <w:right w:type="dxa" w:w="120"/>
            </w:tcMar>
          </w:tcPr>
          <w:p>
            <w:r>
              <w:rPr>
                <w:b w:val="false"/>
                <w:bCs w:val="false"/>
                <w:color w:val="1E293B"/>
                <w:sz w:val="20"/>
                <w:szCs w:val="20"/>
              </w:rPr>
              <w:t xml:space="preserve">Stateless authentication; industry-standard password hashing</w:t>
            </w:r>
          </w:p>
        </w:tc>
      </w:tr>
      <w:tr>
        <w:tc>
          <w:tcPr>
            <w:tcW w:type="dxa" w:w="2200"/>
            <w:tcMar>
              <w:top w:type="dxa" w:w="100"/>
              <w:left w:type="dxa" w:w="120"/>
              <w:bottom w:type="dxa" w:w="100"/>
              <w:right w:type="dxa" w:w="120"/>
            </w:tcMar>
          </w:tcPr>
          <w:p>
            <w:r>
              <w:rPr>
                <w:b w:val="false"/>
                <w:bCs w:val="false"/>
                <w:color w:val="1E293B"/>
                <w:sz w:val="20"/>
                <w:szCs w:val="20"/>
              </w:rPr>
              <w:t xml:space="preserve">AI Provider</w:t>
            </w:r>
          </w:p>
        </w:tc>
        <w:tc>
          <w:tcPr>
            <w:tcW w:type="dxa" w:w="2900"/>
            <w:tcMar>
              <w:top w:type="dxa" w:w="100"/>
              <w:left w:type="dxa" w:w="120"/>
              <w:bottom w:type="dxa" w:w="100"/>
              <w:right w:type="dxa" w:w="120"/>
            </w:tcMar>
          </w:tcPr>
          <w:p>
            <w:r>
              <w:rPr>
                <w:b w:val="false"/>
                <w:bCs w:val="false"/>
                <w:color w:val="1E293B"/>
                <w:sz w:val="20"/>
                <w:szCs w:val="20"/>
              </w:rPr>
              <w:t xml:space="preserve">Groq API</w:t>
            </w:r>
          </w:p>
        </w:tc>
        <w:tc>
          <w:tcPr>
            <w:tcW w:type="dxa" w:w="4200"/>
            <w:tcMar>
              <w:top w:type="dxa" w:w="100"/>
              <w:left w:type="dxa" w:w="120"/>
              <w:bottom w:type="dxa" w:w="100"/>
              <w:right w:type="dxa" w:w="120"/>
            </w:tcMar>
          </w:tcPr>
          <w:p>
            <w:r>
              <w:rPr>
                <w:b w:val="false"/>
                <w:bCs w:val="false"/>
                <w:color w:val="1E293B"/>
                <w:sz w:val="20"/>
                <w:szCs w:val="20"/>
              </w:rPr>
              <w:t xml:space="preserve">Extremely fast inference (LPU hardware); OpenAI-compatible request shape</w:t>
            </w:r>
          </w:p>
        </w:tc>
      </w:tr>
      <w:tr>
        <w:tc>
          <w:tcPr>
            <w:tcW w:type="dxa" w:w="2200"/>
            <w:tcMar>
              <w:top w:type="dxa" w:w="100"/>
              <w:left w:type="dxa" w:w="120"/>
              <w:bottom w:type="dxa" w:w="100"/>
              <w:right w:type="dxa" w:w="120"/>
            </w:tcMar>
          </w:tcPr>
          <w:p>
            <w:r>
              <w:rPr>
                <w:b w:val="false"/>
                <w:bCs w:val="false"/>
                <w:color w:val="1E293B"/>
                <w:sz w:val="20"/>
                <w:szCs w:val="20"/>
              </w:rPr>
              <w:t xml:space="preserve">Charts</w:t>
            </w:r>
          </w:p>
        </w:tc>
        <w:tc>
          <w:tcPr>
            <w:tcW w:type="dxa" w:w="2900"/>
            <w:tcMar>
              <w:top w:type="dxa" w:w="100"/>
              <w:left w:type="dxa" w:w="120"/>
              <w:bottom w:type="dxa" w:w="100"/>
              <w:right w:type="dxa" w:w="120"/>
            </w:tcMar>
          </w:tcPr>
          <w:p>
            <w:r>
              <w:rPr>
                <w:b w:val="false"/>
                <w:bCs w:val="false"/>
                <w:color w:val="1E293B"/>
                <w:sz w:val="20"/>
                <w:szCs w:val="20"/>
              </w:rPr>
              <w:t xml:space="preserve">Chart.js</w:t>
            </w:r>
          </w:p>
        </w:tc>
        <w:tc>
          <w:tcPr>
            <w:tcW w:type="dxa" w:w="4200"/>
            <w:tcMar>
              <w:top w:type="dxa" w:w="100"/>
              <w:left w:type="dxa" w:w="120"/>
              <w:bottom w:type="dxa" w:w="100"/>
              <w:right w:type="dxa" w:w="120"/>
            </w:tcMar>
          </w:tcPr>
          <w:p>
            <w:r>
              <w:rPr>
                <w:b w:val="false"/>
                <w:bCs w:val="false"/>
                <w:color w:val="1E293B"/>
                <w:sz w:val="20"/>
                <w:szCs w:val="20"/>
              </w:rPr>
              <w:t xml:space="preserve">Lightweight, no-build-step charting for the Insights dashboard</w:t>
            </w:r>
          </w:p>
        </w:tc>
      </w:tr>
      <w:tr>
        <w:tc>
          <w:tcPr>
            <w:tcW w:type="dxa" w:w="2200"/>
            <w:tcMar>
              <w:top w:type="dxa" w:w="100"/>
              <w:left w:type="dxa" w:w="120"/>
              <w:bottom w:type="dxa" w:w="100"/>
              <w:right w:type="dxa" w:w="120"/>
            </w:tcMar>
          </w:tcPr>
          <w:p>
            <w:r>
              <w:rPr>
                <w:b w:val="false"/>
                <w:bCs w:val="false"/>
                <w:color w:val="1E293B"/>
                <w:sz w:val="20"/>
                <w:szCs w:val="20"/>
              </w:rPr>
              <w:t xml:space="preserve">Deployment</w:t>
            </w:r>
          </w:p>
        </w:tc>
        <w:tc>
          <w:tcPr>
            <w:tcW w:type="dxa" w:w="2900"/>
            <w:tcMar>
              <w:top w:type="dxa" w:w="100"/>
              <w:left w:type="dxa" w:w="120"/>
              <w:bottom w:type="dxa" w:w="100"/>
              <w:right w:type="dxa" w:w="120"/>
            </w:tcMar>
          </w:tcPr>
          <w:p>
            <w:r>
              <w:rPr>
                <w:b w:val="false"/>
                <w:bCs w:val="false"/>
                <w:color w:val="1E293B"/>
                <w:sz w:val="20"/>
                <w:szCs w:val="20"/>
              </w:rPr>
              <w:t xml:space="preserve">Render</w:t>
            </w:r>
          </w:p>
        </w:tc>
        <w:tc>
          <w:tcPr>
            <w:tcW w:type="dxa" w:w="4200"/>
            <w:tcMar>
              <w:top w:type="dxa" w:w="100"/>
              <w:left w:type="dxa" w:w="120"/>
              <w:bottom w:type="dxa" w:w="100"/>
              <w:right w:type="dxa" w:w="120"/>
            </w:tcMar>
          </w:tcPr>
          <w:p>
            <w:r>
              <w:rPr>
                <w:b w:val="false"/>
                <w:bCs w:val="false"/>
                <w:color w:val="1E293B"/>
                <w:sz w:val="20"/>
                <w:szCs w:val="20"/>
              </w:rPr>
              <w:t xml:space="preserve">Free-tier hosting for both static frontend and Python backend</w:t>
            </w:r>
          </w:p>
        </w:tc>
      </w:tr>
    </w:tbl>
    <w:p>
      <w:r>
        <w:br w:type="page"/>
      </w:r>
    </w:p>
    <w:p>
      <w:pPr>
        <w:pStyle w:val="Heading1"/>
        <w:spacing w:after="160" w:before="320"/>
      </w:pPr>
      <w:r>
        <w:rPr>
          <w:b/>
          <w:bCs/>
          <w:color w:val="151B2F"/>
          <w:sz w:val="30"/>
          <w:szCs w:val="30"/>
        </w:rPr>
        <w:t xml:space="preserve">5. Development Process</w:t>
      </w:r>
    </w:p>
    <w:p>
      <w:pPr>
        <w:spacing w:after="160" w:line="300"/>
      </w:pPr>
      <w:r>
        <w:rPr>
          <w:i w:val="false"/>
          <w:iCs w:val="false"/>
          <w:color w:val="1E293B"/>
          <w:sz w:val="22"/>
          <w:szCs w:val="22"/>
        </w:rPr>
        <w:t xml:space="preserve">Development was organized into six sequential milestones, each ending in a working, testable increment of the product rather than a disconnected piece of scaffolding. This incremental approach meant the application was demoable at every stage of the build, and each milestone's data model was designed to directly support the milestones that would follow it — for example, token and latency counts were logged starting from the very first execution feature, specifically so that cost tracking and analytics in a later milestone would be a query against existing data rather than a re-engineering effort.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EEF2FF" w:color="auto" w:val="clear"/>
            <w:tcMar>
              <w:top w:type="dxa" w:w="100"/>
              <w:left w:type="dxa" w:w="120"/>
              <w:bottom w:type="dxa" w:w="100"/>
              <w:right w:type="dxa" w:w="120"/>
            </w:tcMar>
          </w:tcPr>
          <w:p>
            <w:r>
              <w:rPr>
                <w:b/>
                <w:bCs/>
                <w:color w:val="5E8BFF"/>
                <w:sz w:val="20"/>
                <w:szCs w:val="20"/>
              </w:rPr>
              <w:t xml:space="preserve">Milestone</w:t>
            </w:r>
          </w:p>
        </w:tc>
        <w:tc>
          <w:tcPr>
            <w:tcW w:type="dxa" w:w="7700"/>
            <w:shd w:fill="EEF2FF" w:color="auto" w:val="clear"/>
            <w:tcMar>
              <w:top w:type="dxa" w:w="100"/>
              <w:left w:type="dxa" w:w="120"/>
              <w:bottom w:type="dxa" w:w="100"/>
              <w:right w:type="dxa" w:w="120"/>
            </w:tcMar>
          </w:tcPr>
          <w:p>
            <w:r>
              <w:rPr>
                <w:b/>
                <w:bCs/>
                <w:color w:val="5E8BFF"/>
                <w:sz w:val="20"/>
                <w:szCs w:val="20"/>
              </w:rPr>
              <w:t xml:space="preserve">Focus</w:t>
            </w:r>
          </w:p>
        </w:tc>
      </w:tr>
      <w:tr>
        <w:tc>
          <w:tcPr>
            <w:tcW w:type="dxa" w:w="1600"/>
            <w:tcMar>
              <w:top w:type="dxa" w:w="100"/>
              <w:left w:type="dxa" w:w="120"/>
              <w:bottom w:type="dxa" w:w="100"/>
              <w:right w:type="dxa" w:w="120"/>
            </w:tcMar>
          </w:tcPr>
          <w:p>
            <w:r>
              <w:rPr>
                <w:b w:val="false"/>
                <w:bCs w:val="false"/>
                <w:color w:val="1E293B"/>
                <w:sz w:val="20"/>
                <w:szCs w:val="20"/>
              </w:rPr>
              <w:t xml:space="preserve">1</w:t>
            </w:r>
          </w:p>
        </w:tc>
        <w:tc>
          <w:tcPr>
            <w:tcW w:type="dxa" w:w="7700"/>
            <w:tcMar>
              <w:top w:type="dxa" w:w="100"/>
              <w:left w:type="dxa" w:w="120"/>
              <w:bottom w:type="dxa" w:w="100"/>
              <w:right w:type="dxa" w:w="120"/>
            </w:tcMar>
          </w:tcPr>
          <w:p>
            <w:r>
              <w:rPr>
                <w:b w:val="false"/>
                <w:bCs w:val="false"/>
                <w:color w:val="1E293B"/>
                <w:sz w:val="20"/>
                <w:szCs w:val="20"/>
              </w:rPr>
              <w:t xml:space="preserve">Project planning, folder structure, frontend layout, backend setup</w:t>
            </w:r>
          </w:p>
        </w:tc>
      </w:tr>
      <w:tr>
        <w:tc>
          <w:tcPr>
            <w:tcW w:type="dxa" w:w="1600"/>
            <w:tcMar>
              <w:top w:type="dxa" w:w="100"/>
              <w:left w:type="dxa" w:w="120"/>
              <w:bottom w:type="dxa" w:w="100"/>
              <w:right w:type="dxa" w:w="120"/>
            </w:tcMar>
          </w:tcPr>
          <w:p>
            <w:r>
              <w:rPr>
                <w:b w:val="false"/>
                <w:bCs w:val="false"/>
                <w:color w:val="1E293B"/>
                <w:sz w:val="20"/>
                <w:szCs w:val="20"/>
              </w:rPr>
              <w:t xml:space="preserve">2</w:t>
            </w:r>
          </w:p>
        </w:tc>
        <w:tc>
          <w:tcPr>
            <w:tcW w:type="dxa" w:w="7700"/>
            <w:tcMar>
              <w:top w:type="dxa" w:w="100"/>
              <w:left w:type="dxa" w:w="120"/>
              <w:bottom w:type="dxa" w:w="100"/>
              <w:right w:type="dxa" w:w="120"/>
            </w:tcMar>
          </w:tcPr>
          <w:p>
            <w:r>
              <w:rPr>
                <w:b w:val="false"/>
                <w:bCs w:val="false"/>
                <w:color w:val="1E293B"/>
                <w:sz w:val="20"/>
                <w:szCs w:val="20"/>
              </w:rPr>
              <w:t xml:space="preserve">Authentication, database schema, Prompt Library, Prompt CRUD</w:t>
            </w:r>
          </w:p>
        </w:tc>
      </w:tr>
      <w:tr>
        <w:tc>
          <w:tcPr>
            <w:tcW w:type="dxa" w:w="1600"/>
            <w:tcMar>
              <w:top w:type="dxa" w:w="100"/>
              <w:left w:type="dxa" w:w="120"/>
              <w:bottom w:type="dxa" w:w="100"/>
              <w:right w:type="dxa" w:w="120"/>
            </w:tcMar>
          </w:tcPr>
          <w:p>
            <w:r>
              <w:rPr>
                <w:b w:val="false"/>
                <w:bCs w:val="false"/>
                <w:color w:val="1E293B"/>
                <w:sz w:val="20"/>
                <w:szCs w:val="20"/>
              </w:rPr>
              <w:t xml:space="preserve">3</w:t>
            </w:r>
          </w:p>
        </w:tc>
        <w:tc>
          <w:tcPr>
            <w:tcW w:type="dxa" w:w="7700"/>
            <w:tcMar>
              <w:top w:type="dxa" w:w="100"/>
              <w:left w:type="dxa" w:w="120"/>
              <w:bottom w:type="dxa" w:w="100"/>
              <w:right w:type="dxa" w:w="120"/>
            </w:tcMar>
          </w:tcPr>
          <w:p>
            <w:r>
              <w:rPr>
                <w:b w:val="false"/>
                <w:bCs w:val="false"/>
                <w:color w:val="1E293B"/>
                <w:sz w:val="20"/>
                <w:szCs w:val="20"/>
              </w:rPr>
              <w:t xml:space="preserve">Prompt testing, Groq integration, execution, execution history</w:t>
            </w:r>
          </w:p>
        </w:tc>
      </w:tr>
      <w:tr>
        <w:tc>
          <w:tcPr>
            <w:tcW w:type="dxa" w:w="1600"/>
            <w:tcMar>
              <w:top w:type="dxa" w:w="100"/>
              <w:left w:type="dxa" w:w="120"/>
              <w:bottom w:type="dxa" w:w="100"/>
              <w:right w:type="dxa" w:w="120"/>
            </w:tcMar>
          </w:tcPr>
          <w:p>
            <w:r>
              <w:rPr>
                <w:b w:val="false"/>
                <w:bCs w:val="false"/>
                <w:color w:val="1E293B"/>
                <w:sz w:val="20"/>
                <w:szCs w:val="20"/>
              </w:rPr>
              <w:t xml:space="preserve">4</w:t>
            </w:r>
          </w:p>
        </w:tc>
        <w:tc>
          <w:tcPr>
            <w:tcW w:type="dxa" w:w="7700"/>
            <w:tcMar>
              <w:top w:type="dxa" w:w="100"/>
              <w:left w:type="dxa" w:w="120"/>
              <w:bottom w:type="dxa" w:w="100"/>
              <w:right w:type="dxa" w:w="120"/>
            </w:tcMar>
          </w:tcPr>
          <w:p>
            <w:r>
              <w:rPr>
                <w:b w:val="false"/>
                <w:bCs w:val="false"/>
                <w:color w:val="1E293B"/>
                <w:sz w:val="20"/>
                <w:szCs w:val="20"/>
              </w:rPr>
              <w:t xml:space="preserve">Version control, A/B testing, prompt comparison, per-prompt analytics</w:t>
            </w:r>
          </w:p>
        </w:tc>
      </w:tr>
      <w:tr>
        <w:tc>
          <w:tcPr>
            <w:tcW w:type="dxa" w:w="1600"/>
            <w:tcMar>
              <w:top w:type="dxa" w:w="100"/>
              <w:left w:type="dxa" w:w="120"/>
              <w:bottom w:type="dxa" w:w="100"/>
              <w:right w:type="dxa" w:w="120"/>
            </w:tcMar>
          </w:tcPr>
          <w:p>
            <w:r>
              <w:rPr>
                <w:b w:val="false"/>
                <w:bCs w:val="false"/>
                <w:color w:val="1E293B"/>
                <w:sz w:val="20"/>
                <w:szCs w:val="20"/>
              </w:rPr>
              <w:t xml:space="preserve">5</w:t>
            </w:r>
          </w:p>
        </w:tc>
        <w:tc>
          <w:tcPr>
            <w:tcW w:type="dxa" w:w="7700"/>
            <w:tcMar>
              <w:top w:type="dxa" w:w="100"/>
              <w:left w:type="dxa" w:w="120"/>
              <w:bottom w:type="dxa" w:w="100"/>
              <w:right w:type="dxa" w:w="120"/>
            </w:tcMar>
          </w:tcPr>
          <w:p>
            <w:r>
              <w:rPr>
                <w:b w:val="false"/>
                <w:bCs w:val="false"/>
                <w:color w:val="1E293B"/>
                <w:sz w:val="20"/>
                <w:szCs w:val="20"/>
              </w:rPr>
              <w:t xml:space="preserve">Cost tracking, global Insights dashboard with charts, UI polish, deployment prep</w:t>
            </w:r>
          </w:p>
        </w:tc>
      </w:tr>
      <w:tr>
        <w:tc>
          <w:tcPr>
            <w:tcW w:type="dxa" w:w="1600"/>
            <w:tcMar>
              <w:top w:type="dxa" w:w="100"/>
              <w:left w:type="dxa" w:w="120"/>
              <w:bottom w:type="dxa" w:w="100"/>
              <w:right w:type="dxa" w:w="120"/>
            </w:tcMar>
          </w:tcPr>
          <w:p>
            <w:r>
              <w:rPr>
                <w:b w:val="false"/>
                <w:bCs w:val="false"/>
                <w:color w:val="1E293B"/>
                <w:sz w:val="20"/>
                <w:szCs w:val="20"/>
              </w:rPr>
              <w:t xml:space="preserve">6</w:t>
            </w:r>
          </w:p>
        </w:tc>
        <w:tc>
          <w:tcPr>
            <w:tcW w:type="dxa" w:w="7700"/>
            <w:tcMar>
              <w:top w:type="dxa" w:w="100"/>
              <w:left w:type="dxa" w:w="120"/>
              <w:bottom w:type="dxa" w:w="100"/>
              <w:right w:type="dxa" w:w="120"/>
            </w:tcMar>
          </w:tcPr>
          <w:p>
            <w:r>
              <w:rPr>
                <w:b w:val="false"/>
                <w:bCs w:val="false"/>
                <w:color w:val="1E293B"/>
                <w:sz w:val="20"/>
                <w:szCs w:val="20"/>
              </w:rPr>
              <w:t xml:space="preserve">Automated testing, security hardening, documentation, deployment, final review</w:t>
            </w:r>
          </w:p>
        </w:tc>
      </w:tr>
    </w:tbl>
    <w:p>
      <w:pPr>
        <w:pStyle w:val="Heading1"/>
        <w:spacing w:after="160" w:before="320"/>
      </w:pPr>
      <w:r>
        <w:rPr>
          <w:b/>
          <w:bCs/>
          <w:color w:val="151B2F"/>
          <w:sz w:val="30"/>
          <w:szCs w:val="30"/>
        </w:rPr>
        <w:t xml:space="preserve">6. Key Features</w:t>
      </w:r>
    </w:p>
    <w:p>
      <w:pPr>
        <w:pStyle w:val="Heading2"/>
        <w:spacing w:after="120" w:before="240"/>
      </w:pPr>
      <w:r>
        <w:rPr>
          <w:b/>
          <w:bCs/>
          <w:color w:val="5E8BFF"/>
          <w:sz w:val="24"/>
          <w:szCs w:val="24"/>
        </w:rPr>
        <w:t xml:space="preserve">6.1 Authentication</w:t>
      </w:r>
    </w:p>
    <w:p>
      <w:pPr>
        <w:spacing w:after="160" w:line="300"/>
      </w:pPr>
      <w:r>
        <w:rPr>
          <w:i w:val="false"/>
          <w:iCs w:val="false"/>
          <w:color w:val="1E293B"/>
          <w:sz w:val="22"/>
          <w:szCs w:val="22"/>
        </w:rPr>
        <w:t xml:space="preserve">Signup and login endpoints issue JWTs; passwords are hashed with bcrypt and never stored in plaintext.</w:t>
      </w:r>
    </w:p>
    <w:p>
      <w:pPr>
        <w:pStyle w:val="Heading2"/>
        <w:spacing w:after="120" w:before="240"/>
      </w:pPr>
      <w:r>
        <w:rPr>
          <w:b/>
          <w:bCs/>
          <w:color w:val="5E8BFF"/>
          <w:sz w:val="24"/>
          <w:szCs w:val="24"/>
        </w:rPr>
        <w:t xml:space="preserve">6.2 Prompt Library</w:t>
      </w:r>
    </w:p>
    <w:p>
      <w:pPr>
        <w:spacing w:after="160" w:line="300"/>
      </w:pPr>
      <w:r>
        <w:rPr>
          <w:i w:val="false"/>
          <w:iCs w:val="false"/>
          <w:color w:val="1E293B"/>
          <w:sz w:val="22"/>
          <w:szCs w:val="22"/>
        </w:rPr>
        <w:t xml:space="preserve">Full create, read, update, and delete support for prompts, organized by user-defined category, with ownership strictly enforced at the database query level.</w:t>
      </w:r>
    </w:p>
    <w:p>
      <w:pPr>
        <w:pStyle w:val="Heading2"/>
        <w:spacing w:after="120" w:before="240"/>
      </w:pPr>
      <w:r>
        <w:rPr>
          <w:b/>
          <w:bCs/>
          <w:color w:val="5E8BFF"/>
          <w:sz w:val="24"/>
          <w:szCs w:val="24"/>
        </w:rPr>
        <w:t xml:space="preserve">6.3 Prompt Testing</w:t>
      </w:r>
    </w:p>
    <w:p>
      <w:pPr>
        <w:spacing w:after="160" w:line="300"/>
      </w:pPr>
      <w:r>
        <w:rPr>
          <w:i w:val="false"/>
          <w:iCs w:val="false"/>
          <w:color w:val="1E293B"/>
          <w:sz w:val="22"/>
          <w:szCs w:val="22"/>
        </w:rPr>
        <w:t xml:space="preserve">Any saved prompt can be executed against Groq's LLM API with a custom test input. Each execution logs the response, token counts, and latency, and is retrievable later as execution history.</w:t>
      </w:r>
    </w:p>
    <w:p>
      <w:pPr>
        <w:pStyle w:val="Heading2"/>
        <w:spacing w:after="120" w:before="240"/>
      </w:pPr>
      <w:r>
        <w:rPr>
          <w:b/>
          <w:bCs/>
          <w:color w:val="5E8BFF"/>
          <w:sz w:val="24"/>
          <w:szCs w:val="24"/>
        </w:rPr>
        <w:t xml:space="preserve">6.4 Version Control</w:t>
      </w:r>
    </w:p>
    <w:p>
      <w:pPr>
        <w:spacing w:after="160" w:line="300"/>
      </w:pPr>
      <w:r>
        <w:rPr>
          <w:i w:val="false"/>
          <w:iCs w:val="false"/>
          <w:color w:val="1E293B"/>
          <w:sz w:val="22"/>
          <w:szCs w:val="22"/>
        </w:rPr>
        <w:t xml:space="preserve">Prompts can be snapshotted as immutable versions with an optional note, and reverted to at any time — a lightweight, snapshot-based analogue to source control, scoped to a single prompt's evolving content.</w:t>
      </w:r>
    </w:p>
    <w:p>
      <w:pPr>
        <w:pStyle w:val="Heading2"/>
        <w:spacing w:after="120" w:before="240"/>
      </w:pPr>
      <w:r>
        <w:rPr>
          <w:b/>
          <w:bCs/>
          <w:color w:val="5E8BFF"/>
          <w:sz w:val="24"/>
          <w:szCs w:val="24"/>
        </w:rPr>
        <w:t xml:space="preserve">6.5 A/B Testing</w:t>
      </w:r>
    </w:p>
    <w:p>
      <w:pPr>
        <w:spacing w:after="160" w:line="300"/>
      </w:pPr>
      <w:r>
        <w:rPr>
          <w:i w:val="false"/>
          <w:iCs w:val="false"/>
          <w:color w:val="1E293B"/>
          <w:sz w:val="22"/>
          <w:szCs w:val="22"/>
        </w:rPr>
        <w:t xml:space="preserve">Two prompt versions can be run against the same test input concurrently (using asyncio.gather), producing a fair, side-by-side comparison in roughly the time of a single API call rather than two.</w:t>
      </w:r>
    </w:p>
    <w:p>
      <w:pPr>
        <w:pStyle w:val="Heading2"/>
        <w:spacing w:after="120" w:before="240"/>
      </w:pPr>
      <w:r>
        <w:rPr>
          <w:b/>
          <w:bCs/>
          <w:color w:val="5E8BFF"/>
          <w:sz w:val="24"/>
          <w:szCs w:val="24"/>
        </w:rPr>
        <w:t xml:space="preserve">6.6 Analytics &amp; Cost Tracking</w:t>
      </w:r>
    </w:p>
    <w:p>
      <w:pPr>
        <w:spacing w:after="160" w:line="300"/>
      </w:pPr>
      <w:r>
        <w:rPr>
          <w:i w:val="false"/>
          <w:iCs w:val="false"/>
          <w:color w:val="1E293B"/>
          <w:sz w:val="22"/>
          <w:szCs w:val="22"/>
        </w:rPr>
        <w:t xml:space="preserve">Per-prompt statistics (run count, average tokens, average latency) and a global Insights dashboard — total spend, tokens, and prompts, plus cost-over-time and category-usage charts rendered with Chart.js — give the user a complete quantitative picture of their prompt engineering activity.</w:t>
      </w:r>
    </w:p>
    <w:p>
      <w:pPr>
        <w:pStyle w:val="Heading1"/>
        <w:spacing w:after="160" w:before="320"/>
      </w:pPr>
      <w:r>
        <w:rPr>
          <w:b/>
          <w:bCs/>
          <w:color w:val="151B2F"/>
          <w:sz w:val="30"/>
          <w:szCs w:val="30"/>
        </w:rPr>
        <w:t xml:space="preserve">7. Security Considerations</w:t>
      </w:r>
    </w:p>
    <w:p>
      <w:pPr>
        <w:pStyle w:val="ListParagraph"/>
        <w:numPr>
          <w:ilvl w:val="0"/>
          <w:numId w:val="1"/>
        </w:numPr>
        <w:spacing w:after="80" w:line="280"/>
      </w:pPr>
      <w:r>
        <w:rPr>
          <w:color w:val="1E293B"/>
          <w:sz w:val="22"/>
          <w:szCs w:val="22"/>
        </w:rPr>
        <w:t xml:space="preserve">Passwords are hashed with bcrypt; plaintext passwords are never persisted.</w:t>
      </w:r>
    </w:p>
    <w:p>
      <w:pPr>
        <w:pStyle w:val="ListParagraph"/>
        <w:numPr>
          <w:ilvl w:val="0"/>
          <w:numId w:val="1"/>
        </w:numPr>
        <w:spacing w:after="80" w:line="280"/>
      </w:pPr>
      <w:r>
        <w:rPr>
          <w:color w:val="1E293B"/>
          <w:sz w:val="22"/>
          <w:szCs w:val="22"/>
        </w:rPr>
        <w:t xml:space="preserve">JWT signing secrets and the Groq API key are loaded from environment variables, never hardcoded in source.</w:t>
      </w:r>
    </w:p>
    <w:p>
      <w:pPr>
        <w:pStyle w:val="ListParagraph"/>
        <w:numPr>
          <w:ilvl w:val="0"/>
          <w:numId w:val="1"/>
        </w:numPr>
        <w:spacing w:after="80" w:line="280"/>
      </w:pPr>
      <w:r>
        <w:rPr>
          <w:color w:val="1E293B"/>
          <w:sz w:val="22"/>
          <w:szCs w:val="22"/>
        </w:rPr>
        <w:t xml:space="preserve">Every prompt-scoped endpoint verifies resource ownership before returning data; unauthorized or nonexistent resources both return an identical 404, preventing user enumeration.</w:t>
      </w:r>
    </w:p>
    <w:p>
      <w:pPr>
        <w:pStyle w:val="ListParagraph"/>
        <w:numPr>
          <w:ilvl w:val="0"/>
          <w:numId w:val="1"/>
        </w:numPr>
        <w:spacing w:after="80" w:line="280"/>
      </w:pPr>
      <w:r>
        <w:rPr>
          <w:color w:val="1E293B"/>
          <w:sz w:val="22"/>
          <w:szCs w:val="22"/>
        </w:rPr>
        <w:t xml:space="preserve">CORS is restricted to the deployed frontend's exact origin in production, rather than left wildcarded.</w:t>
      </w:r>
    </w:p>
    <w:p>
      <w:pPr>
        <w:pStyle w:val="ListParagraph"/>
        <w:numPr>
          <w:ilvl w:val="0"/>
          <w:numId w:val="1"/>
        </w:numPr>
        <w:spacing w:after="80" w:line="280"/>
      </w:pPr>
      <w:r>
        <w:rPr>
          <w:color w:val="1E293B"/>
          <w:sz w:val="22"/>
          <w:szCs w:val="22"/>
        </w:rPr>
        <w:t xml:space="preserve">The server fails fast at startup if required secrets are missing, rather than running in a silently insecure state.</w:t>
      </w:r>
    </w:p>
    <w:p>
      <w:pPr>
        <w:pStyle w:val="Heading1"/>
        <w:spacing w:after="160" w:before="320"/>
      </w:pPr>
      <w:r>
        <w:rPr>
          <w:b/>
          <w:bCs/>
          <w:color w:val="151B2F"/>
          <w:sz w:val="30"/>
          <w:szCs w:val="30"/>
        </w:rPr>
        <w:t xml:space="preserve">8. Testing</w:t>
      </w:r>
    </w:p>
    <w:p>
      <w:pPr>
        <w:spacing w:after="160" w:line="300"/>
      </w:pPr>
      <w:r>
        <w:rPr>
          <w:i w:val="false"/>
          <w:iCs w:val="false"/>
          <w:color w:val="1E293B"/>
          <w:sz w:val="22"/>
          <w:szCs w:val="22"/>
        </w:rPr>
        <w:t xml:space="preserve">A pytest-based automated suite (16 tests) exercises the highest-risk paths of the application: authentication, prompt CRUD, input validation, and — most importantly — ownership isolation, verifying that one user's prompts are completely inaccessible to another user even when the exact resource ID is known. Tests run against an isolated SQLite database that is wiped before every test function, ensuring deterministic, repeatable results independent of any real development data. All 16 tests pass. Full test case documentation is provided in TEST_CASES.md.</w:t>
      </w:r>
    </w:p>
    <w:p>
      <w:pPr>
        <w:pStyle w:val="Heading1"/>
        <w:spacing w:after="160" w:before="320"/>
      </w:pPr>
      <w:r>
        <w:rPr>
          <w:b/>
          <w:bCs/>
          <w:color w:val="151B2F"/>
          <w:sz w:val="30"/>
          <w:szCs w:val="30"/>
        </w:rPr>
        <w:t xml:space="preserve">9. Challenges &amp; Learnings</w:t>
      </w:r>
    </w:p>
    <w:p>
      <w:pPr>
        <w:pStyle w:val="ListParagraph"/>
        <w:numPr>
          <w:ilvl w:val="0"/>
          <w:numId w:val="1"/>
        </w:numPr>
        <w:spacing w:after="80" w:line="280"/>
      </w:pPr>
      <w:r>
        <w:rPr>
          <w:color w:val="1E293B"/>
          <w:sz w:val="22"/>
          <w:szCs w:val="22"/>
        </w:rPr>
        <w:t xml:space="preserve">Designing the data model to anticipate future milestones (e.g., logging token/latency data early) avoided rework later and reinforced the value of thinking ahead during schema design.</w:t>
      </w:r>
    </w:p>
    <w:p>
      <w:pPr>
        <w:pStyle w:val="ListParagraph"/>
        <w:numPr>
          <w:ilvl w:val="0"/>
          <w:numId w:val="1"/>
        </w:numPr>
        <w:spacing w:after="80" w:line="280"/>
      </w:pPr>
      <w:r>
        <w:rPr>
          <w:color w:val="1E293B"/>
          <w:sz w:val="22"/>
          <w:szCs w:val="22"/>
        </w:rPr>
        <w:t xml:space="preserve">Balancing async performance (concurrent A/B test calls) against code simplicity required deliberately choosing asyncio.gather over a more complex task-queue approach that the project's scale didn't justify.</w:t>
      </w:r>
    </w:p>
    <w:p>
      <w:pPr>
        <w:pStyle w:val="ListParagraph"/>
        <w:numPr>
          <w:ilvl w:val="0"/>
          <w:numId w:val="1"/>
        </w:numPr>
        <w:spacing w:after="80" w:line="280"/>
      </w:pPr>
      <w:r>
        <w:rPr>
          <w:color w:val="1E293B"/>
          <w:sz w:val="22"/>
          <w:szCs w:val="22"/>
        </w:rPr>
        <w:t xml:space="preserve">Environment-dependent library version mismatches (e.g., bcrypt/passlib compatibility) were a reminder that pinning exact dependency versions is essential for reproducible builds.</w:t>
      </w:r>
    </w:p>
    <w:p>
      <w:pPr>
        <w:pStyle w:val="ListParagraph"/>
        <w:numPr>
          <w:ilvl w:val="0"/>
          <w:numId w:val="1"/>
        </w:numPr>
        <w:spacing w:after="80" w:line="280"/>
      </w:pPr>
      <w:r>
        <w:rPr>
          <w:color w:val="1E293B"/>
          <w:sz w:val="22"/>
          <w:szCs w:val="22"/>
        </w:rPr>
        <w:t xml:space="preserve">Structuring the backend into single-responsibility modules (auth, prompts, execution, versions, ab_testing, analytics) made the codebase easy to extend without cross-file side effects.</w:t>
      </w:r>
    </w:p>
    <w:p>
      <w:pPr>
        <w:pStyle w:val="Heading1"/>
        <w:spacing w:after="160" w:before="320"/>
      </w:pPr>
      <w:r>
        <w:rPr>
          <w:b/>
          <w:bCs/>
          <w:color w:val="151B2F"/>
          <w:sz w:val="30"/>
          <w:szCs w:val="30"/>
        </w:rPr>
        <w:t xml:space="preserve">10. Conclusion</w:t>
      </w:r>
    </w:p>
    <w:p>
      <w:pPr>
        <w:spacing w:after="160" w:line="300"/>
      </w:pPr>
      <w:r>
        <w:rPr>
          <w:i w:val="false"/>
          <w:iCs w:val="false"/>
          <w:color w:val="1E293B"/>
          <w:sz w:val="22"/>
          <w:szCs w:val="22"/>
        </w:rPr>
        <w:t xml:space="preserve">Alteris successfully demonstrates the full lifecycle of prompt engineering — from authoring and testing to versioning, controlled comparison, and cost-aware analytics — within a clean, secure, and genuinely polished SaaS-style application. The project satisfies every curriculum requirement while remaining deliberately simple beneath its premium interface: no unnecessary frameworks, no overengineering, and a codebase a future developer (or the team itself) could pick back up and extend with minimal ramp-up time.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826fb4e694f096e44563847de0a2f7891992d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2026-07-24T04:48:01.172Z</dcterms:created>
  <dcterms:modified xsi:type="dcterms:W3CDTF">2026-07-24T04:48:01.184Z</dcterms:modified>
</cp:coreProperties>
</file>

<file path=docProps/custom.xml><?xml version="1.0" encoding="utf-8"?>
<Properties xmlns="http://schemas.openxmlformats.org/officeDocument/2006/custom-properties" xmlns:vt="http://schemas.openxmlformats.org/officeDocument/2006/docPropsVTypes"/>
</file>