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ETL Pipeline Comprehensive Test Document</w:t>
      </w:r>
    </w:p>
    <w:p>
      <w:r>
        <w:t xml:space="preserve">This document serves as a comprehensive test case for the ETL pipeline's </w:t>
      </w:r>
      <w:r>
        <w:rPr>
          <w:b/>
        </w:rPr>
        <w:t>enhanced DOCX handler</w:t>
      </w:r>
      <w:r>
        <w:t xml:space="preserve">. It contains various document elements to validate structure preservation, </w:t>
      </w:r>
      <w:r>
        <w:rPr>
          <w:i/>
        </w:rPr>
        <w:t>content extraction</w:t>
      </w:r>
      <w:r>
        <w:t>, and metadata generation capabilities.</w:t>
      </w:r>
    </w:p>
    <w:p>
      <w:pPr>
        <w:pStyle w:val="Heading2"/>
      </w:pPr>
      <w:r>
        <w:t>1. Document Structure Testing</w:t>
      </w:r>
    </w:p>
    <w:p>
      <w:r>
        <w:t>This section validates the handler's ability to preserve hierarchical document structure. The enhanced DOCX handler should correctly identify heading levels, maintain content organization, and generate appropriate metadata for each section.</w:t>
      </w:r>
    </w:p>
    <w:p>
      <w:pPr>
        <w:pStyle w:val="Heading3"/>
      </w:pPr>
      <w:r>
        <w:t>1.1 Nested Heading Structure</w:t>
      </w:r>
    </w:p>
    <w:p>
      <w:r>
        <w:t>This subsection tests nested heading recognition and hierarchical content organization.</w:t>
      </w:r>
    </w:p>
    <w:p>
      <w:pPr>
        <w:pStyle w:val="Heading3"/>
      </w:pPr>
      <w:r>
        <w:t>1.2 Content Types</w:t>
      </w:r>
    </w:p>
    <w:p>
      <w:r>
        <w:t>The following content types should be properly identified and processed:</w:t>
      </w:r>
    </w:p>
    <w:p>
      <w:pPr>
        <w:pStyle w:val="ListBullet"/>
      </w:pPr>
      <w:r>
        <w:t>Text Processing Features:</w:t>
      </w:r>
    </w:p>
    <w:p>
      <w:pPr>
        <w:pStyle w:val="ListBullet"/>
      </w:pPr>
      <w:r>
        <w:t>Structure preservation with heading hierarchy</w:t>
      </w:r>
    </w:p>
    <w:p>
      <w:pPr>
        <w:pStyle w:val="ListBullet"/>
      </w:pPr>
      <w:r>
        <w:t>Rich content extraction including formatting</w:t>
      </w:r>
    </w:p>
    <w:p>
      <w:pPr>
        <w:pStyle w:val="ListBullet"/>
      </w:pPr>
      <w:r>
        <w:t>Table data extraction and organization</w:t>
      </w:r>
    </w:p>
    <w:p>
      <w:pPr>
        <w:pStyle w:val="ListBullet"/>
      </w:pPr>
      <w:r>
        <w:t>List item identification and grouping</w:t>
      </w:r>
    </w:p>
    <w:p>
      <w:pPr>
        <w:pStyle w:val="Heading2"/>
      </w:pPr>
      <w:r>
        <w:t>2. Content Formatting and Styles</w:t>
      </w:r>
    </w:p>
    <w:p>
      <w:r>
        <w:t xml:space="preserve">This paragraph demonstrates various </w:t>
      </w:r>
      <w:r>
        <w:rPr>
          <w:b/>
        </w:rPr>
        <w:t>text formatting</w:t>
      </w:r>
      <w:r>
        <w:t xml:space="preserve"> options including </w:t>
      </w:r>
      <w:r>
        <w:rPr>
          <w:b/>
        </w:rPr>
        <w:t>bold text</w:t>
      </w:r>
      <w:r>
        <w:t xml:space="preserve">, </w:t>
      </w:r>
      <w:r>
        <w:rPr>
          <w:i/>
        </w:rPr>
        <w:t>italic text</w:t>
      </w:r>
      <w:r>
        <w:t xml:space="preserve">, and </w:t>
      </w:r>
      <w:r>
        <w:rPr>
          <w:u w:val="single"/>
        </w:rPr>
        <w:t>underlined content</w:t>
      </w:r>
      <w:r>
        <w:t>. The handler should extract content while noting formatting metadata.</w:t>
      </w:r>
    </w:p>
    <w:p>
      <w:pPr>
        <w:pStyle w:val="ListNumber"/>
      </w:pPr>
      <w:r>
        <w:t>Processing Steps:</w:t>
      </w:r>
    </w:p>
    <w:p>
      <w:pPr>
        <w:pStyle w:val="ListNumber"/>
      </w:pPr>
      <w:r>
        <w:t>Load document and parse structure</w:t>
      </w:r>
    </w:p>
    <w:p>
      <w:pPr>
        <w:pStyle w:val="ListNumber"/>
      </w:pPr>
      <w:r>
        <w:t>Extract content from each element</w:t>
      </w:r>
    </w:p>
    <w:p>
      <w:pPr>
        <w:pStyle w:val="ListNumber"/>
      </w:pPr>
      <w:r>
        <w:t>Generate metadata for content types</w:t>
      </w:r>
    </w:p>
    <w:p>
      <w:pPr>
        <w:pStyle w:val="ListNumber"/>
      </w:pPr>
      <w:r>
        <w:t>Create structured output with regions</w:t>
      </w:r>
    </w:p>
    <w:p>
      <w:pPr>
        <w:pStyle w:val="ListNumber"/>
      </w:pPr>
      <w:r>
        <w:t>Validate extraction accuracy and completeness</w:t>
      </w:r>
    </w:p>
    <w:p>
      <w:pPr>
        <w:pStyle w:val="Heading2"/>
      </w:pPr>
      <w:r>
        <w:t>3. Table Data Extraction</w:t>
      </w:r>
    </w:p>
    <w:p>
      <w:r>
        <w:t>The following table tests the handler's ability to extract tabular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Type</w:t>
            </w:r>
          </w:p>
        </w:tc>
        <w:tc>
          <w:tcPr>
            <w:tcW w:type="dxa" w:w="1728"/>
          </w:tcPr>
          <w:p>
            <w:r>
              <w:rPr>
                <w:b/>
              </w:rPr>
              <w:t>Status</w:t>
            </w:r>
          </w:p>
        </w:tc>
        <w:tc>
          <w:tcPr>
            <w:tcW w:type="dxa" w:w="1728"/>
          </w:tcPr>
          <w:p>
            <w:r>
              <w:rPr>
                <w:b/>
              </w:rPr>
              <w:t>Performance</w:t>
            </w:r>
          </w:p>
        </w:tc>
        <w:tc>
          <w:tcPr>
            <w:tcW w:type="dxa" w:w="1728"/>
          </w:tcPr>
          <w:p>
            <w:r>
              <w:rPr>
                <w:b/>
              </w:rPr>
              <w:t>Notes</w:t>
            </w:r>
          </w:p>
        </w:tc>
      </w:tr>
      <w:tr>
        <w:tc>
          <w:tcPr>
            <w:tcW w:type="dxa" w:w="1728"/>
          </w:tcPr>
          <w:p>
            <w:r>
              <w:t>Text Handler</w:t>
            </w:r>
          </w:p>
        </w:tc>
        <w:tc>
          <w:tcPr>
            <w:tcW w:type="dxa" w:w="1728"/>
          </w:tcPr>
          <w:p>
            <w:r>
              <w:t>Core</w:t>
            </w:r>
          </w:p>
        </w:tc>
        <w:tc>
          <w:tcPr>
            <w:tcW w:type="dxa" w:w="1728"/>
          </w:tcPr>
          <w:p>
            <w:r>
              <w:t>Stable</w:t>
            </w:r>
          </w:p>
        </w:tc>
        <w:tc>
          <w:tcPr>
            <w:tcW w:type="dxa" w:w="1728"/>
          </w:tcPr>
          <w:p>
            <w:r>
              <w:t>Excellent</w:t>
            </w:r>
          </w:p>
        </w:tc>
        <w:tc>
          <w:tcPr>
            <w:tcW w:type="dxa" w:w="1728"/>
          </w:tcPr>
          <w:p>
            <w:r>
              <w:t>Multi-format support</w:t>
            </w:r>
          </w:p>
        </w:tc>
      </w:tr>
      <w:tr>
        <w:tc>
          <w:tcPr>
            <w:tcW w:type="dxa" w:w="1728"/>
          </w:tcPr>
          <w:p>
            <w:r>
              <w:t>Binary Handler</w:t>
            </w:r>
          </w:p>
        </w:tc>
        <w:tc>
          <w:tcPr>
            <w:tcW w:type="dxa" w:w="1728"/>
          </w:tcPr>
          <w:p>
            <w:r>
              <w:t>Enhanced</w:t>
            </w:r>
          </w:p>
        </w:tc>
        <w:tc>
          <w:tcPr>
            <w:tcW w:type="dxa" w:w="1728"/>
          </w:tcPr>
          <w:p>
            <w:r>
              <w:t>Active</w:t>
            </w:r>
          </w:p>
        </w:tc>
        <w:tc>
          <w:tcPr>
            <w:tcW w:type="dxa" w:w="1728"/>
          </w:tcPr>
          <w:p>
            <w:r>
              <w:t>Very Good</w:t>
            </w:r>
          </w:p>
        </w:tc>
        <w:tc>
          <w:tcPr>
            <w:tcW w:type="dxa" w:w="1728"/>
          </w:tcPr>
          <w:p>
            <w:r>
              <w:t>XLSX/DOCX processing</w:t>
            </w:r>
          </w:p>
        </w:tc>
      </w:tr>
      <w:tr>
        <w:tc>
          <w:tcPr>
            <w:tcW w:type="dxa" w:w="1728"/>
          </w:tcPr>
          <w:p>
            <w:r>
              <w:t>Mixed Handler</w:t>
            </w:r>
          </w:p>
        </w:tc>
        <w:tc>
          <w:tcPr>
            <w:tcW w:type="dxa" w:w="1728"/>
          </w:tcPr>
          <w:p>
            <w:r>
              <w:t>Optimized</w:t>
            </w:r>
          </w:p>
        </w:tc>
        <w:tc>
          <w:tcPr>
            <w:tcW w:type="dxa" w:w="1728"/>
          </w:tcPr>
          <w:p>
            <w:r>
              <w:t>Active</w:t>
            </w:r>
          </w:p>
        </w:tc>
        <w:tc>
          <w:tcPr>
            <w:tcW w:type="dxa" w:w="1728"/>
          </w:tcPr>
          <w:p>
            <w:r>
              <w:t>Good</w:t>
            </w:r>
          </w:p>
        </w:tc>
        <w:tc>
          <w:tcPr>
            <w:tcW w:type="dxa" w:w="1728"/>
          </w:tcPr>
          <w:p>
            <w:r>
              <w:t>Content type detection</w:t>
            </w:r>
          </w:p>
        </w:tc>
      </w:tr>
      <w:tr>
        <w:tc>
          <w:tcPr>
            <w:tcW w:type="dxa" w:w="1728"/>
          </w:tcPr>
          <w:p>
            <w:r>
              <w:t>OCR Integration</w:t>
            </w:r>
          </w:p>
        </w:tc>
        <w:tc>
          <w:tcPr>
            <w:tcW w:type="dxa" w:w="1728"/>
          </w:tcPr>
          <w:p>
            <w:r>
              <w:t>External</w:t>
            </w:r>
          </w:p>
        </w:tc>
        <w:tc>
          <w:tcPr>
            <w:tcW w:type="dxa" w:w="1728"/>
          </w:tcPr>
          <w:p>
            <w:r>
              <w:t>Available</w:t>
            </w:r>
          </w:p>
        </w:tc>
        <w:tc>
          <w:tcPr>
            <w:tcW w:type="dxa" w:w="1728"/>
          </w:tcPr>
          <w:p>
            <w:r>
              <w:t>Good</w:t>
            </w:r>
          </w:p>
        </w:tc>
        <w:tc>
          <w:tcPr>
            <w:tcW w:type="dxa" w:w="1728"/>
          </w:tcPr>
          <w:p>
            <w:r>
              <w:t>Chandra OCR service</w:t>
            </w:r>
          </w:p>
        </w:tc>
      </w:tr>
      <w:tr>
        <w:tc>
          <w:tcPr>
            <w:tcW w:type="dxa" w:w="1728"/>
          </w:tcPr>
          <w:p>
            <w:r>
              <w:t>Format Detection</w:t>
            </w:r>
          </w:p>
        </w:tc>
        <w:tc>
          <w:tcPr>
            <w:tcW w:type="dxa" w:w="1728"/>
          </w:tcPr>
          <w:p>
            <w:r>
              <w:t>Core</w:t>
            </w:r>
          </w:p>
        </w:tc>
        <w:tc>
          <w:tcPr>
            <w:tcW w:type="dxa" w:w="1728"/>
          </w:tcPr>
          <w:p>
            <w:r>
              <w:t>Optimized</w:t>
            </w:r>
          </w:p>
        </w:tc>
        <w:tc>
          <w:tcPr>
            <w:tcW w:type="dxa" w:w="1728"/>
          </w:tcPr>
          <w:p>
            <w:r>
              <w:t>Excellent</w:t>
            </w:r>
          </w:p>
        </w:tc>
        <w:tc>
          <w:tcPr>
            <w:tcW w:type="dxa" w:w="1728"/>
          </w:tcPr>
          <w:p>
            <w:r>
              <w:t>MIME type classification</w:t>
            </w:r>
          </w:p>
        </w:tc>
      </w:tr>
      <w:tr>
        <w:tc>
          <w:tcPr>
            <w:tcW w:type="dxa" w:w="1728"/>
          </w:tcPr>
          <w:p>
            <w:r>
              <w:t>Metadata Extraction</w:t>
            </w:r>
          </w:p>
        </w:tc>
        <w:tc>
          <w:tcPr>
            <w:tcW w:type="dxa" w:w="1728"/>
          </w:tcPr>
          <w:p>
            <w:r>
              <w:t>Core</w:t>
            </w:r>
          </w:p>
        </w:tc>
        <w:tc>
          <w:tcPr>
            <w:tcW w:type="dxa" w:w="1728"/>
          </w:tcPr>
          <w:p>
            <w:r>
              <w:t>Enhanced</w:t>
            </w:r>
          </w:p>
        </w:tc>
        <w:tc>
          <w:tcPr>
            <w:tcW w:type="dxa" w:w="1728"/>
          </w:tcPr>
          <w:p>
            <w:r>
              <w:t>Very Good</w:t>
            </w:r>
          </w:p>
        </w:tc>
        <w:tc>
          <w:tcPr>
            <w:tcW w:type="dxa" w:w="1728"/>
          </w:tcPr>
          <w:p>
            <w:r>
              <w:t>Rich metadata generation</w:t>
            </w:r>
          </w:p>
        </w:tc>
      </w:tr>
    </w:tbl>
    <w:p>
      <w:pPr>
        <w:pStyle w:val="Heading2"/>
      </w:pPr>
      <w:r>
        <w:t>4. Complex Content Processing</w:t>
      </w:r>
    </w:p>
    <w:p>
      <w:pPr>
        <w:pStyle w:val="Heading3"/>
      </w:pPr>
      <w:r>
        <w:t>4.1 Mixed Content Elements</w:t>
      </w:r>
    </w:p>
    <w:p>
      <w:r>
        <w:t xml:space="preserve">"The ETL pipeline demonstrates exceptional capability in processing </w:t>
      </w:r>
      <w:r>
        <w:rPr>
          <w:i/>
        </w:rPr>
        <w:t>diverse document formats</w:t>
      </w:r>
      <w:r>
        <w:t xml:space="preserve"> while maintaining </w:t>
      </w:r>
      <w:r>
        <w:rPr>
          <w:b/>
        </w:rPr>
        <w:t>data integrity</w:t>
      </w:r>
      <w:r>
        <w:t xml:space="preserve"> and structure preservation."</w:t>
      </w:r>
    </w:p>
    <w:p>
      <w:pPr>
        <w:pStyle w:val="Heading3"/>
      </w:pPr>
      <w:r>
        <w:t>4.2 Performance Metrics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Target</w:t>
            </w:r>
          </w:p>
        </w:tc>
      </w:tr>
      <w:tr>
        <w:tc>
          <w:tcPr>
            <w:tcW w:type="dxa" w:w="2880"/>
          </w:tcPr>
          <w:p>
            <w:r>
              <w:t>Processing Speed</w:t>
            </w:r>
          </w:p>
        </w:tc>
        <w:tc>
          <w:tcPr>
            <w:tcW w:type="dxa" w:w="2880"/>
          </w:tcPr>
          <w:p>
            <w:r>
              <w:t>&lt; 500ms per document</w:t>
            </w:r>
          </w:p>
        </w:tc>
        <w:tc>
          <w:tcPr>
            <w:tcW w:type="dxa" w:w="2880"/>
          </w:tcPr>
          <w:p>
            <w:r>
              <w:t>&lt; 1000ms</w:t>
            </w:r>
          </w:p>
        </w:tc>
      </w:tr>
      <w:tr>
        <w:tc>
          <w:tcPr>
            <w:tcW w:type="dxa" w:w="2880"/>
          </w:tcPr>
          <w:p>
            <w:r>
              <w:t>Accuracy Rate</w:t>
            </w:r>
          </w:p>
        </w:tc>
        <w:tc>
          <w:tcPr>
            <w:tcW w:type="dxa" w:w="2880"/>
          </w:tcPr>
          <w:p>
            <w:r>
              <w:t>98.5%</w:t>
            </w:r>
          </w:p>
        </w:tc>
        <w:tc>
          <w:tcPr>
            <w:tcW w:type="dxa" w:w="2880"/>
          </w:tcPr>
          <w:p>
            <w:r>
              <w:t>&gt; 95%</w:t>
            </w:r>
          </w:p>
        </w:tc>
      </w:tr>
      <w:tr>
        <w:tc>
          <w:tcPr>
            <w:tcW w:type="dxa" w:w="2880"/>
          </w:tcPr>
          <w:p>
            <w:r>
              <w:t>Structure Preservation</w:t>
            </w:r>
          </w:p>
        </w:tc>
        <w:tc>
          <w:tcPr>
            <w:tcW w:type="dxa" w:w="2880"/>
          </w:tcPr>
          <w:p>
            <w:r>
              <w:t>97.2%</w:t>
            </w:r>
          </w:p>
        </w:tc>
        <w:tc>
          <w:tcPr>
            <w:tcW w:type="dxa" w:w="2880"/>
          </w:tcPr>
          <w:p>
            <w:r>
              <w:t>&gt; 90%</w:t>
            </w:r>
          </w:p>
        </w:tc>
      </w:tr>
      <w:tr>
        <w:tc>
          <w:tcPr>
            <w:tcW w:type="dxa" w:w="2880"/>
          </w:tcPr>
          <w:p>
            <w:r>
              <w:t>Memory Usage</w:t>
            </w:r>
          </w:p>
        </w:tc>
        <w:tc>
          <w:tcPr>
            <w:tcW w:type="dxa" w:w="2880"/>
          </w:tcPr>
          <w:p>
            <w:r>
              <w:t>45MB average</w:t>
            </w:r>
          </w:p>
        </w:tc>
        <w:tc>
          <w:tcPr>
            <w:tcW w:type="dxa" w:w="2880"/>
          </w:tcPr>
          <w:p>
            <w:r>
              <w:t>&lt; 100MB</w:t>
            </w:r>
          </w:p>
        </w:tc>
      </w:tr>
    </w:tbl>
    <w:p>
      <w:pPr>
        <w:pStyle w:val="Heading2"/>
      </w:pPr>
      <w:r>
        <w:t>5. Processing Validation</w:t>
      </w:r>
    </w:p>
    <w:p>
      <w:r>
        <w:t>This comprehensive test document validates multiple aspects of the enhanced DOCX handler. Expected processing results include structured content regions, preserved heading hierarchy, extracted table data, and rich metadata for each content type. The handler should demonstrate robust processing capabilities while maintaining document structure integrity.</w:t>
      </w:r>
    </w:p>
    <w:p>
      <w:r>
        <w:rPr>
          <w:b/>
        </w:rPr>
        <w:t xml:space="preserve">Processing Status: </w:t>
      </w:r>
      <w:r>
        <w:t xml:space="preserve">This document contains </w:t>
      </w:r>
      <w:r>
        <w:rPr>
          <w:i/>
        </w:rPr>
        <w:t>15+ content sections</w:t>
      </w:r>
      <w:r>
        <w:t xml:space="preserve"> with </w:t>
      </w:r>
      <w:r>
        <w:rPr>
          <w:i/>
        </w:rPr>
        <w:t>2 tables</w:t>
      </w:r>
      <w:r>
        <w:t xml:space="preserve">, </w:t>
      </w:r>
      <w:r>
        <w:rPr>
          <w:i/>
        </w:rPr>
        <w:t>3 heading levels</w:t>
      </w:r>
      <w:r>
        <w:t xml:space="preserve">, and </w:t>
      </w:r>
      <w:r>
        <w:rPr>
          <w:i/>
        </w:rPr>
        <w:t>multiple formatting styles</w:t>
      </w:r>
      <w:r>
        <w:t xml:space="preserve"> for comprehensive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