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z w:val="46"/>
          <w:szCs w:val="46"/>
        </w:rPr>
        <w:t xml:space="preserve">GARVIT SARAF</w:t>
      </w:r>
    </w:p>
    <w:p>
      <w:pPr>
        <w:spacing w:after="20"/>
        <w:jc w:val="center"/>
      </w:pPr>
      <w:r>
        <w:rPr>
          <w:color w:val="555555"/>
          <w:sz w:val="18"/>
          <w:szCs w:val="18"/>
        </w:rPr>
        <w:t xml:space="preserve">Bengaluru, India  •  +91 97921 21111  •  garvitsaraf28@gmail.com  •  linkedin.com/in/garvit-saraf</w:t>
      </w:r>
    </w:p>
    <w:p>
      <w:pPr>
        <w:pBdr>
          <w:bottom w:val="single" w:color="1F3864" w:sz="6"/>
        </w:pBdr>
        <w:spacing w:after="40"/>
        <w:jc w:val="center"/>
      </w:pPr>
      <w:r>
        <w:rPr>
          <w:b/>
          <w:bCs/>
          <w:color w:val="222222"/>
          <w:sz w:val="19"/>
          <w:szCs w:val="19"/>
        </w:rPr>
        <w:t xml:space="preserve">Sales Associate  →  Programs   |   Learning Operations · Program Delivery · AI-Enabled Learning Design</w:t>
      </w:r>
    </w:p>
    <w:p>
      <w:pPr>
        <w:pBdr>
          <w:bottom w:val="single" w:color="1F3864" w:sz="6"/>
        </w:pBdr>
        <w:spacing w:after="70" w:before="20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Professional Summary</w:t>
      </w:r>
    </w:p>
    <w:p>
      <w:pPr>
        <w:spacing w:after="40" w:line="250"/>
        <w:jc w:val="both"/>
      </w:pPr>
      <w:r>
        <w:t xml:space="preserve">Early-career operations and programs professional at Outskill (a GrowthSchool company). Joined in Sales and, within three months, independently designed and shipped an AI-powered learning platform now approved for company-wide adoption — while exceeding sales targets. Blends learning-experience design, curriculum research, program documentation, and operations analytics with frontline revenue delivery. Completed Outskill's flagship Accelerator as a learner, bringing first-hand insight into the exact program the Programs Team designs and runs.</w:t>
      </w:r>
    </w:p>
    <w:p>
      <w:pPr>
        <w:pBdr>
          <w:bottom w:val="single" w:color="1F3864" w:sz="6"/>
        </w:pBdr>
        <w:spacing w:after="70" w:before="20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Professional Experience</w:t>
      </w:r>
    </w:p>
    <w:p>
      <w:pPr>
        <w:spacing w:after="0" w:before="40"/>
      </w:pPr>
      <w:r>
        <w:rPr>
          <w:b/>
          <w:bCs/>
          <w:sz w:val="21"/>
          <w:szCs w:val="21"/>
        </w:rPr>
        <w:t xml:space="preserve">Outskill (a GrowthSchool company) — Sales Associate</w:t>
      </w:r>
      <w:r>
        <w:ptab w:alignment="right" w:relativeTo="margin" w:leader="none"/>
      </w:r>
      <w:r>
        <w:rPr>
          <w:color w:val="555555"/>
          <w:sz w:val="18"/>
          <w:szCs w:val="18"/>
        </w:rPr>
        <w:t xml:space="preserve">Apr 2026 – Present</w:t>
      </w:r>
    </w:p>
    <w:p>
      <w:pPr>
        <w:spacing w:after="60"/>
      </w:pPr>
      <w:r>
        <w:rPr>
          <w:i/>
          <w:iCs/>
          <w:color w:val="555555"/>
          <w:sz w:val="18"/>
          <w:szCs w:val="18"/>
        </w:rPr>
        <w:t xml:space="preserve">Bengaluru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t xml:space="preserve">Identified a costly training bottleneck — senior reps, managers, and 2–3 management staff manually running mock-call drills for every cohort — and </w:t>
      </w:r>
      <w:r>
        <w:rPr>
          <w:b/>
          <w:bCs/>
        </w:rPr>
        <w:t xml:space="preserve">independently designed and built OutSkill Training, a live 11-level AI onboarding platform</w:t>
      </w:r>
      <w:r>
        <w:t xml:space="preserve"> that ramps new hires from day one to deal-ready: sequenced curriculum, program-knowledge assessments, and escalating live voice mock-calls (peer → director) with AI scoring, compliance flags, and manager progress reports. </w:t>
      </w:r>
      <w:r>
        <w:rPr>
          <w:b/>
          <w:bCs/>
        </w:rPr>
        <w:t xml:space="preserve">Live for the 15–20-person Hyderabad sales team and approved for company-wide rollout.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b/>
          <w:bCs/>
        </w:rPr>
        <w:t xml:space="preserve">Researched and authored Outskill's single-source-of-truth Programs deck</w:t>
      </w:r>
      <w:r>
        <w:t xml:space="preserve"> — every program, pricing journey, and learner funnel across Sales, Ops, Support, Mentors, Customer Success, and Marketing — now the cross-functional onboarding reference.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b/>
          <w:bCs/>
        </w:rPr>
        <w:t xml:space="preserve">Created and deployed five onboarding decks</w:t>
      </w:r>
      <w:r>
        <w:t xml:space="preserve"> (Day-1 schedule, HR induction, leave &amp; attendance, POSH, and programs) used in live inductions for the new Hyderabad branch.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b/>
          <w:bCs/>
        </w:rPr>
        <w:t xml:space="preserve">Automated a previously manual revenue-reporting process</w:t>
      </w:r>
      <w:r>
        <w:t xml:space="preserve"> into a daily-refreshing Google Sheets dashboard tracking domestic, international, and overall performance against the prior 3–4 months — giving leadership real-time visibility for coaching, forecasting, and resource decisions.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t xml:space="preserve">Built per-rep and team </w:t>
      </w:r>
      <w:r>
        <w:rPr>
          <w:b/>
          <w:bCs/>
        </w:rPr>
        <w:t xml:space="preserve">performance analytics on Dial Nexa dialer data</w:t>
      </w:r>
      <w:r>
        <w:t xml:space="preserve"> (leads, workshop show-ups, conversions, revenue), enabling the Associate Director, Growth to target coaching and reallocation decisions.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b/>
          <w:bCs/>
        </w:rPr>
        <w:t xml:space="preserve">Delivered ~₹9.7L against a ₹7.5L target (~129%) in first full sales month</w:t>
      </w:r>
      <w:r>
        <w:t xml:space="preserve">, ranking among the top ~7 of ~30 reps; partnered with HR on the Hyderabad launch, including ~15 personalized new-hire welcome communications.</w:t>
      </w:r>
    </w:p>
    <w:p>
      <w:pPr>
        <w:spacing w:after="40" w:before="30"/>
      </w:pPr>
      <w:r>
        <w:rPr>
          <w:i/>
          <w:iCs/>
          <w:color w:val="555555"/>
          <w:sz w:val="18"/>
          <w:szCs w:val="18"/>
        </w:rPr>
        <w:t xml:space="preserve">Flagship project: OutSkill Training — AI sales-onboarding platform (design, build, deployment) · outskill-garvit.vercel.app</w:t>
      </w:r>
    </w:p>
    <w:p>
      <w:pPr>
        <w:pBdr>
          <w:bottom w:val="single" w:color="1F3864" w:sz="6"/>
        </w:pBdr>
        <w:spacing w:after="70" w:before="20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Earlier Experience &amp; Leadership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b/>
          <w:bCs/>
        </w:rPr>
        <w:t xml:space="preserve">NoteFi — Co-founder: </w:t>
      </w:r>
      <w:r>
        <w:t xml:space="preserve">Co-built a revenue-generating peer-to-peer academic-resource platform with DRM content protection; led early go-to-market and pursued incubation and mentorship.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b/>
          <w:bCs/>
        </w:rPr>
        <w:t xml:space="preserve">CHRIST University — Director, UDAAN E-Cell; Departmental Representative, Centre for Social Action: </w:t>
      </w:r>
      <w:r>
        <w:t xml:space="preserve">Directed 15+ events including INNOWAVE 2025, a three-day national conference; secured sponsorships and speakers; authored a feature published in The Hindu.</w:t>
      </w:r>
    </w:p>
    <w:p>
      <w:pPr>
        <w:pBdr>
          <w:bottom w:val="single" w:color="1F3864" w:sz="6"/>
        </w:pBdr>
        <w:spacing w:after="70" w:before="20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Education</w:t>
      </w:r>
    </w:p>
    <w:p>
      <w:pPr>
        <w:spacing w:after="40"/>
      </w:pPr>
      <w:r>
        <w:rPr>
          <w:b/>
          <w:bCs/>
        </w:rPr>
        <w:t xml:space="preserve">BCom (Applied Finance &amp; Analytics)</w:t>
      </w:r>
      <w:r>
        <w:t xml:space="preserve"> — CHRIST (Deemed to be University), Bengaluru  ·  2026</w:t>
      </w:r>
    </w:p>
    <w:p>
      <w:pPr>
        <w:pBdr>
          <w:bottom w:val="single" w:color="1F3864" w:sz="6"/>
        </w:pBdr>
        <w:spacing w:after="70" w:before="20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Skills &amp; Tools</w:t>
      </w:r>
    </w:p>
    <w:p>
      <w:pPr>
        <w:spacing w:after="30" w:line="250"/>
      </w:pPr>
      <w:r>
        <w:rPr>
          <w:b/>
          <w:bCs/>
        </w:rPr>
        <w:t xml:space="preserve">Programs &amp; Operations:  </w:t>
      </w:r>
      <w:r>
        <w:t xml:space="preserve">Program Operations · Learning-Experience Design · Curriculum Research · Documentation &amp; SOPs · Process Improvement · Project Management · Cross-Functional Collaboration · Stakeholder Management</w:t>
      </w:r>
    </w:p>
    <w:p>
      <w:pPr>
        <w:spacing w:after="30" w:line="250"/>
      </w:pPr>
      <w:r>
        <w:rPr>
          <w:b/>
          <w:bCs/>
        </w:rPr>
        <w:t xml:space="preserve">Data &amp; AI:  </w:t>
      </w:r>
      <w:r>
        <w:t xml:space="preserve">Data Analysis &amp; Reporting · Google Sheets Dashboards · AI / LLM Tools · Prompt Engineering · AI-Enabled Learning Design</w:t>
      </w:r>
    </w:p>
    <w:p>
      <w:pPr>
        <w:spacing w:after="30" w:line="250"/>
      </w:pPr>
      <w:r>
        <w:rPr>
          <w:b/>
          <w:bCs/>
        </w:rPr>
        <w:t xml:space="preserve">Technical:  </w:t>
      </w:r>
      <w:r>
        <w:t xml:space="preserve">Google Workspace · Excel · Power BI · Python · SQL</w:t>
      </w:r>
    </w:p>
    <w:p>
      <w:pPr>
        <w:spacing w:after="0" w:line="250"/>
      </w:pPr>
      <w:r>
        <w:rPr>
          <w:b/>
          <w:bCs/>
        </w:rPr>
        <w:t xml:space="preserve">Certification:  </w:t>
      </w:r>
      <w:r>
        <w:t xml:space="preserve">NISM Series-VIII — Equity Derivatives</w:t>
      </w:r>
    </w:p>
    <w:sectPr>
      <w:pgSz w:w="11906" w:h="16838" w:orient="portrait"/>
      <w:pgMar w:top="620" w:right="820" w:bottom="6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Garvit Saraf — Resume</dc:title>
  <dc:creator>Garvit Saraf</dc:creator>
  <cp:lastModifiedBy>Un-named</cp:lastModifiedBy>
  <cp:revision>1</cp:revision>
  <dcterms:created xsi:type="dcterms:W3CDTF">2026-07-24T06:30:06.632Z</dcterms:created>
  <dcterms:modified xsi:type="dcterms:W3CDTF">2026-07-24T06:30:06.632Z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