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rsidR="00B274AE" w:rsidRPr="00AE667F" w:rsidRDefault="00B274AE">
      <w:pPr>
        <w:rPr>
          <w:rFonts w:ascii="Times New Roman" w:hAnsi="Times New Roman" w:cs="Times New Roman"/>
          <w:b/>
          <w:sz w:val="24"/>
          <w:szCs w:val="24"/>
          <w:u w:val="single"/>
        </w:rPr>
      </w:pPr>
    </w:p>
    <w:p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1"/>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 xml:space="preserve">Images of the block view diagram and the front view from the </w:t>
      </w:r>
      <w:proofErr w:type="spellStart"/>
      <w:r w:rsidR="008F7966">
        <w:rPr>
          <w:rFonts w:ascii="Times New Roman" w:hAnsi="Times New Roman" w:cs="Times New Roman"/>
          <w:sz w:val="24"/>
          <w:szCs w:val="24"/>
        </w:rPr>
        <w:t>LabView</w:t>
      </w:r>
      <w:proofErr w:type="spellEnd"/>
      <w:r w:rsidR="008F7966">
        <w:rPr>
          <w:rFonts w:ascii="Times New Roman" w:hAnsi="Times New Roman" w:cs="Times New Roman"/>
          <w:sz w:val="24"/>
          <w:szCs w:val="24"/>
        </w:rPr>
        <w:t xml:space="preserve"> program are available in Appendix A. This paper will not comment on the programming behind the operation of this </w:t>
      </w:r>
      <w:proofErr w:type="gramStart"/>
      <w:r w:rsidR="008F7966">
        <w:rPr>
          <w:rFonts w:ascii="Times New Roman" w:hAnsi="Times New Roman" w:cs="Times New Roman"/>
          <w:sz w:val="24"/>
          <w:szCs w:val="24"/>
        </w:rPr>
        <w:t>program,</w:t>
      </w:r>
      <w:proofErr w:type="gramEnd"/>
      <w:r w:rsidR="008F7966">
        <w:rPr>
          <w:rFonts w:ascii="Times New Roman" w:hAnsi="Times New Roman" w:cs="Times New Roman"/>
          <w:sz w:val="24"/>
          <w:szCs w:val="24"/>
        </w:rPr>
        <w:t xml:space="preserve"> however a general explanation of how it works follows.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w:t>
      </w:r>
      <w:r w:rsidR="002053B2" w:rsidRPr="00AE667F">
        <w:rPr>
          <w:rFonts w:ascii="Times New Roman" w:hAnsi="Times New Roman" w:cs="Times New Roman"/>
          <w:sz w:val="24"/>
          <w:szCs w:val="24"/>
        </w:rPr>
        <w:lastRenderedPageBreak/>
        <w:t xml:space="preserve">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rsidR="00CA3F9A" w:rsidRDefault="00CA3F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3148330</wp:posOffset>
            </wp:positionV>
            <wp:extent cx="3324225" cy="2438400"/>
            <wp:effectExtent l="19050" t="0" r="9525" b="0"/>
            <wp:wrapThrough wrapText="bothSides">
              <wp:wrapPolygon edited="1">
                <wp:start x="-124" y="0"/>
                <wp:lineTo x="-496" y="23910"/>
                <wp:lineTo x="21600" y="24089"/>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8" cstate="print"/>
                    <a:stretch>
                      <a:fillRect/>
                    </a:stretch>
                  </pic:blipFill>
                  <pic:spPr>
                    <a:xfrm>
                      <a:off x="0" y="0"/>
                      <a:ext cx="3324225" cy="2438400"/>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rsidR="00CA3F9A" w:rsidRPr="00AE667F" w:rsidRDefault="00CA3F9A" w:rsidP="00CA3F9A">
      <w:pPr>
        <w:ind w:firstLine="720"/>
        <w:rPr>
          <w:rFonts w:ascii="Times New Roman" w:hAnsi="Times New Roman" w:cs="Times New Roman"/>
          <w:sz w:val="24"/>
          <w:szCs w:val="24"/>
        </w:rPr>
      </w:pPr>
      <w:r>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xml:space="preserve">. The capacitor is located above and to the right of the coil apparatus with the charging mechanism located to the left of it. The SCR is below the coil-gun with the various switches branching off to the right preventing an accidental firing of the cannon. </w:t>
      </w:r>
      <w:r w:rsidR="00E24995">
        <w:rPr>
          <w:rFonts w:ascii="Times New Roman" w:hAnsi="Times New Roman" w:cs="Times New Roman"/>
          <w:sz w:val="24"/>
          <w:szCs w:val="24"/>
        </w:rPr>
        <w:lastRenderedPageBreak/>
        <w:t xml:space="preserve">The capacitance of the capacitor is 6800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 xml:space="preserve">This procedure was conducted for two projectiles of different sized. One had a mass of 0.01058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r>
    </w:p>
    <w:p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rsidR="00E24995" w:rsidRDefault="00E24995">
      <w:pPr>
        <w:rPr>
          <w:rFonts w:ascii="Times New Roman" w:hAnsi="Times New Roman" w:cs="Times New Roman"/>
          <w:sz w:val="24"/>
          <w:szCs w:val="24"/>
        </w:rPr>
      </w:pPr>
      <w:r>
        <w:rPr>
          <w:rFonts w:ascii="Times New Roman" w:hAnsi="Times New Roman" w:cs="Times New Roman"/>
          <w:sz w:val="24"/>
          <w:szCs w:val="24"/>
        </w:rPr>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w:t>
      </w:r>
      <w:r w:rsidRPr="00AE667F">
        <w:rPr>
          <w:rFonts w:ascii="Times New Roman" w:hAnsi="Times New Roman" w:cs="Times New Roman"/>
          <w:sz w:val="24"/>
          <w:szCs w:val="24"/>
        </w:rPr>
        <w:lastRenderedPageBreak/>
        <w:t>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The dominant source of error in the “length” therefore is the orientation of the projectile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p>
    <w:p w:rsidR="00025AC7" w:rsidRPr="008F7966" w:rsidRDefault="00657DED">
      <w:pPr>
        <w:rPr>
          <w:rFonts w:ascii="Times New Roman" w:hAnsi="Times New Roman" w:cs="Times New Roman"/>
          <w:sz w:val="24"/>
          <w:szCs w:val="24"/>
        </w:rPr>
      </w:pPr>
      <w:r>
        <w:rPr>
          <w:rFonts w:ascii="Times New Roman" w:hAnsi="Times New Roman" w:cs="Times New Roman"/>
          <w:sz w:val="24"/>
          <w:szCs w:val="24"/>
        </w:rPr>
        <w:tab/>
      </w:r>
    </w:p>
    <w:p w:rsidR="00E24995" w:rsidRDefault="00E24995">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Analysis: </w:t>
      </w:r>
    </w:p>
    <w:p w:rsidR="00B274AE" w:rsidRPr="00AE667F" w:rsidRDefault="00B274AE">
      <w:pPr>
        <w:rPr>
          <w:rFonts w:ascii="Times New Roman" w:hAnsi="Times New Roman" w:cs="Times New Roman"/>
          <w:b/>
          <w:sz w:val="24"/>
          <w:szCs w:val="24"/>
          <w:u w:val="single"/>
        </w:rPr>
      </w:pP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Conclusions: </w:t>
      </w:r>
    </w:p>
    <w:p w:rsidR="008F7966" w:rsidRDefault="008F7966">
      <w:pPr>
        <w:rPr>
          <w:rFonts w:ascii="Times New Roman" w:hAnsi="Times New Roman" w:cs="Times New Roman"/>
          <w:b/>
          <w:sz w:val="24"/>
          <w:szCs w:val="24"/>
          <w:u w:val="single"/>
        </w:rPr>
      </w:pPr>
    </w:p>
    <w:p w:rsidR="008F7966" w:rsidRDefault="008F7966">
      <w:pPr>
        <w:rPr>
          <w:rFonts w:ascii="Times New Roman" w:hAnsi="Times New Roman" w:cs="Times New Roman"/>
          <w:b/>
          <w:sz w:val="24"/>
          <w:szCs w:val="24"/>
          <w:u w:val="single"/>
        </w:rPr>
      </w:pPr>
    </w:p>
    <w:p w:rsidR="008F7966" w:rsidRPr="00AE667F" w:rsidRDefault="008F7966">
      <w:pPr>
        <w:rPr>
          <w:rFonts w:ascii="Times New Roman" w:hAnsi="Times New Roman" w:cs="Times New Roman"/>
          <w:b/>
          <w:sz w:val="24"/>
          <w:szCs w:val="24"/>
          <w:u w:val="single"/>
        </w:rPr>
      </w:pPr>
      <w:r>
        <w:rPr>
          <w:rFonts w:ascii="Times New Roman" w:hAnsi="Times New Roman" w:cs="Times New Roman"/>
          <w:b/>
          <w:sz w:val="24"/>
          <w:szCs w:val="24"/>
          <w:u w:val="single"/>
        </w:rPr>
        <w:t>Appendix A</w:t>
      </w:r>
    </w:p>
    <w:sectPr w:rsidR="008F7966" w:rsidRPr="00AE667F" w:rsidSect="00CA3F9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364" w:rsidRDefault="00FC6364" w:rsidP="007E42A4">
      <w:pPr>
        <w:spacing w:after="0" w:line="240" w:lineRule="auto"/>
      </w:pPr>
      <w:r>
        <w:separator/>
      </w:r>
    </w:p>
  </w:endnote>
  <w:endnote w:type="continuationSeparator" w:id="0">
    <w:p w:rsidR="00FC6364" w:rsidRDefault="00FC6364" w:rsidP="007E42A4">
      <w:pPr>
        <w:spacing w:after="0" w:line="240" w:lineRule="auto"/>
      </w:pPr>
      <w:r>
        <w:continuationSeparator/>
      </w:r>
    </w:p>
  </w:endnote>
  <w:endnote w:id="1">
    <w:p w:rsidR="007E42A4" w:rsidRDefault="007E42A4">
      <w:pPr>
        <w:pStyle w:val="EndnoteText"/>
      </w:pPr>
      <w:r>
        <w:rPr>
          <w:rStyle w:val="EndnoteReference"/>
        </w:rPr>
        <w:endnoteRef/>
      </w:r>
      <w:r>
        <w:t xml:space="preserve"> </w:t>
      </w:r>
      <w:hyperlink r:id="rId1" w:history="1">
        <w:r w:rsidR="008F7966" w:rsidRPr="00A72D11">
          <w:rPr>
            <w:rStyle w:val="Hyperlink"/>
          </w:rPr>
          <w:t>http://www.ni.com/labview/whatis/</w:t>
        </w:r>
      </w:hyperlink>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p w:rsidR="008F7966" w:rsidRDefault="008F7966">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364" w:rsidRDefault="00FC6364" w:rsidP="007E42A4">
      <w:pPr>
        <w:spacing w:after="0" w:line="240" w:lineRule="auto"/>
      </w:pPr>
      <w:r>
        <w:separator/>
      </w:r>
    </w:p>
  </w:footnote>
  <w:footnote w:type="continuationSeparator" w:id="0">
    <w:p w:rsidR="00FC6364" w:rsidRDefault="00FC6364" w:rsidP="007E42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74AE"/>
    <w:rsid w:val="00025AC7"/>
    <w:rsid w:val="002053B2"/>
    <w:rsid w:val="0035080A"/>
    <w:rsid w:val="00533F35"/>
    <w:rsid w:val="005521BE"/>
    <w:rsid w:val="00657DED"/>
    <w:rsid w:val="006E57AB"/>
    <w:rsid w:val="00762DA3"/>
    <w:rsid w:val="00780469"/>
    <w:rsid w:val="007E42A4"/>
    <w:rsid w:val="008F7966"/>
    <w:rsid w:val="009B4027"/>
    <w:rsid w:val="009D1A61"/>
    <w:rsid w:val="009D235F"/>
    <w:rsid w:val="009D401D"/>
    <w:rsid w:val="00A202BF"/>
    <w:rsid w:val="00A713F7"/>
    <w:rsid w:val="00AA239F"/>
    <w:rsid w:val="00AA362A"/>
    <w:rsid w:val="00AE667F"/>
    <w:rsid w:val="00B274AE"/>
    <w:rsid w:val="00C20A74"/>
    <w:rsid w:val="00CA3F9A"/>
    <w:rsid w:val="00D022E7"/>
    <w:rsid w:val="00DD2B81"/>
    <w:rsid w:val="00E14B30"/>
    <w:rsid w:val="00E24995"/>
    <w:rsid w:val="00FC6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ni.com/labview/wha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5120B-7C76-48DD-94F7-DB8A107D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2013-05-11T19:49:00Z</dcterms:created>
  <dcterms:modified xsi:type="dcterms:W3CDTF">2013-05-14T07:20:00Z</dcterms:modified>
</cp:coreProperties>
</file>