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Calibri" w:cs="Calibri" w:eastAsia="Calibri" w:hAnsi="Calibri"/>
          <w:b/>
          <w:bCs/>
          <w:color w:val="888888"/>
          <w:sz w:val="18"/>
          <w:szCs w:val="18"/>
        </w:rPr>
        <w:t xml:space="preserve">PRODUCT REQUIREMENT DOCUMENT</w:t>
      </w:r>
    </w:p>
    <w:p>
      <w:pPr>
        <w:spacing w:before="0" w:after="120"/>
      </w:pPr>
      <w:r>
        <w:rPr>
          <w:rFonts w:ascii="Calibri" w:cs="Calibri" w:eastAsia="Calibri" w:hAnsi="Calibri"/>
          <w:b/>
          <w:bCs/>
          <w:color w:val="003366"/>
          <w:sz w:val="56"/>
          <w:szCs w:val="56"/>
        </w:rPr>
        <w:t xml:space="preserve">Post-Onboarding Deep Dive</w:t>
      </w:r>
    </w:p>
    <w:p>
      <w:pPr>
        <w:spacing w:before="0" w:after="60"/>
      </w:pPr>
      <w:r>
        <w:rPr>
          <w:rFonts w:ascii="Calibri" w:cs="Calibri" w:eastAsia="Calibri" w:hAnsi="Calibri"/>
          <w:i/>
          <w:iCs/>
          <w:color w:val="1565C0"/>
          <w:sz w:val="26"/>
          <w:szCs w:val="26"/>
        </w:rPr>
        <w:t xml:space="preserve">Paytm Postpaid (TPAP) — Charter 2: Post-Onboarding</w:t>
      </w:r>
    </w:p>
    <w:p>
      <w:pPr>
        <w:spacing w:before="0" w:after="360"/>
      </w:pPr>
      <w:r>
        <w:rPr>
          <w:rFonts w:ascii="Calibri" w:cs="Calibri" w:eastAsia="Calibri" w:hAnsi="Calibri"/>
          <w:color w:val="424242"/>
          <w:sz w:val="20"/>
          <w:szCs w:val="20"/>
        </w:rPr>
        <w:t xml:space="preserve">Portfolio · Reconciliation · Repayments · Spends — Frontend Prototype Spec for Cursor/IDE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7080"/>
      </w:tblGrid>
      <w:tr>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Version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1.0 — Draft</w:t>
            </w:r>
          </w:p>
        </w:tc>
      </w:tr>
      <w:tr>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Author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Garv, PM — Paytm Postpaid</w:t>
            </w:r>
          </w:p>
        </w:tc>
      </w:tr>
      <w:tr>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Purpose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Cursor/IDE prototype spec — no backend, mock data only</w:t>
            </w:r>
          </w:p>
        </w:tc>
      </w:tr>
      <w:tr>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Sections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Portfolio → Bill Recon → Repayment Recon → Spends</w:t>
            </w:r>
          </w:p>
        </w:tc>
      </w:tr>
      <w:tr>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Date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February 2026</w:t>
            </w:r>
          </w:p>
        </w:tc>
      </w:tr>
    </w:tbl>
    <w:p>
      <w:r>
        <w:br w:type="page"/>
      </w:r>
    </w:p>
    <w:p>
      <w:pPr>
        <w:pStyle w:val="Heading1"/>
        <w:spacing w:before="400" w:after="120"/>
      </w:pPr>
      <w:r>
        <w:rPr>
          <w:rFonts w:ascii="Calibri" w:cs="Calibri" w:eastAsia="Calibri" w:hAnsi="Calibri"/>
          <w:b/>
          <w:bCs/>
          <w:color w:val="003366"/>
          <w:sz w:val="34"/>
          <w:szCs w:val="34"/>
        </w:rPr>
        <w:t xml:space="preserve">1. Context &amp; Design Philosophy</w:t>
      </w:r>
    </w:p>
    <w:p>
      <w:pPr>
        <w:pBdr>
          <w:bottom w:val="single" w:color="1565C0" w:sz="6" w:space="1"/>
        </w:pBdr>
        <w:spacing w:before="80" w:after="80"/>
      </w:pPr>
    </w:p>
    <w:p>
      <w:pPr>
        <w:spacing w:before="60" w:after="60"/>
      </w:pPr>
      <w:r>
        <w:rPr>
          <w:rFonts w:ascii="Calibri" w:cs="Calibri" w:eastAsia="Calibri" w:hAnsi="Calibri"/>
          <w:sz w:val="20"/>
          <w:szCs w:val="20"/>
        </w:rPr>
        <w:t xml:space="preserve">Post-onboarding is where the product lives after the user gets their credit limit. The health of this charter determines retention, revenue, and the lender relationship with SSFB. Today the PM tracks four areas — portfolio health, bill reconciliation between Paytm LMS and SSFB (lender), repayment and DPD monitoring, and transaction spends — each in a separate Metabase dashboard with no information hierarchy.</w:t>
      </w:r>
    </w:p>
    <w:p>
      <w:pPr>
        <w:spacing w:before="80" w:after="40"/>
      </w:pPr>
    </w:p>
    <w:p>
      <w:pPr>
        <w:spacing w:before="60" w:after="60"/>
      </w:pPr>
      <w:r>
        <w:rPr>
          <w:rFonts w:ascii="Calibri" w:cs="Calibri" w:eastAsia="Calibri" w:hAnsi="Calibri"/>
          <w:sz w:val="20"/>
          <w:szCs w:val="20"/>
        </w:rPr>
        <w:t xml:space="preserve">The core problem is not missing data — the data exists. The problem is that today a PM opens multiple screens, reads raw numbers without context, and has no drill-down path. When the bill recon shows a 277K delta, there is no way to go from that aggregate number to the individual LANs causing the mismatch — and no way to take action (e.g. email the lender) from within the dashboard.</w:t>
      </w:r>
    </w:p>
    <w:p>
      <w:pPr>
        <w:spacing w:before="80" w:after="40"/>
      </w:pPr>
    </w:p>
    <w:p>
      <w:pPr>
        <w:spacing w:before="60" w:after="60"/>
      </w:pPr>
      <w:r>
        <w:rPr>
          <w:rFonts w:ascii="Calibri" w:cs="Calibri" w:eastAsia="Calibri" w:hAnsi="Calibri"/>
          <w:sz w:val="20"/>
          <w:szCs w:val="20"/>
        </w:rPr>
        <w:t xml:space="preserve">This PRD defines a unified Post-Onboarding dashboard with four sequenced sections. Information hierarchy is the core design constraint: every section follows the pattern of Summary → Trend → Anomaly → Action. The PM should never need to leave the dashboard to understand what is wrong and what to do about it.</w:t>
      </w:r>
    </w:p>
    <w:p>
      <w:pPr>
        <w:spacing w:before="160" w:after="80"/>
      </w:pPr>
    </w:p>
    <w:p>
      <w:pPr>
        <w:pStyle w:val="Heading2"/>
        <w:spacing w:before="240" w:after="80"/>
      </w:pPr>
      <w:r>
        <w:rPr>
          <w:rFonts w:ascii="Calibri" w:cs="Calibri" w:eastAsia="Calibri" w:hAnsi="Calibri"/>
          <w:b/>
          <w:bCs/>
          <w:color w:val="1565C0"/>
          <w:sz w:val="26"/>
          <w:szCs w:val="26"/>
        </w:rPr>
        <w:t xml:space="preserve">1.1 Section Hierarchy &amp; Navigation</w:t>
      </w:r>
    </w:p>
    <w:p>
      <w:pPr>
        <w:spacing w:before="60" w:after="60"/>
      </w:pPr>
      <w:r>
        <w:rPr>
          <w:rFonts w:ascii="Calibri" w:cs="Calibri" w:eastAsia="Calibri" w:hAnsi="Calibri"/>
          <w:sz w:val="20"/>
          <w:szCs w:val="20"/>
        </w:rPr>
        <w:t xml:space="preserve">The dashboard has four tab-sections, navigated from a persistent left sidebar or top sub-nav. Sections are ordered by strategic importance (Portfolio first — the 'how are we doing' view) and operational urgency (Recon last — the 'what needs fixing now' view).</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080"/>
        <w:gridCol w:w="2500"/>
      </w:tblGrid>
      <w:tr>
        <w:tc>
          <w:tcPr>
            <w:tcW w:type="dxa" w:w="5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Section</w:t>
            </w:r>
          </w:p>
        </w:tc>
        <w:tc>
          <w:tcPr>
            <w:tcW w:type="dxa" w:w="40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What it answers</w:t>
            </w:r>
          </w:p>
        </w:tc>
        <w:tc>
          <w:tcPr>
            <w:tcW w:type="dxa" w:w="25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Primary user</w:t>
            </w:r>
          </w:p>
        </w:tc>
      </w:tr>
      <w:tr>
        <w:tc>
          <w:tcPr>
            <w:tcW w:type="dxa" w:w="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Portfolio</w:t>
            </w:r>
          </w:p>
        </w:tc>
        <w:tc>
          <w:tcPr>
            <w:tcW w:type="dxa" w:w="4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How is the overall book performing MoM? GMV, signups, txn counts, avg credit limit, DPD distribution.</w:t>
            </w:r>
          </w:p>
        </w:tc>
        <w:tc>
          <w:tcPr>
            <w:tcW w:type="dxa" w:w="2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Head of Product / PM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Bill Recon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Is our LMS in sync with SSFB's LMS? Where are the mismatches and which accounts are causing them?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PM + Ops / Finance</w:t>
            </w:r>
          </w:p>
        </w:tc>
      </w:tr>
      <w:tr>
        <w:tc>
          <w:tcPr>
            <w:tcW w:type="dxa" w:w="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Repayment Recon</w:t>
            </w:r>
          </w:p>
        </w:tc>
        <w:tc>
          <w:tcPr>
            <w:tcW w:type="dxa" w:w="4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How many users paid, partially paid, or didn't pay? How much is outstanding? Is DPD growing?</w:t>
            </w:r>
          </w:p>
        </w:tc>
        <w:tc>
          <w:tcPr>
            <w:tcW w:type="dxa" w:w="2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PM + Risk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Spends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What is the UPI transaction success rate? What are the failure patterns? Are new and repeat spenders growing?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PM + Tech</w:t>
            </w:r>
          </w:p>
        </w:tc>
      </w:tr>
    </w:tbl>
    <w:p>
      <w:r>
        <w:br w:type="page"/>
      </w:r>
    </w:p>
    <w:p>
      <w:pPr>
        <w:pStyle w:val="Heading1"/>
        <w:spacing w:before="400" w:after="120"/>
      </w:pPr>
      <w:r>
        <w:rPr>
          <w:rFonts w:ascii="Calibri" w:cs="Calibri" w:eastAsia="Calibri" w:hAnsi="Calibri"/>
          <w:b/>
          <w:bCs/>
          <w:color w:val="003366"/>
          <w:sz w:val="34"/>
          <w:szCs w:val="34"/>
        </w:rPr>
        <w:t xml:space="preserve">2. Section 1 — Portfolio</w:t>
      </w:r>
    </w:p>
    <w:p>
      <w:pPr>
        <w:pBdr>
          <w:bottom w:val="single" w:color="1565C0" w:sz="6" w:space="1"/>
        </w:pBdr>
        <w:spacing w:before="80" w:after="80"/>
      </w:pPr>
    </w:p>
    <w:p>
      <w:pPr>
        <w:spacing w:before="60" w:after="60"/>
      </w:pPr>
      <w:r>
        <w:rPr>
          <w:rFonts w:ascii="Calibri" w:cs="Calibri" w:eastAsia="Calibri" w:hAnsi="Calibri"/>
          <w:sz w:val="20"/>
          <w:szCs w:val="20"/>
        </w:rPr>
        <w:t xml:space="preserve">Portfolio is the executive summary of the entire post-onboarding charter. It should be the first thing anyone — PM or Head of Product — sees when they open the dashboard. It answers the question: 'Is the product growing, and is it healthy?'</w:t>
      </w:r>
    </w:p>
    <w:p>
      <w:pPr>
        <w:spacing w:before="100" w:after="60"/>
      </w:pPr>
    </w:p>
    <w:p>
      <w:pPr>
        <w:pStyle w:val="Heading2"/>
        <w:spacing w:before="240" w:after="80"/>
      </w:pPr>
      <w:r>
        <w:rPr>
          <w:rFonts w:ascii="Calibri" w:cs="Calibri" w:eastAsia="Calibri" w:hAnsi="Calibri"/>
          <w:b/>
          <w:bCs/>
          <w:color w:val="1565C0"/>
          <w:sz w:val="26"/>
          <w:szCs w:val="26"/>
        </w:rPr>
        <w:t xml:space="preserve">2.1 MoM Portfolio Summary Table (Top of Page)</w:t>
      </w:r>
    </w:p>
    <w:p>
      <w:pPr>
        <w:spacing w:before="60" w:after="60"/>
      </w:pPr>
      <w:r>
        <w:rPr>
          <w:rFonts w:ascii="Calibri" w:cs="Calibri" w:eastAsia="Calibri" w:hAnsi="Calibri"/>
          <w:sz w:val="20"/>
          <w:szCs w:val="20"/>
        </w:rPr>
        <w:t xml:space="preserve">This maps directly to the 'month on month metrix paytm db' view (Image 7). Displayed as a sticky pinned table at the top — always visible regardless of which sub-section the user scrolls to. Columns auto-highlight the current month row.</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800"/>
        <w:gridCol w:w="1000"/>
        <w:gridCol w:w="800"/>
        <w:gridCol w:w="1100"/>
        <w:gridCol w:w="800"/>
        <w:gridCol w:w="800"/>
        <w:gridCol w:w="900"/>
        <w:gridCol w:w="880"/>
      </w:tblGrid>
      <w:tr>
        <w:tc>
          <w:tcPr>
            <w:tcW w:type="dxa" w:w="11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Month</w:t>
            </w:r>
          </w:p>
        </w:tc>
        <w:tc>
          <w:tcPr>
            <w:tcW w:type="dxa" w:w="9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Signups</w:t>
            </w:r>
          </w:p>
        </w:tc>
        <w:tc>
          <w:tcPr>
            <w:tcW w:type="dxa" w:w="8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GMV (Cr)</w:t>
            </w:r>
          </w:p>
        </w:tc>
        <w:tc>
          <w:tcPr>
            <w:tcW w:type="dxa" w:w="1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Txns</w:t>
            </w:r>
          </w:p>
        </w:tc>
        <w:tc>
          <w:tcPr>
            <w:tcW w:type="dxa" w:w="8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AIF</w:t>
            </w:r>
          </w:p>
        </w:tc>
        <w:tc>
          <w:tcPr>
            <w:tcW w:type="dxa" w:w="11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Txning Users</w:t>
            </w:r>
          </w:p>
        </w:tc>
        <w:tc>
          <w:tcPr>
            <w:tcW w:type="dxa" w:w="8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SPAC</w:t>
            </w:r>
          </w:p>
        </w:tc>
        <w:tc>
          <w:tcPr>
            <w:tcW w:type="dxa" w:w="8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Limit (Cr)</w:t>
            </w:r>
          </w:p>
        </w:tc>
        <w:tc>
          <w:tcPr>
            <w:tcW w:type="dxa" w:w="9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Avg CF (Onb.)</w:t>
            </w:r>
          </w:p>
        </w:tc>
        <w:tc>
          <w:tcPr>
            <w:tcW w:type="dxa" w:w="8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Avg CF (Txn)</w:t>
            </w:r>
          </w:p>
        </w:tc>
      </w:tr>
      <w:tr>
        <w:tc>
          <w:tcPr>
            <w:tcW w:type="dxa" w:w="11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bCs/>
                <w:color w:val="424242"/>
                <w:sz w:val="18"/>
                <w:szCs w:val="18"/>
              </w:rPr>
              <w:t xml:space="preserve">Feb-26</w:t>
            </w:r>
          </w:p>
        </w:tc>
        <w:tc>
          <w:tcPr>
            <w:tcW w:type="dxa" w:w="9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62,202</w:t>
            </w:r>
          </w:p>
        </w:tc>
        <w:tc>
          <w:tcPr>
            <w:tcW w:type="dxa" w:w="8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66.48</w:t>
            </w:r>
          </w:p>
        </w:tc>
        <w:tc>
          <w:tcPr>
            <w:tcW w:type="dxa" w:w="10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14.39L</w:t>
            </w:r>
          </w:p>
        </w:tc>
        <w:tc>
          <w:tcPr>
            <w:tcW w:type="dxa" w:w="8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61,293</w:t>
            </w:r>
          </w:p>
        </w:tc>
        <w:tc>
          <w:tcPr>
            <w:tcW w:type="dxa" w:w="11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1,52,800</w:t>
            </w:r>
          </w:p>
        </w:tc>
        <w:tc>
          <w:tcPr>
            <w:tcW w:type="dxa" w:w="8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4,351</w:t>
            </w:r>
          </w:p>
        </w:tc>
        <w:tc>
          <w:tcPr>
            <w:tcW w:type="dxa" w:w="8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39.89</w:t>
            </w:r>
          </w:p>
        </w:tc>
        <w:tc>
          <w:tcPr>
            <w:tcW w:type="dxa" w:w="9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2.65</w:t>
            </w:r>
          </w:p>
        </w:tc>
        <w:tc>
          <w:tcPr>
            <w:tcW w:type="dxa" w:w="88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2.31</w:t>
            </w:r>
          </w:p>
        </w:tc>
      </w:tr>
      <w:tr>
        <w:tc>
          <w:tcPr>
            <w:tcW w:type="dxa" w:w="11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Jan-26</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72,404</w:t>
            </w:r>
          </w:p>
        </w:tc>
        <w:tc>
          <w:tcPr>
            <w:tcW w:type="dxa" w:w="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60.04</w:t>
            </w:r>
          </w:p>
        </w:tc>
        <w:tc>
          <w:tcPr>
            <w:tcW w:type="dxa" w:w="1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13.15L</w:t>
            </w:r>
          </w:p>
        </w:tc>
        <w:tc>
          <w:tcPr>
            <w:tcW w:type="dxa" w:w="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69,035</w:t>
            </w:r>
          </w:p>
        </w:tc>
        <w:tc>
          <w:tcPr>
            <w:tcW w:type="dxa" w:w="11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1,22,580</w:t>
            </w:r>
          </w:p>
        </w:tc>
        <w:tc>
          <w:tcPr>
            <w:tcW w:type="dxa" w:w="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4,898</w:t>
            </w:r>
          </w:p>
        </w:tc>
        <w:tc>
          <w:tcPr>
            <w:tcW w:type="dxa" w:w="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53.84</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2.57</w:t>
            </w:r>
          </w:p>
        </w:tc>
        <w:tc>
          <w:tcPr>
            <w:tcW w:type="dxa" w:w="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2.27</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Dec-25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84,534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45.70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9.77L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78,054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90,688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5,039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58.28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2.58</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2.27</w:t>
            </w:r>
          </w:p>
        </w:tc>
      </w:tr>
      <w:tr>
        <w:tc>
          <w:tcPr>
            <w:tcW w:type="dxa" w:w="11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Nov-25</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87,037</w:t>
            </w:r>
          </w:p>
        </w:tc>
        <w:tc>
          <w:tcPr>
            <w:tcW w:type="dxa" w:w="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23.67</w:t>
            </w:r>
          </w:p>
        </w:tc>
        <w:tc>
          <w:tcPr>
            <w:tcW w:type="dxa" w:w="1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5.07L</w:t>
            </w:r>
          </w:p>
        </w:tc>
        <w:tc>
          <w:tcPr>
            <w:tcW w:type="dxa" w:w="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79,008</w:t>
            </w:r>
          </w:p>
        </w:tc>
        <w:tc>
          <w:tcPr>
            <w:tcW w:type="dxa" w:w="11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47,214</w:t>
            </w:r>
          </w:p>
        </w:tc>
        <w:tc>
          <w:tcPr>
            <w:tcW w:type="dxa" w:w="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5,014</w:t>
            </w:r>
          </w:p>
        </w:tc>
        <w:tc>
          <w:tcPr>
            <w:tcW w:type="dxa" w:w="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60.65</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2.56</w:t>
            </w:r>
          </w:p>
        </w:tc>
        <w:tc>
          <w:tcPr>
            <w:tcW w:type="dxa" w:w="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2.21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Oct-25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37,183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10.08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2.10L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33,115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20,958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4,811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36.29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2.38</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2.16</w:t>
            </w:r>
          </w:p>
        </w:tc>
      </w:tr>
      <w:tr>
        <w:tc>
          <w:tcPr>
            <w:tcW w:type="dxa" w:w="11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Sep-25</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9,483</w:t>
            </w:r>
          </w:p>
        </w:tc>
        <w:tc>
          <w:tcPr>
            <w:tcW w:type="dxa" w:w="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1.16</w:t>
            </w:r>
          </w:p>
        </w:tc>
        <w:tc>
          <w:tcPr>
            <w:tcW w:type="dxa" w:w="1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24,463</w:t>
            </w:r>
          </w:p>
        </w:tc>
        <w:tc>
          <w:tcPr>
            <w:tcW w:type="dxa" w:w="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8,274</w:t>
            </w:r>
          </w:p>
        </w:tc>
        <w:tc>
          <w:tcPr>
            <w:tcW w:type="dxa" w:w="11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3,986</w:t>
            </w:r>
          </w:p>
        </w:tc>
        <w:tc>
          <w:tcPr>
            <w:tcW w:type="dxa" w:w="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2,902</w:t>
            </w:r>
          </w:p>
        </w:tc>
        <w:tc>
          <w:tcPr>
            <w:tcW w:type="dxa" w:w="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9.33</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2.33</w:t>
            </w:r>
          </w:p>
        </w:tc>
        <w:tc>
          <w:tcPr>
            <w:tcW w:type="dxa" w:w="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2.25</w:t>
            </w:r>
          </w:p>
        </w:tc>
      </w:tr>
    </w:tbl>
    <w:p>
      <w:pPr>
        <w:spacing w:before="60" w:after="40"/>
      </w:pPr>
    </w:p>
    <w:p>
      <w:pPr>
        <w:spacing w:before="60" w:after="60"/>
      </w:pPr>
      <w:r>
        <w:rPr>
          <w:rFonts w:ascii="Calibri" w:cs="Calibri" w:eastAsia="Calibri" w:hAnsi="Calibri"/>
          <w:i/>
          <w:iCs/>
          <w:color w:val="888888"/>
          <w:sz w:val="20"/>
          <w:szCs w:val="20"/>
        </w:rPr>
        <w:t xml:space="preserve">Metric glossary: GMV = Gross Merchandise Value (₹Cr); AIF = Active In-Flow (users with at least 1 txn in month); SPAC = Spend per Active Customer; Avg CF = Average Convenience Fee (₹).</w:t>
      </w:r>
    </w:p>
    <w:p>
      <w:pPr>
        <w:spacing w:before="140" w:after="60"/>
      </w:pPr>
    </w:p>
    <w:p>
      <w:pPr>
        <w:pStyle w:val="Heading2"/>
        <w:spacing w:before="240" w:after="80"/>
      </w:pPr>
      <w:r>
        <w:rPr>
          <w:rFonts w:ascii="Calibri" w:cs="Calibri" w:eastAsia="Calibri" w:hAnsi="Calibri"/>
          <w:b/>
          <w:bCs/>
          <w:color w:val="1565C0"/>
          <w:sz w:val="26"/>
          <w:szCs w:val="26"/>
        </w:rPr>
        <w:t xml:space="preserve">2.2 Portfolio KPI Cards — Current Month Snapshot</w:t>
      </w:r>
    </w:p>
    <w:p>
      <w:pPr>
        <w:spacing w:before="60" w:after="60"/>
      </w:pPr>
      <w:r>
        <w:rPr>
          <w:rFonts w:ascii="Calibri" w:cs="Calibri" w:eastAsia="Calibri" w:hAnsi="Calibri"/>
          <w:sz w:val="20"/>
          <w:szCs w:val="20"/>
        </w:rPr>
        <w:t xml:space="preserve">Below the MoM table, six KPI cards show the current month's key metrics with MoM delta badges:</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1880"/>
        <w:gridCol w:w="1800"/>
        <w:gridCol w:w="3200"/>
      </w:tblGrid>
      <w:tr>
        <w:tc>
          <w:tcPr>
            <w:tcW w:type="dxa" w:w="22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KPI</w:t>
            </w:r>
          </w:p>
        </w:tc>
        <w:tc>
          <w:tcPr>
            <w:tcW w:type="dxa" w:w="18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Feb-26 Value</w:t>
            </w:r>
          </w:p>
        </w:tc>
        <w:tc>
          <w:tcPr>
            <w:tcW w:type="dxa" w:w="18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MoM Delta</w:t>
            </w:r>
          </w:p>
        </w:tc>
        <w:tc>
          <w:tcPr>
            <w:tcW w:type="dxa" w:w="32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RAG Logic</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Total Active Accounts</w:t>
            </w:r>
          </w:p>
        </w:tc>
        <w:tc>
          <w:tcPr>
            <w:tcW w:type="dxa" w:w="1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3,26,843</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424242"/>
                <w:sz w:val="18"/>
                <w:szCs w:val="18"/>
              </w:rPr>
              <w:t xml:space="preserve">—</w:t>
            </w:r>
          </w:p>
        </w:tc>
        <w:tc>
          <w:tcPr>
            <w:tcW w:type="dxa" w:w="3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Baseline — track weekly growth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Monthly Signups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62,202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B71C1C"/>
                <w:sz w:val="18"/>
                <w:szCs w:val="18"/>
              </w:rPr>
              <w:t xml:space="preserve">▼ −14% vs Jan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Red if MoM drop &gt;15%; Amber if 5–15%</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GMV (Cr)</w:t>
            </w:r>
          </w:p>
        </w:tc>
        <w:tc>
          <w:tcPr>
            <w:tcW w:type="dxa" w:w="1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₹66.48 Cr</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bCs/>
                <w:color w:val="1B5E20"/>
                <w:sz w:val="18"/>
                <w:szCs w:val="18"/>
              </w:rPr>
              <w:t xml:space="preserve">▲ +10.7% vs Jan</w:t>
            </w:r>
          </w:p>
        </w:tc>
        <w:tc>
          <w:tcPr>
            <w:tcW w:type="dxa" w:w="3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Green if GMV grows despite signup drop = good per-user depth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Txning Users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1,52,800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5E20"/>
                <w:sz w:val="18"/>
                <w:szCs w:val="18"/>
              </w:rPr>
              <w:t xml:space="preserve">▲ +24.6% vs Jan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Green if &gt;10% growth; Amber 0–10%; Red if decline</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SPAC (Spend/Active Customer)</w:t>
            </w:r>
          </w:p>
        </w:tc>
        <w:tc>
          <w:tcPr>
            <w:tcW w:type="dxa" w:w="1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₹4,351</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bCs/>
                <w:color w:val="BF360C"/>
                <w:sz w:val="18"/>
                <w:szCs w:val="18"/>
              </w:rPr>
              <w:t xml:space="preserve">▼ −11.2% vs Jan</w:t>
            </w:r>
          </w:p>
        </w:tc>
        <w:tc>
          <w:tcPr>
            <w:tcW w:type="dxa" w:w="3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Amber — declining per-user depth even as base grows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Frozen / Blocked Accounts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5,909 Frozen + 1,951 VKYC 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BF360C"/>
                <w:sz w:val="18"/>
                <w:szCs w:val="18"/>
              </w:rPr>
              <w:t xml:space="preserve">Watch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Red if &gt;2% of active base; Amber 1–2%; Green &lt;1%</w:t>
            </w:r>
          </w:p>
        </w:tc>
      </w:tr>
    </w:tbl>
    <w:p>
      <w:pPr>
        <w:spacing w:before="140" w:after="60"/>
      </w:pPr>
    </w:p>
    <w:p>
      <w:pPr>
        <w:pStyle w:val="Heading2"/>
        <w:spacing w:before="240" w:after="80"/>
      </w:pPr>
      <w:r>
        <w:rPr>
          <w:rFonts w:ascii="Calibri" w:cs="Calibri" w:eastAsia="Calibri" w:hAnsi="Calibri"/>
          <w:b/>
          <w:bCs/>
          <w:color w:val="1565C0"/>
          <w:sz w:val="26"/>
          <w:szCs w:val="26"/>
        </w:rPr>
        <w:t xml:space="preserve">2.3 Loan Account Status Distribution</w:t>
      </w:r>
    </w:p>
    <w:p>
      <w:pPr>
        <w:spacing w:before="60" w:after="60"/>
      </w:pPr>
      <w:r>
        <w:rPr>
          <w:rFonts w:ascii="Calibri" w:cs="Calibri" w:eastAsia="Calibri" w:hAnsi="Calibri"/>
          <w:sz w:val="20"/>
          <w:szCs w:val="20"/>
        </w:rPr>
        <w:t xml:space="preserve">A donut or horizontal bar chart showing the breakdown of all accounts by status (from Image 5). Alongside the chart, a table with counts:</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80"/>
      </w:tblGrid>
      <w:tr>
        <w:tc>
          <w:tcPr>
            <w:tcW w:type="dxa" w:w="24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Status</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Count</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 of Total</w:t>
            </w:r>
          </w:p>
        </w:tc>
        <w:tc>
          <w:tcPr>
            <w:tcW w:type="dxa" w:w="26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ACTIVE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3,26,843</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92.7%</w:t>
            </w:r>
          </w:p>
        </w:tc>
        <w:tc>
          <w:tcPr>
            <w:tcW w:type="dxa" w:w="2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None — healthy 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CLOSED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18,159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24242"/>
                <w:sz w:val="18"/>
                <w:szCs w:val="18"/>
              </w:rPr>
              <w:t xml:space="preserve">Track deactivation rate MoM</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FROZEN</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5,909</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1.7%</w:t>
            </w:r>
          </w:p>
        </w:tc>
        <w:tc>
          <w:tcPr>
            <w:tcW w:type="dxa" w:w="2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bCs/>
                <w:color w:val="BF360C"/>
                <w:sz w:val="18"/>
                <w:szCs w:val="18"/>
              </w:rPr>
              <w:t xml:space="preserve">⚠ Bill overdue — nudge repayment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VKYC_SOFTBLOCKED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1,951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0.6%</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BF360C"/>
                <w:sz w:val="18"/>
                <w:szCs w:val="18"/>
              </w:rPr>
              <w:t xml:space="preserve">⚠ VKYC pending — push completion</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N/A</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60</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&lt;0.1%</w:t>
            </w:r>
          </w:p>
        </w:tc>
        <w:tc>
          <w:tcPr>
            <w:tcW w:type="dxa" w:w="2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Investigate — unclassified state</w:t>
            </w:r>
          </w:p>
        </w:tc>
      </w:tr>
    </w:tbl>
    <w:p>
      <w:pPr>
        <w:spacing w:before="140" w:after="60"/>
      </w:pPr>
    </w:p>
    <w:p>
      <w:pPr>
        <w:pStyle w:val="Heading2"/>
        <w:spacing w:before="240" w:after="80"/>
      </w:pPr>
      <w:r>
        <w:rPr>
          <w:rFonts w:ascii="Calibri" w:cs="Calibri" w:eastAsia="Calibri" w:hAnsi="Calibri"/>
          <w:b/>
          <w:bCs/>
          <w:color w:val="1565C0"/>
          <w:sz w:val="26"/>
          <w:szCs w:val="26"/>
        </w:rPr>
        <w:t xml:space="preserve">2.4 Transacting Users — Repeat vs New vs Reactivated</w:t>
      </w:r>
    </w:p>
    <w:p>
      <w:pPr>
        <w:spacing w:before="60" w:after="60"/>
      </w:pPr>
      <w:r>
        <w:rPr>
          <w:rFonts w:ascii="Calibri" w:cs="Calibri" w:eastAsia="Calibri" w:hAnsi="Calibri"/>
          <w:sz w:val="20"/>
          <w:szCs w:val="20"/>
        </w:rPr>
        <w:t xml:space="preserve">A stacked bar chart MoM (from Image 11) showing three segments per month: Repeat users (teal), New users (dark blue), Inactive-last-month (reactivated, green). Key insight this surfaces: as the product matures, the repeat user bar should dominate — a growing 'inactive last month' bar is a retention warning signal.</w:t>
      </w:r>
    </w:p>
    <w:p>
      <w:pPr>
        <w:spacing w:before="80" w:after="40"/>
      </w:pPr>
    </w:p>
    <w:p>
      <w:pPr>
        <w:spacing w:before="60" w:after="60"/>
      </w:pPr>
      <w:r>
        <w:rPr>
          <w:rFonts w:ascii="Calibri" w:cs="Calibri" w:eastAsia="Calibri" w:hAnsi="Calibri"/>
          <w:sz w:val="20"/>
          <w:szCs w:val="20"/>
        </w:rPr>
        <w:t xml:space="preserve">Mock data for sparkline (Aug-25 to Feb-26):</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80"/>
        <w:gridCol w:w="2000"/>
        <w:gridCol w:w="2200"/>
      </w:tblGrid>
      <w:tr>
        <w:tc>
          <w:tcPr>
            <w:tcW w:type="dxa" w:w="14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Month</w:t>
            </w:r>
          </w:p>
        </w:tc>
        <w:tc>
          <w:tcPr>
            <w:tcW w:type="dxa" w:w="18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Repeat Users</w:t>
            </w:r>
          </w:p>
        </w:tc>
        <w:tc>
          <w:tcPr>
            <w:tcW w:type="dxa" w:w="16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New Users</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Inactive Last Month</w:t>
            </w:r>
          </w:p>
        </w:tc>
        <w:tc>
          <w:tcPr>
            <w:tcW w:type="dxa" w:w="22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Total Txning Users</w:t>
            </w:r>
          </w:p>
        </w:tc>
      </w:tr>
      <w:tr>
        <w:tc>
          <w:tcPr>
            <w:tcW w:type="dxa" w:w="14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bCs/>
                <w:color w:val="424242"/>
                <w:sz w:val="18"/>
                <w:szCs w:val="18"/>
              </w:rPr>
              <w:t xml:space="preserve">Feb-26</w:t>
            </w:r>
          </w:p>
        </w:tc>
        <w:tc>
          <w:tcPr>
            <w:tcW w:type="dxa" w:w="18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1,13,460</w:t>
            </w:r>
          </w:p>
        </w:tc>
        <w:tc>
          <w:tcPr>
            <w:tcW w:type="dxa" w:w="168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46,882</w:t>
            </w:r>
          </w:p>
        </w:tc>
        <w:tc>
          <w:tcPr>
            <w:tcW w:type="dxa" w:w="20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20,722</w:t>
            </w:r>
          </w:p>
        </w:tc>
        <w:tc>
          <w:tcPr>
            <w:tcW w:type="dxa" w:w="22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1,81,064</w:t>
            </w:r>
          </w:p>
        </w:tc>
      </w:tr>
      <w:tr>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Jan-26</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81,148</w:t>
            </w:r>
          </w:p>
        </w:tc>
        <w:tc>
          <w:tcPr>
            <w:tcW w:type="dxa" w:w="1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47,484</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16,052</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1,44,684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Dec-25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43,688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51,344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6,706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1,01,738</w:t>
            </w:r>
          </w:p>
        </w:tc>
      </w:tr>
      <w:tr>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Nov-25</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18,624</w:t>
            </w:r>
          </w:p>
        </w:tc>
        <w:tc>
          <w:tcPr>
            <w:tcW w:type="dxa" w:w="1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30,876</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3,112</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52,612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Oct-25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4,091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17,956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22,463</w:t>
            </w:r>
          </w:p>
        </w:tc>
      </w:tr>
    </w:tbl>
    <w:p>
      <w:r>
        <w:br w:type="page"/>
      </w:r>
    </w:p>
    <w:p>
      <w:pPr>
        <w:pStyle w:val="Heading1"/>
        <w:spacing w:before="400" w:after="120"/>
      </w:pPr>
      <w:r>
        <w:rPr>
          <w:rFonts w:ascii="Calibri" w:cs="Calibri" w:eastAsia="Calibri" w:hAnsi="Calibri"/>
          <w:b/>
          <w:bCs/>
          <w:color w:val="003366"/>
          <w:sz w:val="34"/>
          <w:szCs w:val="34"/>
        </w:rPr>
        <w:t xml:space="preserve">3. Section 2 — Bill Reconciliation (SSFB vs Paytm LMS)</w:t>
      </w:r>
    </w:p>
    <w:p>
      <w:pPr>
        <w:pBdr>
          <w:bottom w:val="single" w:color="1565C0" w:sz="6" w:space="1"/>
        </w:pBdr>
        <w:spacing w:before="80" w:after="80"/>
      </w:pPr>
    </w:p>
    <w:p>
      <w:pPr>
        <w:spacing w:before="60" w:after="60"/>
      </w:pPr>
      <w:r>
        <w:rPr>
          <w:rFonts w:ascii="Calibri" w:cs="Calibri" w:eastAsia="Calibri" w:hAnsi="Calibri"/>
          <w:sz w:val="20"/>
          <w:szCs w:val="20"/>
        </w:rPr>
        <w:t xml:space="preserve">Bill Recon is the operational integrity check. SSFB (lender) is the source of truth for all billing data. Paytm LMS must stay in sync. When they diverge, it means a user's bill on the Paytm app is incorrect relative to what the lender holds — creating downstream issues in repayment, dues, and CST tickets.</w:t>
      </w:r>
    </w:p>
    <w:p>
      <w:pPr>
        <w:spacing w:before="80" w:after="40"/>
      </w:pPr>
    </w:p>
    <w:p>
      <w:pPr>
        <w:spacing w:before="60" w:after="60"/>
      </w:pPr>
      <w:r>
        <w:rPr>
          <w:rFonts w:ascii="Calibri" w:cs="Calibri" w:eastAsia="Calibri" w:hAnsi="Calibri"/>
          <w:sz w:val="20"/>
          <w:szCs w:val="20"/>
        </w:rPr>
        <w:t xml:space="preserve">Today this view shows aggregate deltas. The critical missing piece is LAN-level drill-down: when a PM sees a mismatch, they cannot immediately identify which accounts are affected and take action. This section adds that capability.</w:t>
      </w:r>
    </w:p>
    <w:p>
      <w:pPr>
        <w:spacing w:before="100" w:after="60"/>
      </w:pPr>
    </w:p>
    <w:p>
      <w:pPr>
        <w:pStyle w:val="Heading2"/>
        <w:spacing w:before="240" w:after="80"/>
      </w:pPr>
      <w:r>
        <w:rPr>
          <w:rFonts w:ascii="Calibri" w:cs="Calibri" w:eastAsia="Calibri" w:hAnsi="Calibri"/>
          <w:b/>
          <w:bCs/>
          <w:color w:val="1565C0"/>
          <w:sz w:val="26"/>
          <w:szCs w:val="26"/>
        </w:rPr>
        <w:t xml:space="preserve">3.1 Information Hierarchy for Bill Recon</w:t>
      </w:r>
    </w:p>
    <w:p>
      <w:pPr>
        <w:spacing w:before="60" w:after="60"/>
      </w:pPr>
      <w:r>
        <w:rPr>
          <w:rFonts w:ascii="Calibri" w:cs="Calibri" w:eastAsia="Calibri" w:hAnsi="Calibri"/>
          <w:sz w:val="20"/>
          <w:szCs w:val="20"/>
        </w:rPr>
        <w:t xml:space="preserve">Three progressive layers — Aggregate → Delta Accounts → LAN-level Action:</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080"/>
        <w:gridCol w:w="3000"/>
      </w:tblGrid>
      <w:tr>
        <w:tc>
          <w:tcPr>
            <w:tcW w:type="dxa" w:w="1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Layer</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View</w:t>
            </w:r>
          </w:p>
        </w:tc>
        <w:tc>
          <w:tcPr>
            <w:tcW w:type="dxa" w:w="30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What the PM sees</w:t>
            </w:r>
          </w:p>
        </w:tc>
        <w:tc>
          <w:tcPr>
            <w:tcW w:type="dxa" w:w="3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Action available</w:t>
            </w:r>
          </w:p>
        </w:tc>
      </w:tr>
      <w:tr>
        <w:tc>
          <w:tcPr>
            <w:tcW w:type="dxa" w:w="1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L1</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Snapshot Table</w:t>
            </w:r>
          </w:p>
        </w:tc>
        <w:tc>
          <w:tcPr>
            <w:tcW w:type="dxa" w:w="3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Aggregate counts — Total Bills, Bills with Value &gt;0, Total Bill Amount, CF Amount, Bounce Fee, Late Fee. SSFB vs Paytm LMS vs Difference.</w:t>
            </w:r>
          </w:p>
        </w:tc>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None — diagnostic only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L2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Delta Summary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Which dimensions have a non-zero Difference? Filter to only show mismatched rows. Count of LANs with delta.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Click row → opens L3</w:t>
            </w:r>
          </w:p>
        </w:tc>
      </w:tr>
      <w:tr>
        <w:tc>
          <w:tcPr>
            <w:tcW w:type="dxa" w:w="1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L3</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LAN-Level Delta Table</w:t>
            </w:r>
          </w:p>
        </w:tc>
        <w:tc>
          <w:tcPr>
            <w:tcW w:type="dxa" w:w="3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Individual LANs with delta: PAYTM LMS LAN, SSFB LAN, SSFB Value, LMS Value, Difference, Repayment status.</w:t>
            </w:r>
          </w:p>
        </w:tc>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Select LANs → 'Send to Lender' email action</w:t>
            </w:r>
          </w:p>
        </w:tc>
      </w:tr>
    </w:tbl>
    <w:p>
      <w:pPr>
        <w:spacing w:before="140" w:after="60"/>
      </w:pPr>
    </w:p>
    <w:p>
      <w:pPr>
        <w:pStyle w:val="Heading2"/>
        <w:spacing w:before="240" w:after="80"/>
      </w:pPr>
      <w:r>
        <w:rPr>
          <w:rFonts w:ascii="Calibri" w:cs="Calibri" w:eastAsia="Calibri" w:hAnsi="Calibri"/>
          <w:b/>
          <w:bCs/>
          <w:color w:val="1565C0"/>
          <w:sz w:val="26"/>
          <w:szCs w:val="26"/>
        </w:rPr>
        <w:t xml:space="preserve">3.2 L1 — Bill Recon Snapshot (Aggregate)</w:t>
      </w:r>
    </w:p>
    <w:p>
      <w:pPr>
        <w:spacing w:before="60" w:after="60"/>
      </w:pPr>
      <w:r>
        <w:rPr>
          <w:rFonts w:ascii="Calibri" w:cs="Calibri" w:eastAsia="Calibri" w:hAnsi="Calibri"/>
          <w:sz w:val="20"/>
          <w:szCs w:val="20"/>
        </w:rPr>
        <w:t xml:space="preserve">The snapshot table from Image 1. Displayed as a clean metrics grid — not a raw data table. Use card-style layout with colour-coded Difference column: Green if Difference = 0, Red if &gt;0. Month selector at the top (default: current month).</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80"/>
      </w:tblGrid>
      <w:tr>
        <w:tc>
          <w:tcPr>
            <w:tcW w:type="dxa" w:w="28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Dimension</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SSFB File</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Paytm LMS</w:t>
            </w:r>
          </w:p>
        </w:tc>
        <w:tc>
          <w:tcPr>
            <w:tcW w:type="dxa" w:w="22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Difference / Status</w:t>
            </w:r>
          </w:p>
        </w:tc>
      </w:tr>
      <w:tr>
        <w:tc>
          <w:tcPr>
            <w:tcW w:type="dxa" w:w="2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Total Bills</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2,77,395</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0</w:t>
            </w:r>
          </w:p>
        </w:tc>
        <w:tc>
          <w:tcPr>
            <w:tcW w:type="dxa" w:w="22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bCs/>
                <w:color w:val="B71C1C"/>
                <w:sz w:val="18"/>
                <w:szCs w:val="18"/>
              </w:rPr>
              <w:t xml:space="preserve">▲ 2,77,395 — Under 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Bills with Value =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1,45,347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B71C1C"/>
                <w:sz w:val="18"/>
                <w:szCs w:val="18"/>
              </w:rPr>
              <w:t xml:space="preserve">▲ 1,45,347</w:t>
            </w:r>
          </w:p>
        </w:tc>
      </w:tr>
      <w:tr>
        <w:tc>
          <w:tcPr>
            <w:tcW w:type="dxa" w:w="2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Bills with Value &gt; 0</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1,32,048</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0</w:t>
            </w:r>
          </w:p>
        </w:tc>
        <w:tc>
          <w:tcPr>
            <w:tcW w:type="dxa" w:w="22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bCs/>
                <w:color w:val="B71C1C"/>
                <w:sz w:val="18"/>
                <w:szCs w:val="18"/>
              </w:rPr>
              <w:t xml:space="preserve">▲ 1,32,048 — Active delta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Total Bill Amount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53.71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N/A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BF360C"/>
                <w:sz w:val="18"/>
                <w:szCs w:val="18"/>
              </w:rPr>
              <w:t xml:space="preserve">N/A — LMS not populated</w:t>
            </w:r>
          </w:p>
        </w:tc>
      </w:tr>
      <w:tr>
        <w:tc>
          <w:tcPr>
            <w:tcW w:type="dxa" w:w="2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Accounts with Convenience Fee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1,28,245</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0</w:t>
            </w:r>
          </w:p>
        </w:tc>
        <w:tc>
          <w:tcPr>
            <w:tcW w:type="dxa" w:w="22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B71C1C"/>
                <w:sz w:val="18"/>
                <w:szCs w:val="18"/>
              </w:rPr>
              <w:t xml:space="preserve">▲ 1,28,245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Accounts with Bounce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22,812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B71C1C"/>
                <w:sz w:val="18"/>
                <w:szCs w:val="18"/>
              </w:rPr>
              <w:t xml:space="preserve">▲ 22,812</w:t>
            </w:r>
          </w:p>
        </w:tc>
      </w:tr>
      <w:tr>
        <w:tc>
          <w:tcPr>
            <w:tcW w:type="dxa" w:w="2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Accounts with Late Fee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4,742</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0</w:t>
            </w:r>
          </w:p>
        </w:tc>
        <w:tc>
          <w:tcPr>
            <w:tcW w:type="dxa" w:w="22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B71C1C"/>
                <w:sz w:val="18"/>
                <w:szCs w:val="18"/>
              </w:rPr>
              <w:t xml:space="preserve">▲ 4,742</w:t>
            </w:r>
          </w:p>
        </w:tc>
      </w:tr>
    </w:tbl>
    <w:p>
      <w:pPr>
        <w:spacing w:before="60" w:after="40"/>
      </w:pPr>
    </w:p>
    <w:p>
      <w:pPr>
        <w:spacing w:before="60" w:after="60"/>
      </w:pPr>
      <w:r>
        <w:rPr>
          <w:rFonts w:ascii="Calibri" w:cs="Calibri" w:eastAsia="Calibri" w:hAnsi="Calibri"/>
          <w:i/>
          <w:iCs/>
          <w:color w:val="888888"/>
          <w:sz w:val="20"/>
          <w:szCs w:val="20"/>
        </w:rPr>
        <w:t xml:space="preserve">Design note: N/A values in Paytm LMS column should be visually distinct (light grey italic) — they are expected gaps, not errors. Only non-zero Differences in account-count rows are true reconciliation issues.</w:t>
      </w:r>
    </w:p>
    <w:p>
      <w:pPr>
        <w:spacing w:before="140" w:after="60"/>
      </w:pPr>
    </w:p>
    <w:p>
      <w:pPr>
        <w:pStyle w:val="Heading2"/>
        <w:spacing w:before="240" w:after="80"/>
      </w:pPr>
      <w:r>
        <w:rPr>
          <w:rFonts w:ascii="Calibri" w:cs="Calibri" w:eastAsia="Calibri" w:hAnsi="Calibri"/>
          <w:b/>
          <w:bCs/>
          <w:color w:val="1565C0"/>
          <w:sz w:val="26"/>
          <w:szCs w:val="26"/>
        </w:rPr>
        <w:t xml:space="preserve">3.3 L2 — Delta Focus View</w:t>
      </w:r>
    </w:p>
    <w:p>
      <w:pPr>
        <w:spacing w:before="60" w:after="60"/>
      </w:pPr>
      <w:r>
        <w:rPr>
          <w:rFonts w:ascii="Calibri" w:cs="Calibri" w:eastAsia="Calibri" w:hAnsi="Calibri"/>
          <w:sz w:val="20"/>
          <w:szCs w:val="20"/>
        </w:rPr>
        <w:t xml:space="preserve">A filtered sub-view showing only dimensions where Difference &gt; 0 and where the LMS value is expected (not N/A). This is the PM's working list of what needs resolution. Displayed as a compact table with a 'View LANs' button on each row.</w:t>
      </w:r>
    </w:p>
    <w:p>
      <w:pPr>
        <w:spacing w:before="80" w:after="40"/>
      </w:pPr>
    </w:p>
    <w:p>
      <w:pPr>
        <w:spacing w:before="60" w:after="60"/>
      </w:pPr>
      <w:r>
        <w:rPr>
          <w:rFonts w:ascii="Calibri" w:cs="Calibri" w:eastAsia="Calibri" w:hAnsi="Calibri"/>
          <w:sz w:val="20"/>
          <w:szCs w:val="20"/>
        </w:rPr>
        <w:t xml:space="preserve">A summary badge at the top: 'X dimensions in mismatch across Y unique LANs — last checked [timestamp]'</w:t>
      </w:r>
    </w:p>
    <w:p>
      <w:pPr>
        <w:spacing w:before="140" w:after="60"/>
      </w:pPr>
    </w:p>
    <w:p>
      <w:pPr>
        <w:pStyle w:val="Heading2"/>
        <w:spacing w:before="240" w:after="80"/>
      </w:pPr>
      <w:r>
        <w:rPr>
          <w:rFonts w:ascii="Calibri" w:cs="Calibri" w:eastAsia="Calibri" w:hAnsi="Calibri"/>
          <w:b/>
          <w:bCs/>
          <w:color w:val="1565C0"/>
          <w:sz w:val="26"/>
          <w:szCs w:val="26"/>
        </w:rPr>
        <w:t xml:space="preserve">3.4 L3 — LAN-Level Delta Table (The Key Innovation)</w:t>
      </w:r>
    </w:p>
    <w:p>
      <w:pPr>
        <w:spacing w:before="60" w:after="60"/>
      </w:pPr>
      <w:r>
        <w:rPr>
          <w:rFonts w:ascii="Calibri" w:cs="Calibri" w:eastAsia="Calibri" w:hAnsi="Calibri"/>
          <w:sz w:val="20"/>
          <w:szCs w:val="20"/>
        </w:rPr>
        <w:t xml:space="preserve">Reached by clicking 'View LANs' on any L2 row, or from a 'Drill into LANs' CTA on the snapshot. This is the most important new capability — it exposes the individual loan accounts causing aggregate mismatches, enabling the PM to take direct action.</w:t>
      </w:r>
    </w:p>
    <w:p>
      <w:pPr>
        <w:spacing w:before="80" w:after="60"/>
      </w:pPr>
    </w:p>
    <w:p>
      <w:pPr>
        <w:spacing w:before="160" w:after="60"/>
      </w:pPr>
      <w:r>
        <w:rPr>
          <w:rFonts w:ascii="Calibri" w:cs="Calibri" w:eastAsia="Calibri" w:hAnsi="Calibri"/>
          <w:b/>
          <w:bCs/>
          <w:color w:val="424242"/>
          <w:sz w:val="22"/>
          <w:szCs w:val="22"/>
        </w:rPr>
        <w:t xml:space="preserve">3.4.1 LAN Table Layout</w:t>
      </w:r>
    </w:p>
    <w:p>
      <w:pPr>
        <w:spacing w:before="60" w:after="60"/>
      </w:pPr>
      <w:r>
        <w:rPr>
          <w:rFonts w:ascii="Calibri" w:cs="Calibri" w:eastAsia="Calibri" w:hAnsi="Calibri"/>
          <w:sz w:val="20"/>
          <w:szCs w:val="20"/>
        </w:rPr>
        <w:t xml:space="preserve">Columns: Month, Dimension, PAYTM LMS LAN Number, SSFB LAN, SSFB Value, LMS Value, Difference, Repayment (₹). Rows are sortable by Difference (default: descending) and filterable by Dimension. Pagination at 50 per page. A checkbox on each row enables multi-select.</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900"/>
        <w:gridCol w:w="900"/>
        <w:gridCol w:w="900"/>
        <w:gridCol w:w="1480"/>
      </w:tblGrid>
      <w:tr>
        <w:tc>
          <w:tcPr>
            <w:tcW w:type="dxa" w:w="5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w:t>
            </w:r>
          </w:p>
        </w:tc>
        <w:tc>
          <w:tcPr>
            <w:tcW w:type="dxa" w:w="22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LMS LAN</w:t>
            </w:r>
          </w:p>
        </w:tc>
        <w:tc>
          <w:tcPr>
            <w:tcW w:type="dxa" w:w="22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SSFB LAN</w:t>
            </w:r>
          </w:p>
        </w:tc>
        <w:tc>
          <w:tcPr>
            <w:tcW w:type="dxa" w:w="9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SSFB Val</w:t>
            </w:r>
          </w:p>
        </w:tc>
        <w:tc>
          <w:tcPr>
            <w:tcW w:type="dxa" w:w="9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LMS Val</w:t>
            </w:r>
          </w:p>
        </w:tc>
        <w:tc>
          <w:tcPr>
            <w:tcW w:type="dxa" w:w="9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Diff</w:t>
            </w:r>
          </w:p>
        </w:tc>
        <w:tc>
          <w:tcPr>
            <w:tcW w:type="dxa" w:w="14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Repayment (₹)</w:t>
            </w:r>
          </w:p>
        </w:tc>
      </w:tr>
      <w:tr>
        <w:tc>
          <w:tcPr>
            <w:tcW w:type="dxa" w:w="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PYTMPPSSFB501744372</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8551761833454364</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0</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bCs/>
                <w:color w:val="B71C1C"/>
                <w:sz w:val="18"/>
                <w:szCs w:val="18"/>
              </w:rPr>
              <w:t xml:space="preserve">1</w:t>
            </w:r>
          </w:p>
        </w:tc>
        <w:tc>
          <w:tcPr>
            <w:tcW w:type="dxa" w:w="1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3,757.05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PYTMPPSSFB5017219376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5451767205150113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B71C1C"/>
                <w:sz w:val="18"/>
                <w:szCs w:val="18"/>
              </w:rPr>
              <w:t xml:space="preserve">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25.59</w:t>
            </w:r>
          </w:p>
        </w:tc>
      </w:tr>
      <w:tr>
        <w:tc>
          <w:tcPr>
            <w:tcW w:type="dxa" w:w="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PYTMPPSSFB501741581</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2411761740246596</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0</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bCs/>
                <w:color w:val="B71C1C"/>
                <w:sz w:val="18"/>
                <w:szCs w:val="18"/>
              </w:rPr>
              <w:t xml:space="preserve">1</w:t>
            </w:r>
          </w:p>
        </w:tc>
        <w:tc>
          <w:tcPr>
            <w:tcW w:type="dxa" w:w="1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2,568.61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PYTMPPSSFB5017181621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4261765713686632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B71C1C"/>
                <w:sz w:val="18"/>
                <w:szCs w:val="18"/>
              </w:rPr>
              <w:t xml:space="preserve">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700.00</w:t>
            </w:r>
          </w:p>
        </w:tc>
      </w:tr>
      <w:tr>
        <w:tc>
          <w:tcPr>
            <w:tcW w:type="dxa" w:w="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PYTMPPSSFB5017265677</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7841768981567453</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0</w:t>
            </w:r>
          </w:p>
        </w:tc>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bCs/>
                <w:color w:val="B71C1C"/>
                <w:sz w:val="18"/>
                <w:szCs w:val="18"/>
              </w:rPr>
              <w:t xml:space="preserve">1</w:t>
            </w:r>
          </w:p>
        </w:tc>
        <w:tc>
          <w:tcPr>
            <w:tcW w:type="dxa" w:w="1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0</w:t>
            </w:r>
          </w:p>
        </w:tc>
      </w:tr>
    </w:tbl>
    <w:p>
      <w:pPr>
        <w:spacing w:before="120" w:after="60"/>
      </w:pPr>
    </w:p>
    <w:p>
      <w:pPr>
        <w:spacing w:before="160" w:after="60"/>
      </w:pPr>
      <w:r>
        <w:rPr>
          <w:rFonts w:ascii="Calibri" w:cs="Calibri" w:eastAsia="Calibri" w:hAnsi="Calibri"/>
          <w:b/>
          <w:bCs/>
          <w:color w:val="424242"/>
          <w:sz w:val="22"/>
          <w:szCs w:val="22"/>
        </w:rPr>
        <w:t xml:space="preserve">3.4.2 Bulk Action — 'Send to Lender' Email</w:t>
      </w:r>
    </w:p>
    <w:p>
      <w:pPr>
        <w:spacing w:before="60" w:after="60"/>
      </w:pPr>
      <w:r>
        <w:rPr>
          <w:rFonts w:ascii="Calibri" w:cs="Calibri" w:eastAsia="Calibri" w:hAnsi="Calibri"/>
          <w:sz w:val="20"/>
          <w:szCs w:val="20"/>
        </w:rPr>
        <w:t xml:space="preserve">At the bottom of the LAN table, a floating action bar appears when ≥1 rows are selected. It shows: '[X LANs selected] — Send Reconciliation Request to SSFB'. Clicking opens a pre-filled email modal:</w:t>
      </w:r>
    </w:p>
    <w:p>
      <w:pPr>
        <w:spacing w:before="80" w:after="40"/>
      </w:pPr>
    </w:p>
    <w:p>
      <w:pPr>
        <w:pStyle w:val="ListParagraph"/>
        <w:numPr>
          <w:ilvl w:val="0"/>
          <w:numId w:val="2"/>
        </w:numPr>
        <w:spacing w:before="40" w:after="40"/>
      </w:pPr>
      <w:r>
        <w:rPr>
          <w:rFonts w:ascii="Calibri" w:cs="Calibri" w:eastAsia="Calibri" w:hAnsi="Calibri"/>
          <w:b/>
          <w:bCs/>
          <w:sz w:val="20"/>
          <w:szCs w:val="20"/>
        </w:rPr>
        <w:t xml:space="preserve">To: [SSFB ops email — configurable in settings]</w:t>
      </w:r>
    </w:p>
    <w:p>
      <w:pPr>
        <w:pStyle w:val="ListParagraph"/>
        <w:numPr>
          <w:ilvl w:val="0"/>
          <w:numId w:val="2"/>
        </w:numPr>
        <w:spacing w:before="40" w:after="40"/>
      </w:pPr>
      <w:r>
        <w:rPr>
          <w:rFonts w:ascii="Calibri" w:cs="Calibri" w:eastAsia="Calibri" w:hAnsi="Calibri"/>
          <w:b w:val="false"/>
          <w:bCs w:val="false"/>
          <w:sz w:val="20"/>
          <w:szCs w:val="20"/>
        </w:rPr>
        <w:t xml:space="preserve">Subject: 'Paytm Postpaid — LAN Reconciliation Request — [Dimension] — [Month] — [X LANs]'</w:t>
      </w:r>
    </w:p>
    <w:p>
      <w:pPr>
        <w:pStyle w:val="ListParagraph"/>
        <w:numPr>
          <w:ilvl w:val="0"/>
          <w:numId w:val="2"/>
        </w:numPr>
        <w:spacing w:before="40" w:after="40"/>
      </w:pPr>
      <w:r>
        <w:rPr>
          <w:rFonts w:ascii="Calibri" w:cs="Calibri" w:eastAsia="Calibri" w:hAnsi="Calibri"/>
          <w:b w:val="false"/>
          <w:bCs w:val="false"/>
          <w:sz w:val="20"/>
          <w:szCs w:val="20"/>
        </w:rPr>
        <w:t xml:space="preserve">Body: Auto-generated table of selected LANs with LAN number, SSFB value, LMS value, Difference, and Repayment amount</w:t>
      </w:r>
    </w:p>
    <w:p>
      <w:pPr>
        <w:pStyle w:val="ListParagraph"/>
        <w:numPr>
          <w:ilvl w:val="0"/>
          <w:numId w:val="2"/>
        </w:numPr>
        <w:spacing w:before="40" w:after="40"/>
      </w:pPr>
      <w:r>
        <w:rPr>
          <w:rFonts w:ascii="Calibri" w:cs="Calibri" w:eastAsia="Calibri" w:hAnsi="Calibri"/>
          <w:b w:val="false"/>
          <w:bCs w:val="false"/>
          <w:sz w:val="20"/>
          <w:szCs w:val="20"/>
        </w:rPr>
        <w:t xml:space="preserve">Attach: CSV export of selected rows</w:t>
      </w:r>
    </w:p>
    <w:p>
      <w:pPr>
        <w:spacing w:before="80" w:after="40"/>
      </w:pPr>
    </w:p>
    <w:p>
      <w:pPr>
        <w:spacing w:before="60" w:after="60"/>
      </w:pPr>
      <w:r>
        <w:rPr>
          <w:rFonts w:ascii="Calibri" w:cs="Calibri" w:eastAsia="Calibri" w:hAnsi="Calibri"/>
          <w:sz w:val="20"/>
          <w:szCs w:val="20"/>
        </w:rPr>
        <w:t xml:space="preserve">The PM reviews the email preview, edits if needed, and sends. A 'Sent' status tag appears on those LAN rows. This closes the loop between identifying a mismatch and escalating it — entirely within the dashboard.</w:t>
      </w:r>
    </w:p>
    <w:p>
      <w:r>
        <w:br w:type="page"/>
      </w:r>
    </w:p>
    <w:p>
      <w:pPr>
        <w:pStyle w:val="Heading1"/>
        <w:spacing w:before="400" w:after="120"/>
      </w:pPr>
      <w:r>
        <w:rPr>
          <w:rFonts w:ascii="Calibri" w:cs="Calibri" w:eastAsia="Calibri" w:hAnsi="Calibri"/>
          <w:b/>
          <w:bCs/>
          <w:color w:val="003366"/>
          <w:sz w:val="34"/>
          <w:szCs w:val="34"/>
        </w:rPr>
        <w:t xml:space="preserve">4. Section 3 — Repayment &amp; DPD Reconciliation</w:t>
      </w:r>
    </w:p>
    <w:p>
      <w:pPr>
        <w:pBdr>
          <w:bottom w:val="single" w:color="1565C0" w:sz="6" w:space="1"/>
        </w:pBdr>
        <w:spacing w:before="80" w:after="80"/>
      </w:pPr>
    </w:p>
    <w:p>
      <w:pPr>
        <w:spacing w:before="60" w:after="60"/>
      </w:pPr>
      <w:r>
        <w:rPr>
          <w:rFonts w:ascii="Calibri" w:cs="Calibri" w:eastAsia="Calibri" w:hAnsi="Calibri"/>
          <w:sz w:val="20"/>
          <w:szCs w:val="20"/>
        </w:rPr>
        <w:t xml:space="preserve">Repayment recon answers: how much of the total billed amount has been recovered, and which users are overdue by how many days? This is a risk and ops view. Two sub-views: Repayment Snapshot and DPD Distribution.</w:t>
      </w:r>
    </w:p>
    <w:p>
      <w:pPr>
        <w:spacing w:before="100" w:after="60"/>
      </w:pPr>
    </w:p>
    <w:p>
      <w:pPr>
        <w:pStyle w:val="Heading2"/>
        <w:spacing w:before="240" w:after="80"/>
      </w:pPr>
      <w:r>
        <w:rPr>
          <w:rFonts w:ascii="Calibri" w:cs="Calibri" w:eastAsia="Calibri" w:hAnsi="Calibri"/>
          <w:b/>
          <w:bCs/>
          <w:color w:val="1565C0"/>
          <w:sz w:val="26"/>
          <w:szCs w:val="26"/>
        </w:rPr>
        <w:t xml:space="preserve">4.1 Repayment Snapshot</w:t>
      </w:r>
    </w:p>
    <w:p>
      <w:pPr>
        <w:spacing w:before="60" w:after="60"/>
      </w:pPr>
      <w:r>
        <w:rPr>
          <w:rFonts w:ascii="Calibri" w:cs="Calibri" w:eastAsia="Calibri" w:hAnsi="Calibri"/>
          <w:sz w:val="20"/>
          <w:szCs w:val="20"/>
        </w:rPr>
        <w:t xml:space="preserve">Combines Images 2, 3, and 4. Shows the current dues position and repayment performance in two adjacent panels:</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40"/>
        <w:gridCol w:w="2000"/>
        <w:gridCol w:w="2540"/>
        <w:gridCol w:w="2000"/>
      </w:tblGrid>
      <w:tr>
        <w:tc>
          <w:tcPr>
            <w:tcW w:type="dxa" w:w="254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Total Dues (SSFB File)</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Value (Feb-26)</w:t>
            </w:r>
          </w:p>
        </w:tc>
        <w:tc>
          <w:tcPr>
            <w:tcW w:type="dxa" w:w="254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Last Bill Dues (SSFB File)</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Value (Feb-26)</w:t>
            </w:r>
          </w:p>
        </w:tc>
      </w:tr>
      <w:tr>
        <w:tc>
          <w:tcPr>
            <w:tcW w:type="dxa" w:w="25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Customers with Due (Billed &gt; 0)</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6,622</w:t>
            </w:r>
          </w:p>
        </w:tc>
        <w:tc>
          <w:tcPr>
            <w:tcW w:type="dxa" w:w="25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Customers with Last Bill Due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3,746</w:t>
            </w:r>
          </w:p>
        </w:tc>
      </w:tr>
      <w:tr>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Total Bill Principal Due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4,53,70,560</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Last Bill Principal Due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2,24,85,362</w:t>
            </w:r>
          </w:p>
        </w:tc>
      </w:tr>
      <w:tr>
        <w:tc>
          <w:tcPr>
            <w:tcW w:type="dxa" w:w="25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Total CF Due (₹)</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7,60,499</w:t>
            </w:r>
          </w:p>
        </w:tc>
        <w:tc>
          <w:tcPr>
            <w:tcW w:type="dxa" w:w="25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Last Bill CF Due (₹)</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3,24,636</w:t>
            </w:r>
          </w:p>
        </w:tc>
      </w:tr>
      <w:tr>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Total Bounce Charges Due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1,49,292</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Last Bill Bounce Due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1,08,301</w:t>
            </w:r>
          </w:p>
        </w:tc>
      </w:tr>
      <w:tr>
        <w:tc>
          <w:tcPr>
            <w:tcW w:type="dxa" w:w="25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Total Late Charges Due (₹)</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11,31,630</w:t>
            </w:r>
          </w:p>
        </w:tc>
        <w:tc>
          <w:tcPr>
            <w:tcW w:type="dxa" w:w="25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Last Bill Late Charges (₹)</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8,35,274</w:t>
            </w:r>
          </w:p>
        </w:tc>
      </w:tr>
      <w:tr>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Total Current Due (₹)</w:t>
            </w:r>
          </w:p>
        </w:tc>
        <w:tc>
          <w:tcPr>
            <w:tcW w:type="dxa" w:w="20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bCs/>
                <w:color w:val="424242"/>
                <w:sz w:val="18"/>
                <w:szCs w:val="18"/>
              </w:rPr>
              <w:t xml:space="preserve">4,75,35,638</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Last Bill Total Due (₹)</w:t>
            </w:r>
          </w:p>
        </w:tc>
        <w:tc>
          <w:tcPr>
            <w:tcW w:type="dxa" w:w="20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bCs/>
                <w:color w:val="424242"/>
                <w:sz w:val="18"/>
                <w:szCs w:val="18"/>
              </w:rPr>
              <w:t xml:space="preserve">2,38,11,104</w:t>
            </w:r>
          </w:p>
        </w:tc>
      </w:tr>
    </w:tbl>
    <w:p>
      <w:pPr>
        <w:spacing w:before="140" w:after="60"/>
      </w:pPr>
    </w:p>
    <w:p>
      <w:pPr>
        <w:pStyle w:val="Heading2"/>
        <w:spacing w:before="240" w:after="80"/>
      </w:pPr>
      <w:r>
        <w:rPr>
          <w:rFonts w:ascii="Calibri" w:cs="Calibri" w:eastAsia="Calibri" w:hAnsi="Calibri"/>
          <w:b/>
          <w:bCs/>
          <w:color w:val="1565C0"/>
          <w:sz w:val="26"/>
          <w:szCs w:val="26"/>
        </w:rPr>
        <w:t xml:space="preserve">4.2 Repayment Performance — MoM Trend</w:t>
      </w:r>
    </w:p>
    <w:p>
      <w:pPr>
        <w:spacing w:before="60" w:after="60"/>
      </w:pPr>
      <w:r>
        <w:rPr>
          <w:rFonts w:ascii="Calibri" w:cs="Calibri" w:eastAsia="Calibri" w:hAnsi="Calibri"/>
          <w:sz w:val="20"/>
          <w:szCs w:val="20"/>
        </w:rPr>
        <w:t xml:space="preserve">A line + bar combo chart from Image 4 showing MoM repayment scale. Columns: Customers Who Repaid, Total Repayment Transactions, Repayment Amount (₹), Repayments &gt; Bill Amount (overpayment). Key insight: the 'Repayments &gt; Bill Amount' column (REPAYMENT_GT_BILL_ACCOUNTS) shows how many users overpaid — which directly drives surplus/refund CST tickets.</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1880"/>
        <w:gridCol w:w="1600"/>
        <w:gridCol w:w="2200"/>
        <w:gridCol w:w="2200"/>
      </w:tblGrid>
      <w:tr>
        <w:tc>
          <w:tcPr>
            <w:tcW w:type="dxa" w:w="12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Month</w:t>
            </w:r>
          </w:p>
        </w:tc>
        <w:tc>
          <w:tcPr>
            <w:tcW w:type="dxa" w:w="18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Customers Repaid</w:t>
            </w:r>
          </w:p>
        </w:tc>
        <w:tc>
          <w:tcPr>
            <w:tcW w:type="dxa" w:w="16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Total Repayments</w:t>
            </w:r>
          </w:p>
        </w:tc>
        <w:tc>
          <w:tcPr>
            <w:tcW w:type="dxa" w:w="22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Amount (₹)</w:t>
            </w:r>
          </w:p>
        </w:tc>
        <w:tc>
          <w:tcPr>
            <w:tcW w:type="dxa" w:w="22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Repayments &gt; Bill (Overpay)</w:t>
            </w:r>
          </w:p>
        </w:tc>
      </w:tr>
      <w:tr>
        <w:tc>
          <w:tcPr>
            <w:tcW w:type="dxa" w:w="12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bCs/>
                <w:color w:val="424242"/>
                <w:sz w:val="18"/>
                <w:szCs w:val="18"/>
              </w:rPr>
              <w:t xml:space="preserve">Feb-26</w:t>
            </w:r>
          </w:p>
        </w:tc>
        <w:tc>
          <w:tcPr>
            <w:tcW w:type="dxa" w:w="188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1,26,045</w:t>
            </w:r>
          </w:p>
        </w:tc>
        <w:tc>
          <w:tcPr>
            <w:tcW w:type="dxa" w:w="16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1,83,118</w:t>
            </w:r>
          </w:p>
        </w:tc>
        <w:tc>
          <w:tcPr>
            <w:tcW w:type="dxa" w:w="22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55.06 Cr</w:t>
            </w:r>
          </w:p>
        </w:tc>
        <w:tc>
          <w:tcPr>
            <w:tcW w:type="dxa" w:w="22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bCs/>
                <w:color w:val="BF360C"/>
                <w:sz w:val="18"/>
                <w:szCs w:val="18"/>
              </w:rPr>
              <w:t xml:space="preserve">1,25,381 ⚠</w:t>
            </w:r>
          </w:p>
        </w:tc>
      </w:tr>
      <w:tr>
        <w:tc>
          <w:tcPr>
            <w:tcW w:type="dxa" w:w="1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Jan-26</w:t>
            </w:r>
          </w:p>
        </w:tc>
        <w:tc>
          <w:tcPr>
            <w:tcW w:type="dxa" w:w="1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97,546</w:t>
            </w:r>
          </w:p>
        </w:tc>
        <w:tc>
          <w:tcPr>
            <w:tcW w:type="dxa" w:w="1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1,71,026</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48.29 Cr</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60,122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Dec-25</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57,881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1,08,839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28.22 Cr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33,359</w:t>
            </w:r>
          </w:p>
        </w:tc>
      </w:tr>
      <w:tr>
        <w:tc>
          <w:tcPr>
            <w:tcW w:type="dxa" w:w="1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Nov-25</w:t>
            </w:r>
          </w:p>
        </w:tc>
        <w:tc>
          <w:tcPr>
            <w:tcW w:type="dxa" w:w="1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26,355</w:t>
            </w:r>
          </w:p>
        </w:tc>
        <w:tc>
          <w:tcPr>
            <w:tcW w:type="dxa" w:w="1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48,704</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12.13 Cr</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13,606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Oct-25</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8,145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15,359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2.99 Cr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3,823</w:t>
            </w:r>
          </w:p>
        </w:tc>
      </w:tr>
    </w:tbl>
    <w:p>
      <w:pPr>
        <w:spacing w:before="60" w:after="40"/>
      </w:pPr>
    </w:p>
    <w:p>
      <w:pPr>
        <w:spacing w:before="60" w:after="60"/>
      </w:pPr>
      <w:r>
        <w:rPr>
          <w:rFonts w:ascii="Calibri" w:cs="Calibri" w:eastAsia="Calibri" w:hAnsi="Calibri"/>
          <w:i/>
          <w:iCs/>
          <w:color w:val="888888"/>
          <w:sz w:val="20"/>
          <w:szCs w:val="20"/>
        </w:rPr>
        <w:t xml:space="preserve">Design note: The 'Repayments &gt; Bill Amount' column must link directly to the 'Surplus Refund' CST issue category in User Pulse — clicking the number should deep-link to that User Pulse cohort view. This closes the feedback loop between repayment ops and user complaints.</w:t>
      </w:r>
    </w:p>
    <w:p>
      <w:pPr>
        <w:spacing w:before="140" w:after="60"/>
      </w:pPr>
    </w:p>
    <w:p>
      <w:pPr>
        <w:pStyle w:val="Heading2"/>
        <w:spacing w:before="240" w:after="80"/>
      </w:pPr>
      <w:r>
        <w:rPr>
          <w:rFonts w:ascii="Calibri" w:cs="Calibri" w:eastAsia="Calibri" w:hAnsi="Calibri"/>
          <w:b/>
          <w:bCs/>
          <w:color w:val="1565C0"/>
          <w:sz w:val="26"/>
          <w:szCs w:val="26"/>
        </w:rPr>
        <w:t xml:space="preserve">4.3 DPD (Days Past Due) Distribution</w:t>
      </w:r>
    </w:p>
    <w:p>
      <w:pPr>
        <w:spacing w:before="60" w:after="60"/>
      </w:pPr>
      <w:r>
        <w:rPr>
          <w:rFonts w:ascii="Calibri" w:cs="Calibri" w:eastAsia="Calibri" w:hAnsi="Calibri"/>
          <w:sz w:val="20"/>
          <w:szCs w:val="20"/>
        </w:rPr>
        <w:t xml:space="preserve">From Image 6. Two side-by-side tables — SSFB DPD and Paytm DPD — with the same bucket structure. A reconciliation alert if SSFB and Paytm DPD totals diverge by &gt;5 accounts.</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1880"/>
        <w:gridCol w:w="1800"/>
        <w:gridCol w:w="1800"/>
        <w:gridCol w:w="2000"/>
      </w:tblGrid>
      <w:tr>
        <w:tc>
          <w:tcPr>
            <w:tcW w:type="dxa" w:w="16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DPD Bucket</w:t>
            </w:r>
          </w:p>
        </w:tc>
        <w:tc>
          <w:tcPr>
            <w:tcW w:type="dxa" w:w="18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SSFB LANs</w:t>
            </w:r>
          </w:p>
        </w:tc>
        <w:tc>
          <w:tcPr>
            <w:tcW w:type="dxa" w:w="18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Paytm LANs</w:t>
            </w:r>
          </w:p>
        </w:tc>
        <w:tc>
          <w:tcPr>
            <w:tcW w:type="dxa" w:w="18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Difference</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Risk Label</w:t>
            </w:r>
          </w:p>
        </w:tc>
      </w:tr>
      <w:tr>
        <w:tc>
          <w:tcPr>
            <w:tcW w:type="dxa" w:w="1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7 days</w:t>
            </w:r>
          </w:p>
        </w:tc>
        <w:tc>
          <w:tcPr>
            <w:tcW w:type="dxa" w:w="1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3,638</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3,635</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1B5E20"/>
                <w:sz w:val="18"/>
                <w:szCs w:val="18"/>
              </w:rPr>
              <w:t xml:space="preserve">3 ✓</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BF360C"/>
                <w:sz w:val="18"/>
                <w:szCs w:val="18"/>
              </w:rPr>
              <w:t xml:space="preserve">Early overdue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38 days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1,605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1,604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B5E20"/>
                <w:sz w:val="18"/>
                <w:szCs w:val="18"/>
              </w:rPr>
              <w:t xml:space="preserve">1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BF360C"/>
                <w:sz w:val="18"/>
                <w:szCs w:val="18"/>
              </w:rPr>
              <w:t xml:space="preserve">Sub-standard</w:t>
            </w:r>
          </w:p>
        </w:tc>
      </w:tr>
      <w:tr>
        <w:tc>
          <w:tcPr>
            <w:tcW w:type="dxa" w:w="1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76 days</w:t>
            </w:r>
          </w:p>
        </w:tc>
        <w:tc>
          <w:tcPr>
            <w:tcW w:type="dxa" w:w="1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529</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529</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1B5E20"/>
                <w:sz w:val="18"/>
                <w:szCs w:val="18"/>
              </w:rPr>
              <w:t xml:space="preserve">0 ✓</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B71C1C"/>
                <w:sz w:val="18"/>
                <w:szCs w:val="18"/>
              </w:rPr>
              <w:t xml:space="preserve">Doubtful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106 days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B5E20"/>
                <w:sz w:val="18"/>
                <w:szCs w:val="18"/>
              </w:rPr>
              <w:t xml:space="preserve">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B71C1C"/>
                <w:sz w:val="18"/>
                <w:szCs w:val="18"/>
              </w:rPr>
              <w:t xml:space="preserve">Loss asset</w:t>
            </w:r>
          </w:p>
        </w:tc>
      </w:tr>
      <w:tr>
        <w:tc>
          <w:tcPr>
            <w:tcW w:type="dxa" w:w="1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137 days</w:t>
            </w:r>
          </w:p>
        </w:tc>
        <w:tc>
          <w:tcPr>
            <w:tcW w:type="dxa" w:w="1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1B5E20"/>
                <w:sz w:val="18"/>
                <w:szCs w:val="18"/>
              </w:rPr>
              <w:t xml:space="preserve">0 ✓</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bCs/>
                <w:color w:val="B71C1C"/>
                <w:sz w:val="18"/>
                <w:szCs w:val="18"/>
              </w:rPr>
              <w:t xml:space="preserve">Write-off risk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Total</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5,886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5,880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B5E20"/>
                <w:sz w:val="18"/>
                <w:szCs w:val="18"/>
              </w:rPr>
              <w:t xml:space="preserve">6 — within tolerance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w:t>
            </w:r>
          </w:p>
        </w:tc>
      </w:tr>
    </w:tbl>
    <w:p>
      <w:pPr>
        <w:spacing w:before="60" w:after="40"/>
      </w:pPr>
    </w:p>
    <w:p>
      <w:pPr>
        <w:spacing w:before="60" w:after="60"/>
      </w:pPr>
      <w:r>
        <w:rPr>
          <w:rFonts w:ascii="Calibri" w:cs="Calibri" w:eastAsia="Calibri" w:hAnsi="Calibri"/>
          <w:i/>
          <w:iCs/>
          <w:color w:val="888888"/>
          <w:sz w:val="20"/>
          <w:szCs w:val="20"/>
        </w:rPr>
        <w:t xml:space="preserve">DPD buckets with Risk Labels are industry-standard NPA (Non-Performing Asset) classifications — useful context for leadership reviews and lender conversations.</w:t>
      </w:r>
    </w:p>
    <w:p>
      <w:pPr>
        <w:spacing w:before="140" w:after="60"/>
      </w:pPr>
    </w:p>
    <w:p>
      <w:pPr>
        <w:pStyle w:val="Heading2"/>
        <w:spacing w:before="240" w:after="80"/>
      </w:pPr>
      <w:r>
        <w:rPr>
          <w:rFonts w:ascii="Calibri" w:cs="Calibri" w:eastAsia="Calibri" w:hAnsi="Calibri"/>
          <w:b/>
          <w:bCs/>
          <w:color w:val="1565C0"/>
          <w:sz w:val="26"/>
          <w:szCs w:val="26"/>
        </w:rPr>
        <w:t xml:space="preserve">4.4 Repayment Breakdown — Paid / Partial / Not Paid</w:t>
      </w:r>
    </w:p>
    <w:p>
      <w:pPr>
        <w:spacing w:before="60" w:after="60"/>
      </w:pPr>
      <w:r>
        <w:rPr>
          <w:rFonts w:ascii="Calibri" w:cs="Calibri" w:eastAsia="Calibri" w:hAnsi="Calibri"/>
          <w:sz w:val="20"/>
          <w:szCs w:val="20"/>
        </w:rPr>
        <w:t xml:space="preserve">A donut chart with three segments from the 'Total Dues &amp; Repayment Snapshot' (Image 3), accompanied by a table:</w:t>
      </w:r>
    </w:p>
    <w:p>
      <w:pPr>
        <w:spacing w:before="80" w:after="40"/>
      </w:pPr>
    </w:p>
    <w:p>
      <w:pPr>
        <w:pStyle w:val="ListParagraph"/>
        <w:numPr>
          <w:ilvl w:val="true"/>
          <w:numId w:val="2"/>
        </w:numPr>
        <w:spacing w:before="40" w:after="40"/>
      </w:pPr>
      <w:r>
        <w:rPr>
          <w:rFonts w:ascii="Calibri" w:cs="Calibri" w:eastAsia="Calibri" w:hAnsi="Calibri"/>
          <w:b w:val="false"/>
          <w:bCs w:val="false"/>
          <w:sz w:val="20"/>
          <w:szCs w:val="20"/>
        </w:rPr>
        <w:t xml:space="preserve">Customers Paid Full — count and % of billed base</w:t>
      </w:r>
    </w:p>
    <w:p>
      <w:pPr>
        <w:pStyle w:val="ListParagraph"/>
        <w:numPr>
          <w:ilvl w:val="true"/>
          <w:numId w:val="2"/>
        </w:numPr>
        <w:spacing w:before="40" w:after="40"/>
      </w:pPr>
      <w:r>
        <w:rPr>
          <w:rFonts w:ascii="Calibri" w:cs="Calibri" w:eastAsia="Calibri" w:hAnsi="Calibri"/>
          <w:b w:val="false"/>
          <w:bCs w:val="false"/>
          <w:sz w:val="20"/>
          <w:szCs w:val="20"/>
        </w:rPr>
        <w:t xml:space="preserve">Customers with Partial Repayment — count, % and average partial payment amount</w:t>
      </w:r>
    </w:p>
    <w:p>
      <w:pPr>
        <w:pStyle w:val="ListParagraph"/>
        <w:numPr>
          <w:ilvl w:val="true"/>
          <w:numId w:val="2"/>
        </w:numPr>
        <w:spacing w:before="40" w:after="40"/>
      </w:pPr>
      <w:r>
        <w:rPr>
          <w:rFonts w:ascii="Calibri" w:cs="Calibri" w:eastAsia="Calibri" w:hAnsi="Calibri"/>
          <w:b w:val="false"/>
          <w:bCs w:val="false"/>
          <w:sz w:val="20"/>
          <w:szCs w:val="20"/>
        </w:rPr>
        <w:t xml:space="preserve">Customers Did Not Pay — count, % — this directly feeds into Frozen account flow</w:t>
      </w:r>
    </w:p>
    <w:p>
      <w:pPr>
        <w:spacing w:before="80" w:after="40"/>
      </w:pPr>
    </w:p>
    <w:p>
      <w:pPr>
        <w:spacing w:before="60" w:after="60"/>
      </w:pPr>
      <w:r>
        <w:rPr>
          <w:rFonts w:ascii="Calibri" w:cs="Calibri" w:eastAsia="Calibri" w:hAnsi="Calibri"/>
          <w:sz w:val="20"/>
          <w:szCs w:val="20"/>
        </w:rPr>
        <w:t xml:space="preserve">Design note: 'Customers Did Not Pay' must link to the 'Account Status — FROZEN' count in the Portfolio section via a clickable cross-link badge. PM should be able to confirm that non-payers = frozen accounts in a single click.</w:t>
      </w:r>
    </w:p>
    <w:p>
      <w:r>
        <w:br w:type="page"/>
      </w:r>
    </w:p>
    <w:p>
      <w:pPr>
        <w:pStyle w:val="Heading1"/>
        <w:spacing w:before="400" w:after="120"/>
      </w:pPr>
      <w:r>
        <w:rPr>
          <w:rFonts w:ascii="Calibri" w:cs="Calibri" w:eastAsia="Calibri" w:hAnsi="Calibri"/>
          <w:b/>
          <w:bCs/>
          <w:color w:val="003366"/>
          <w:sz w:val="34"/>
          <w:szCs w:val="34"/>
        </w:rPr>
        <w:t xml:space="preserve">5. Section 4 — Spends &amp; Transaction Health</w:t>
      </w:r>
    </w:p>
    <w:p>
      <w:pPr>
        <w:pBdr>
          <w:bottom w:val="single" w:color="1565C0" w:sz="6" w:space="1"/>
        </w:pBdr>
        <w:spacing w:before="80" w:after="80"/>
      </w:pPr>
    </w:p>
    <w:p>
      <w:pPr>
        <w:spacing w:before="60" w:after="60"/>
      </w:pPr>
      <w:r>
        <w:rPr>
          <w:rFonts w:ascii="Calibri" w:cs="Calibri" w:eastAsia="Calibri" w:hAnsi="Calibri"/>
          <w:sz w:val="20"/>
          <w:szCs w:val="20"/>
        </w:rPr>
        <w:t xml:space="preserve">Spends is the real-time health of the UPI transaction layer. A user may have an active account and a limit but still fail to complete transactions — so this section answers: 'Is the product actually usable for spending?' Three sub-views: Transaction Success Rate, Failure Error Analysis, and GMV trend.</w:t>
      </w:r>
    </w:p>
    <w:p>
      <w:pPr>
        <w:spacing w:before="100" w:after="60"/>
      </w:pPr>
    </w:p>
    <w:p>
      <w:pPr>
        <w:pStyle w:val="Heading2"/>
        <w:spacing w:before="240" w:after="80"/>
      </w:pPr>
      <w:r>
        <w:rPr>
          <w:rFonts w:ascii="Calibri" w:cs="Calibri" w:eastAsia="Calibri" w:hAnsi="Calibri"/>
          <w:b/>
          <w:bCs/>
          <w:color w:val="1565C0"/>
          <w:sz w:val="26"/>
          <w:szCs w:val="26"/>
        </w:rPr>
        <w:t xml:space="preserve">5.1 Transaction Success Rate — Daily Trend</w:t>
      </w:r>
    </w:p>
    <w:p>
      <w:pPr>
        <w:spacing w:before="60" w:after="60"/>
      </w:pPr>
      <w:r>
        <w:rPr>
          <w:rFonts w:ascii="Calibri" w:cs="Calibri" w:eastAsia="Calibri" w:hAnsi="Calibri"/>
          <w:sz w:val="20"/>
          <w:szCs w:val="20"/>
        </w:rPr>
        <w:t xml:space="preserve">A line chart showing daily avg success rate % over the last 30 days (from Image 8). The chart should:</w:t>
      </w:r>
    </w:p>
    <w:p>
      <w:pPr>
        <w:spacing w:before="80" w:after="40"/>
      </w:pPr>
    </w:p>
    <w:p>
      <w:pPr>
        <w:pStyle w:val="ListParagraph"/>
        <w:numPr>
          <w:ilvl w:val="true"/>
          <w:numId w:val="2"/>
        </w:numPr>
        <w:spacing w:before="40" w:after="40"/>
      </w:pPr>
      <w:r>
        <w:rPr>
          <w:rFonts w:ascii="Calibri" w:cs="Calibri" w:eastAsia="Calibri" w:hAnsi="Calibri"/>
          <w:b w:val="false"/>
          <w:bCs w:val="false"/>
          <w:sz w:val="20"/>
          <w:szCs w:val="20"/>
        </w:rPr>
        <w:t xml:space="preserve">Show a horizontal reference line at the monthly average (e.g. 82.3% for Feb-26)</w:t>
      </w:r>
    </w:p>
    <w:p>
      <w:pPr>
        <w:pStyle w:val="ListParagraph"/>
        <w:numPr>
          <w:ilvl w:val="true"/>
          <w:numId w:val="2"/>
        </w:numPr>
        <w:spacing w:before="40" w:after="40"/>
      </w:pPr>
      <w:r>
        <w:rPr>
          <w:rFonts w:ascii="Calibri" w:cs="Calibri" w:eastAsia="Calibri" w:hAnsi="Calibri"/>
          <w:b w:val="false"/>
          <w:bCs w:val="false"/>
          <w:sz w:val="20"/>
          <w:szCs w:val="20"/>
        </w:rPr>
        <w:t xml:space="preserve">Shade any day that drops &gt;2% below the monthly average in light red — this is an instant anomaly signal without reading every data point</w:t>
      </w:r>
    </w:p>
    <w:p>
      <w:pPr>
        <w:pStyle w:val="ListParagraph"/>
        <w:numPr>
          <w:ilvl w:val="true"/>
          <w:numId w:val="2"/>
        </w:numPr>
        <w:spacing w:before="40" w:after="40"/>
      </w:pPr>
      <w:r>
        <w:rPr>
          <w:rFonts w:ascii="Calibri" w:cs="Calibri" w:eastAsia="Calibri" w:hAnsi="Calibri"/>
          <w:b w:val="false"/>
          <w:bCs w:val="false"/>
          <w:sz w:val="20"/>
          <w:szCs w:val="20"/>
        </w:rPr>
        <w:t xml:space="preserve">Show T-1 value prominently in a KPI card above the chart: 'Yesterday: 80.1% | 30-day avg: 82.3% | Delta: −2.2pp ⚠'</w:t>
      </w:r>
    </w:p>
    <w:p>
      <w:pPr>
        <w:spacing w:before="80" w:after="40"/>
      </w:pPr>
    </w:p>
    <w:p>
      <w:pPr>
        <w:spacing w:before="60" w:after="60"/>
      </w:pPr>
      <w:r>
        <w:rPr>
          <w:rFonts w:ascii="Calibri" w:cs="Calibri" w:eastAsia="Calibri" w:hAnsi="Calibri"/>
          <w:sz w:val="20"/>
          <w:szCs w:val="20"/>
        </w:rPr>
        <w:t xml:space="preserve">Mock daily data (Feb 7–22, from Image 8): 83.7, 84.7, 84.9, 80.5, 83.4, 83.7, 79.5, 81.1, 81.9, 81.9, 81.9, 82.0, 82.1, 82.4, 80.1</w:t>
      </w:r>
    </w:p>
    <w:p>
      <w:pPr>
        <w:spacing w:before="140" w:after="60"/>
      </w:pPr>
    </w:p>
    <w:p>
      <w:pPr>
        <w:pStyle w:val="Heading2"/>
        <w:spacing w:before="240" w:after="80"/>
      </w:pPr>
      <w:r>
        <w:rPr>
          <w:rFonts w:ascii="Calibri" w:cs="Calibri" w:eastAsia="Calibri" w:hAnsi="Calibri"/>
          <w:b/>
          <w:bCs/>
          <w:color w:val="1565C0"/>
          <w:sz w:val="26"/>
          <w:szCs w:val="26"/>
        </w:rPr>
        <w:t xml:space="preserve">5.2 Transaction Failure — Error Code Breakdown</w:t>
      </w:r>
    </w:p>
    <w:p>
      <w:pPr>
        <w:spacing w:before="60" w:after="60"/>
      </w:pPr>
      <w:r>
        <w:rPr>
          <w:rFonts w:ascii="Calibri" w:cs="Calibri" w:eastAsia="Calibri" w:hAnsi="Calibri"/>
          <w:sz w:val="20"/>
          <w:szCs w:val="20"/>
        </w:rPr>
        <w:t xml:space="preserve">A ranked table of UPI error codes by daily failure count (from Image 9). This is the L2 drill-down for Spends — reached by clicking the success rate chart or by the 'Failure Analysis' sub-tab.</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480"/>
        <w:gridCol w:w="1600"/>
        <w:gridCol w:w="1200"/>
        <w:gridCol w:w="1500"/>
      </w:tblGrid>
      <w:tr>
        <w:tc>
          <w:tcPr>
            <w:tcW w:type="dxa" w:w="5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w:t>
            </w:r>
          </w:p>
        </w:tc>
        <w:tc>
          <w:tcPr>
            <w:tcW w:type="dxa" w:w="18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Error Code</w:t>
            </w:r>
          </w:p>
        </w:tc>
        <w:tc>
          <w:tcPr>
            <w:tcW w:type="dxa" w:w="24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Description / Category</w:t>
            </w:r>
          </w:p>
        </w:tc>
        <w:tc>
          <w:tcPr>
            <w:tcW w:type="dxa" w:w="16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Avg Daily Count</w:t>
            </w:r>
          </w:p>
        </w:tc>
        <w:tc>
          <w:tcPr>
            <w:tcW w:type="dxa" w:w="12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 of Failures</w:t>
            </w:r>
          </w:p>
        </w:tc>
        <w:tc>
          <w:tcPr>
            <w:tcW w:type="dxa" w:w="15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Trend (7D)</w:t>
            </w:r>
          </w:p>
        </w:tc>
      </w:tr>
      <w:tr>
        <w:tc>
          <w:tcPr>
            <w:tcW w:type="dxa" w:w="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U29-SA</w:t>
            </w:r>
          </w:p>
        </w:tc>
        <w:tc>
          <w:tcPr>
            <w:tcW w:type="dxa" w:w="2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Acquirer / Bank decline</w:t>
            </w:r>
          </w:p>
        </w:tc>
        <w:tc>
          <w:tcPr>
            <w:tcW w:type="dxa" w:w="1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~2,800</w:t>
            </w:r>
          </w:p>
        </w:tc>
        <w:tc>
          <w:tcPr>
            <w:tcW w:type="dxa" w:w="1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~18%</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424242"/>
                <w:sz w:val="18"/>
                <w:szCs w:val="18"/>
              </w:rPr>
              <w:t xml:space="preserve">→ stable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U30-ZM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UPI timeout / network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B71C1C"/>
                <w:sz w:val="18"/>
                <w:szCs w:val="18"/>
              </w:rPr>
              <w:t xml:space="preserve">▲ rising</w:t>
            </w:r>
          </w:p>
        </w:tc>
      </w:tr>
      <w:tr>
        <w:tc>
          <w:tcPr>
            <w:tcW w:type="dxa" w:w="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U30-Z9</w:t>
            </w:r>
          </w:p>
        </w:tc>
        <w:tc>
          <w:tcPr>
            <w:tcW w:type="dxa" w:w="2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Beneficiary bank down</w:t>
            </w:r>
          </w:p>
        </w:tc>
        <w:tc>
          <w:tcPr>
            <w:tcW w:type="dxa" w:w="1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~2,200</w:t>
            </w:r>
          </w:p>
        </w:tc>
        <w:tc>
          <w:tcPr>
            <w:tcW w:type="dxa" w:w="1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~14%</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bCs/>
                <w:color w:val="B71C1C"/>
                <w:sz w:val="18"/>
                <w:szCs w:val="18"/>
              </w:rPr>
              <w:t xml:space="preserve">▲ spike Feb 13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U30-VM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Transaction limit exceeded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24242"/>
                <w:sz w:val="18"/>
                <w:szCs w:val="18"/>
              </w:rPr>
              <w:t xml:space="preserve">→ stable</w:t>
            </w:r>
          </w:p>
        </w:tc>
      </w:tr>
      <w:tr>
        <w:tc>
          <w:tcPr>
            <w:tcW w:type="dxa" w:w="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INT-1453</w:t>
            </w:r>
          </w:p>
        </w:tc>
        <w:tc>
          <w:tcPr>
            <w:tcW w:type="dxa" w:w="2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Internal processing error</w:t>
            </w:r>
          </w:p>
        </w:tc>
        <w:tc>
          <w:tcPr>
            <w:tcW w:type="dxa" w:w="1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~1,600</w:t>
            </w:r>
          </w:p>
        </w:tc>
        <w:tc>
          <w:tcPr>
            <w:tcW w:type="dxa" w:w="1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~10%</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1B5E20"/>
                <w:sz w:val="18"/>
                <w:szCs w:val="18"/>
              </w:rPr>
              <w:t xml:space="preserve">▼ improving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U16-01091</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Invalid VPA / payee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24242"/>
                <w:sz w:val="18"/>
                <w:szCs w:val="18"/>
              </w:rPr>
              <w:t xml:space="preserve">→ stable</w:t>
            </w:r>
          </w:p>
        </w:tc>
      </w:tr>
      <w:tr>
        <w:tc>
          <w:tcPr>
            <w:tcW w:type="dxa" w:w="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7+</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OTHERS</w:t>
            </w:r>
          </w:p>
        </w:tc>
        <w:tc>
          <w:tcPr>
            <w:tcW w:type="dxa" w:w="2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All remaining codes</w:t>
            </w:r>
          </w:p>
        </w:tc>
        <w:tc>
          <w:tcPr>
            <w:tcW w:type="dxa" w:w="1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~4,000</w:t>
            </w:r>
          </w:p>
        </w:tc>
        <w:tc>
          <w:tcPr>
            <w:tcW w:type="dxa" w:w="1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~25%</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424242"/>
                <w:sz w:val="18"/>
                <w:szCs w:val="18"/>
              </w:rPr>
              <w:t xml:space="preserve">—</w:t>
            </w:r>
          </w:p>
        </w:tc>
      </w:tr>
    </w:tbl>
    <w:p>
      <w:pPr>
        <w:spacing w:before="60" w:after="40"/>
      </w:pPr>
    </w:p>
    <w:p>
      <w:pPr>
        <w:spacing w:before="60" w:after="60"/>
      </w:pPr>
      <w:r>
        <w:rPr>
          <w:rFonts w:ascii="Calibri" w:cs="Calibri" w:eastAsia="Calibri" w:hAnsi="Calibri"/>
          <w:i/>
          <w:iCs/>
          <w:color w:val="888888"/>
          <w:sz w:val="20"/>
          <w:szCs w:val="20"/>
        </w:rPr>
        <w:t xml:space="preserve">Feb 13 spike note: U30-Z9 spiked to ~6,500 from baseline ~2,200 — a 3× anomaly. Dashboard must auto-highlight any error code that spikes &gt;2× its 7-day average on any given day. This is the L3 alert equivalent for Spends.</w:t>
      </w:r>
    </w:p>
    <w:p>
      <w:pPr>
        <w:spacing w:before="140" w:after="60"/>
      </w:pPr>
    </w:p>
    <w:p>
      <w:pPr>
        <w:pStyle w:val="Heading2"/>
        <w:spacing w:before="240" w:after="80"/>
      </w:pPr>
      <w:r>
        <w:rPr>
          <w:rFonts w:ascii="Calibri" w:cs="Calibri" w:eastAsia="Calibri" w:hAnsi="Calibri"/>
          <w:b/>
          <w:bCs/>
          <w:color w:val="1565C0"/>
          <w:sz w:val="26"/>
          <w:szCs w:val="26"/>
        </w:rPr>
        <w:t xml:space="preserve">5.3 GMV &amp; Transaction Count — MoM Growth</w:t>
      </w:r>
    </w:p>
    <w:p>
      <w:pPr>
        <w:spacing w:before="60" w:after="60"/>
      </w:pPr>
      <w:r>
        <w:rPr>
          <w:rFonts w:ascii="Calibri" w:cs="Calibri" w:eastAsia="Calibri" w:hAnsi="Calibri"/>
          <w:sz w:val="20"/>
          <w:szCs w:val="20"/>
        </w:rPr>
        <w:t xml:space="preserve">Two line charts side by side (from Image 10) showing total spends GMV and transaction count from Aug-25 to Feb-26. Both use a log-scale Y-axis to handle the massive growth curve (₹40.7K → ₹711M in 7 months). Key annotation: mark product launch milestones (e.g. Oct-25 = scale-up, Jan-26 = Jan spike) as vertical reference lines.</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680"/>
      </w:tblGrid>
      <w:tr>
        <w:tc>
          <w:tcPr>
            <w:tcW w:type="dxa" w:w="14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Month</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GMV (₹)</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MoM GMV Growth</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Txn Count</w:t>
            </w:r>
          </w:p>
        </w:tc>
        <w:tc>
          <w:tcPr>
            <w:tcW w:type="dxa" w:w="16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MoM Txn Growth</w:t>
            </w:r>
          </w:p>
        </w:tc>
      </w:tr>
      <w:tr>
        <w:tc>
          <w:tcPr>
            <w:tcW w:type="dxa" w:w="14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bCs/>
                <w:color w:val="424242"/>
                <w:sz w:val="18"/>
                <w:szCs w:val="18"/>
              </w:rPr>
              <w:t xml:space="preserve">Feb-26</w:t>
            </w:r>
          </w:p>
        </w:tc>
        <w:tc>
          <w:tcPr>
            <w:tcW w:type="dxa" w:w="20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711 Cr</w:t>
            </w:r>
          </w:p>
        </w:tc>
        <w:tc>
          <w:tcPr>
            <w:tcW w:type="dxa" w:w="20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bCs/>
                <w:color w:val="1B5E20"/>
                <w:sz w:val="18"/>
                <w:szCs w:val="18"/>
              </w:rPr>
              <w:t xml:space="preserve">+10.4%</w:t>
            </w:r>
          </w:p>
        </w:tc>
        <w:tc>
          <w:tcPr>
            <w:tcW w:type="dxa" w:w="200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16.3L</w:t>
            </w:r>
          </w:p>
        </w:tc>
        <w:tc>
          <w:tcPr>
            <w:tcW w:type="dxa" w:w="1680"/>
            <w:tcBorders>
              <w:top w:val="single" w:color="CCCCCC" w:sz="1"/>
              <w:left w:val="single" w:color="CCCCCC" w:sz="1"/>
              <w:bottom w:val="single" w:color="CCCCCC" w:sz="1"/>
              <w:right w:val="single" w:color="CCCCCC" w:sz="1"/>
            </w:tcBorders>
            <w:shd w:fill="D1F2E9" w:val="clear"/>
            <w:tcMar>
              <w:top w:type="dxa" w:w="80"/>
              <w:left w:type="dxa" w:w="120"/>
              <w:bottom w:type="dxa" w:w="80"/>
              <w:right w:type="dxa" w:w="120"/>
            </w:tcMar>
          </w:tcPr>
          <w:p>
            <w:r>
              <w:rPr>
                <w:rFonts w:ascii="Calibri" w:cs="Calibri" w:eastAsia="Calibri" w:hAnsi="Calibri"/>
                <w:color w:val="1B5E20"/>
                <w:sz w:val="18"/>
                <w:szCs w:val="18"/>
              </w:rPr>
              <w:t xml:space="preserve">+8.7%</w:t>
            </w:r>
          </w:p>
        </w:tc>
      </w:tr>
      <w:tr>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Jan-26</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644 Cr</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1B5E20"/>
                <w:sz w:val="18"/>
                <w:szCs w:val="18"/>
              </w:rPr>
              <w:t xml:space="preserve">+31.2%</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15.0L</w:t>
            </w:r>
          </w:p>
        </w:tc>
        <w:tc>
          <w:tcPr>
            <w:tcW w:type="dxa" w:w="1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1B5E20"/>
                <w:sz w:val="18"/>
                <w:szCs w:val="18"/>
              </w:rPr>
              <w:t xml:space="preserve">+35.1%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Dec-25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491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B5E20"/>
                <w:sz w:val="18"/>
                <w:szCs w:val="18"/>
              </w:rPr>
              <w:t xml:space="preserve">+94.1%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11.1L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B5E20"/>
                <w:sz w:val="18"/>
                <w:szCs w:val="18"/>
              </w:rPr>
              <w:t xml:space="preserve">+93.4%</w:t>
            </w:r>
          </w:p>
        </w:tc>
      </w:tr>
      <w:tr>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Nov-25</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253 Cr</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1B5E20"/>
                <w:sz w:val="18"/>
                <w:szCs w:val="18"/>
              </w:rPr>
              <w:t xml:space="preserve">+136.4%</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5.74L</w:t>
            </w:r>
          </w:p>
        </w:tc>
        <w:tc>
          <w:tcPr>
            <w:tcW w:type="dxa" w:w="1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color w:val="1B5E20"/>
                <w:sz w:val="18"/>
                <w:szCs w:val="18"/>
              </w:rPr>
              <w:t xml:space="preserve">+143.2%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Oct-25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107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5E20"/>
                <w:sz w:val="18"/>
                <w:szCs w:val="18"/>
              </w:rPr>
              <w:t xml:space="preserve">+783.5%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2.36L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B5E20"/>
                <w:sz w:val="18"/>
                <w:szCs w:val="18"/>
              </w:rPr>
              <w:t xml:space="preserve">+803.1%</w:t>
            </w:r>
          </w:p>
        </w:tc>
      </w:tr>
      <w:tr>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Sep-25</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12.1 Cr</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26.6K</w:t>
            </w:r>
          </w:p>
        </w:tc>
        <w:tc>
          <w:tcPr>
            <w:tcW w:type="dxa" w:w="1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w:t>
            </w:r>
          </w:p>
        </w:tc>
      </w:tr>
    </w:tbl>
    <w:p>
      <w:r>
        <w:br w:type="page"/>
      </w:r>
    </w:p>
    <w:p>
      <w:pPr>
        <w:pStyle w:val="Heading1"/>
        <w:spacing w:before="400" w:after="120"/>
      </w:pPr>
      <w:r>
        <w:rPr>
          <w:rFonts w:ascii="Calibri" w:cs="Calibri" w:eastAsia="Calibri" w:hAnsi="Calibri"/>
          <w:b/>
          <w:bCs/>
          <w:color w:val="003366"/>
          <w:sz w:val="34"/>
          <w:szCs w:val="34"/>
        </w:rPr>
        <w:t xml:space="preserve">6. Technical Specification for Cursor Build</w:t>
      </w:r>
    </w:p>
    <w:p>
      <w:pPr>
        <w:pBdr>
          <w:bottom w:val="single" w:color="1565C0" w:sz="6" w:space="1"/>
        </w:pBdr>
        <w:spacing w:before="80" w:after="80"/>
      </w:pPr>
    </w:p>
    <w:p>
      <w:pPr>
        <w:pStyle w:val="Heading2"/>
        <w:spacing w:before="240" w:after="80"/>
      </w:pPr>
      <w:r>
        <w:rPr>
          <w:rFonts w:ascii="Calibri" w:cs="Calibri" w:eastAsia="Calibri" w:hAnsi="Calibri"/>
          <w:b/>
          <w:bCs/>
          <w:color w:val="1565C0"/>
          <w:sz w:val="26"/>
          <w:szCs w:val="26"/>
        </w:rPr>
        <w:t xml:space="preserve">6.1 Component Tree</w:t>
      </w:r>
    </w:p>
    <w:p>
      <w:pPr>
        <w:spacing w:before="80" w:after="40"/>
      </w:pPr>
    </w:p>
    <w:p>
      <w:pPr>
        <w:pStyle w:val="ListParagraph"/>
        <w:numPr>
          <w:ilvl w:val="true"/>
          <w:numId w:val="2"/>
        </w:numPr>
        <w:spacing w:before="40" w:after="40"/>
      </w:pPr>
      <w:r>
        <w:rPr>
          <w:rFonts w:ascii="Calibri" w:cs="Calibri" w:eastAsia="Calibri" w:hAnsi="Calibri"/>
          <w:b w:val="false"/>
          <w:bCs w:val="false"/>
          <w:sz w:val="20"/>
          <w:szCs w:val="20"/>
        </w:rPr>
        <w:t xml:space="preserve">App.jsx — Top nav tabs: Onboarding Funnel | User Pulse | Post-Onboarding</w:t>
      </w:r>
    </w:p>
    <w:p>
      <w:pPr>
        <w:pStyle w:val="ListParagraph"/>
        <w:numPr>
          <w:ilvl w:val="true"/>
          <w:numId w:val="2"/>
        </w:numPr>
        <w:spacing w:before="40" w:after="40"/>
      </w:pPr>
      <w:r>
        <w:rPr>
          <w:rFonts w:ascii="Calibri" w:cs="Calibri" w:eastAsia="Calibri" w:hAnsi="Calibri"/>
          <w:b w:val="false"/>
          <w:bCs w:val="false"/>
          <w:sz w:val="20"/>
          <w:szCs w:val="20"/>
        </w:rPr>
        <w:t xml:space="preserve">PostOnboarding.jsx — Parent with sub-nav: Portfolio | Bill Recon | Repayment | Spends</w:t>
      </w:r>
    </w:p>
    <w:p>
      <w:pPr>
        <w:pStyle w:val="ListParagraph"/>
        <w:numPr>
          <w:ilvl w:val="true"/>
          <w:numId w:val="2"/>
        </w:numPr>
        <w:spacing w:before="40" w:after="40"/>
      </w:pPr>
      <w:r>
        <w:rPr>
          <w:rFonts w:ascii="Calibri" w:cs="Calibri" w:eastAsia="Calibri" w:hAnsi="Calibri"/>
          <w:b w:val="false"/>
          <w:bCs w:val="false"/>
          <w:sz w:val="20"/>
          <w:szCs w:val="20"/>
        </w:rPr>
        <w:t xml:space="preserve">Portfolio.jsx — MoM table (pinned) + KPI cards + Loan Status donut + Repeat/New/Reactivated bar chart</w:t>
      </w:r>
    </w:p>
    <w:p>
      <w:pPr>
        <w:pStyle w:val="ListParagraph"/>
        <w:numPr>
          <w:ilvl w:val="true"/>
          <w:numId w:val="2"/>
        </w:numPr>
        <w:spacing w:before="40" w:after="40"/>
      </w:pPr>
      <w:r>
        <w:rPr>
          <w:rFonts w:ascii="Calibri" w:cs="Calibri" w:eastAsia="Calibri" w:hAnsi="Calibri"/>
          <w:b w:val="false"/>
          <w:bCs w:val="false"/>
          <w:sz w:val="20"/>
          <w:szCs w:val="20"/>
        </w:rPr>
        <w:t xml:space="preserve">BillRecon.jsx — Snapshot table + Delta focus view + LAN table with multi-select + email modal</w:t>
      </w:r>
    </w:p>
    <w:p>
      <w:pPr>
        <w:pStyle w:val="ListParagraph"/>
        <w:numPr>
          <w:ilvl w:val="true"/>
          <w:numId w:val="2"/>
        </w:numPr>
        <w:spacing w:before="40" w:after="40"/>
      </w:pPr>
      <w:r>
        <w:rPr>
          <w:rFonts w:ascii="Calibri" w:cs="Calibri" w:eastAsia="Calibri" w:hAnsi="Calibri"/>
          <w:b w:val="false"/>
          <w:bCs w:val="false"/>
          <w:sz w:val="20"/>
          <w:szCs w:val="20"/>
        </w:rPr>
        <w:t xml:space="preserve">RepaymentRecon.jsx — Dues panels + MoM repayment table + DPD table + Paid/Partial/Unpaid donut</w:t>
      </w:r>
    </w:p>
    <w:p>
      <w:pPr>
        <w:pStyle w:val="ListParagraph"/>
        <w:numPr>
          <w:ilvl w:val="true"/>
          <w:numId w:val="2"/>
        </w:numPr>
        <w:spacing w:before="40" w:after="40"/>
      </w:pPr>
      <w:r>
        <w:rPr>
          <w:rFonts w:ascii="Calibri" w:cs="Calibri" w:eastAsia="Calibri" w:hAnsi="Calibri"/>
          <w:b w:val="false"/>
          <w:bCs w:val="false"/>
          <w:sz w:val="20"/>
          <w:szCs w:val="20"/>
        </w:rPr>
        <w:t xml:space="preserve">Spends.jsx — SR line chart + Error code table + GMV/Count MoM charts</w:t>
      </w:r>
    </w:p>
    <w:p>
      <w:pPr>
        <w:pStyle w:val="ListParagraph"/>
        <w:numPr>
          <w:ilvl w:val="true"/>
          <w:numId w:val="2"/>
        </w:numPr>
        <w:spacing w:before="40" w:after="40"/>
      </w:pPr>
      <w:r>
        <w:rPr>
          <w:rFonts w:ascii="Calibri" w:cs="Calibri" w:eastAsia="Calibri" w:hAnsi="Calibri"/>
          <w:b w:val="false"/>
          <w:bCs w:val="false"/>
          <w:sz w:val="20"/>
          <w:szCs w:val="20"/>
        </w:rPr>
        <w:t xml:space="preserve">components/LANTable.jsx — Sortable, filterable, paginated table with checkbox multi-select and floating action bar</w:t>
      </w:r>
    </w:p>
    <w:p>
      <w:pPr>
        <w:pStyle w:val="ListParagraph"/>
        <w:numPr>
          <w:ilvl w:val="true"/>
          <w:numId w:val="2"/>
        </w:numPr>
        <w:spacing w:before="40" w:after="40"/>
      </w:pPr>
      <w:r>
        <w:rPr>
          <w:rFonts w:ascii="Calibri" w:cs="Calibri" w:eastAsia="Calibri" w:hAnsi="Calibri"/>
          <w:b w:val="false"/>
          <w:bCs w:val="false"/>
          <w:sz w:val="20"/>
          <w:szCs w:val="20"/>
        </w:rPr>
        <w:t xml:space="preserve">components/EmailModal.jsx — Pre-filled email preview with To/Subject/Body + LAN attachment table + Send button</w:t>
      </w:r>
    </w:p>
    <w:p>
      <w:pPr>
        <w:pStyle w:val="ListParagraph"/>
        <w:numPr>
          <w:ilvl w:val="true"/>
          <w:numId w:val="2"/>
        </w:numPr>
        <w:spacing w:before="40" w:after="40"/>
      </w:pPr>
      <w:r>
        <w:rPr>
          <w:rFonts w:ascii="Calibri" w:cs="Calibri" w:eastAsia="Calibri" w:hAnsi="Calibri"/>
          <w:b w:val="false"/>
          <w:bCs w:val="false"/>
          <w:sz w:val="20"/>
          <w:szCs w:val="20"/>
        </w:rPr>
        <w:t xml:space="preserve">components/AnomalyBadge.jsx — Reusable spike detector: if value &gt; N× rolling average → show red badge</w:t>
      </w:r>
    </w:p>
    <w:p>
      <w:pPr>
        <w:pStyle w:val="ListParagraph"/>
        <w:numPr>
          <w:ilvl w:val="true"/>
          <w:numId w:val="2"/>
        </w:numPr>
        <w:spacing w:before="40" w:after="40"/>
      </w:pPr>
      <w:r>
        <w:rPr>
          <w:rFonts w:ascii="Calibri" w:cs="Calibri" w:eastAsia="Calibri" w:hAnsi="Calibri"/>
          <w:b w:val="false"/>
          <w:bCs w:val="false"/>
          <w:sz w:val="20"/>
          <w:szCs w:val="20"/>
        </w:rPr>
        <w:t xml:space="preserve">mockData/portfolio.js — MoM metrics, loan status counts, repeat/new/inactive data</w:t>
      </w:r>
    </w:p>
    <w:p>
      <w:pPr>
        <w:pStyle w:val="ListParagraph"/>
        <w:numPr>
          <w:ilvl w:val="true"/>
          <w:numId w:val="2"/>
        </w:numPr>
        <w:spacing w:before="40" w:after="40"/>
      </w:pPr>
      <w:r>
        <w:rPr>
          <w:rFonts w:ascii="Calibri" w:cs="Calibri" w:eastAsia="Calibri" w:hAnsi="Calibri"/>
          <w:b w:val="false"/>
          <w:bCs w:val="false"/>
          <w:sz w:val="20"/>
          <w:szCs w:val="20"/>
        </w:rPr>
        <w:t xml:space="preserve">mockData/billRecon.js — Snapshot dimensions + LAN-level delta rows (use Image 12/13 data)</w:t>
      </w:r>
    </w:p>
    <w:p>
      <w:pPr>
        <w:pStyle w:val="ListParagraph"/>
        <w:numPr>
          <w:ilvl w:val="true"/>
          <w:numId w:val="2"/>
        </w:numPr>
        <w:spacing w:before="40" w:after="40"/>
      </w:pPr>
      <w:r>
        <w:rPr>
          <w:rFonts w:ascii="Calibri" w:cs="Calibri" w:eastAsia="Calibri" w:hAnsi="Calibri"/>
          <w:b w:val="false"/>
          <w:bCs w:val="false"/>
          <w:sz w:val="20"/>
          <w:szCs w:val="20"/>
        </w:rPr>
        <w:t xml:space="preserve">mockData/repayment.js — Dues tables, MoM repayment, DPD buckets, paid/partial/unpaid split</w:t>
      </w:r>
    </w:p>
    <w:p>
      <w:pPr>
        <w:pStyle w:val="ListParagraph"/>
        <w:numPr>
          <w:ilvl w:val="true"/>
          <w:numId w:val="2"/>
        </w:numPr>
        <w:spacing w:before="40" w:after="40"/>
      </w:pPr>
      <w:r>
        <w:rPr>
          <w:rFonts w:ascii="Calibri" w:cs="Calibri" w:eastAsia="Calibri" w:hAnsi="Calibri"/>
          <w:b w:val="false"/>
          <w:bCs w:val="false"/>
          <w:sz w:val="20"/>
          <w:szCs w:val="20"/>
        </w:rPr>
        <w:t xml:space="preserve">mockData/spends.js — Daily SR array, error code table, MoM GMV/txn count</w:t>
      </w:r>
    </w:p>
    <w:p>
      <w:pPr>
        <w:spacing w:before="140" w:after="60"/>
      </w:pPr>
    </w:p>
    <w:p>
      <w:pPr>
        <w:pStyle w:val="Heading2"/>
        <w:spacing w:before="240" w:after="80"/>
      </w:pPr>
      <w:r>
        <w:rPr>
          <w:rFonts w:ascii="Calibri" w:cs="Calibri" w:eastAsia="Calibri" w:hAnsi="Calibri"/>
          <w:b/>
          <w:bCs/>
          <w:color w:val="1565C0"/>
          <w:sz w:val="26"/>
          <w:szCs w:val="26"/>
        </w:rPr>
        <w:t xml:space="preserve">6.2 LAN Table — Key Implementation Notes</w:t>
      </w:r>
    </w:p>
    <w:p>
      <w:pPr>
        <w:spacing w:before="80" w:after="40"/>
      </w:pPr>
    </w:p>
    <w:p>
      <w:pPr>
        <w:pStyle w:val="ListParagraph"/>
        <w:numPr>
          <w:ilvl w:val="true"/>
          <w:numId w:val="2"/>
        </w:numPr>
        <w:spacing w:before="40" w:after="40"/>
      </w:pPr>
      <w:r>
        <w:rPr>
          <w:rFonts w:ascii="Calibri" w:cs="Calibri" w:eastAsia="Calibri" w:hAnsi="Calibri"/>
          <w:b w:val="false"/>
          <w:bCs w:val="false"/>
          <w:sz w:val="20"/>
          <w:szCs w:val="20"/>
        </w:rPr>
        <w:t xml:space="preserve">Checkbox state: managed in React useState. 'Select All' checkbox in header selects current page.</w:t>
      </w:r>
    </w:p>
    <w:p>
      <w:pPr>
        <w:pStyle w:val="ListParagraph"/>
        <w:numPr>
          <w:ilvl w:val="true"/>
          <w:numId w:val="2"/>
        </w:numPr>
        <w:spacing w:before="40" w:after="40"/>
      </w:pPr>
      <w:r>
        <w:rPr>
          <w:rFonts w:ascii="Calibri" w:cs="Calibri" w:eastAsia="Calibri" w:hAnsi="Calibri"/>
          <w:b w:val="false"/>
          <w:bCs w:val="false"/>
          <w:sz w:val="20"/>
          <w:szCs w:val="20"/>
        </w:rPr>
        <w:t xml:space="preserve">Floating action bar: appears with CSS position:sticky at bottom of LAN table container when selectedLANs.length &gt; 0.</w:t>
      </w:r>
    </w:p>
    <w:p>
      <w:pPr>
        <w:pStyle w:val="ListParagraph"/>
        <w:numPr>
          <w:ilvl w:val="true"/>
          <w:numId w:val="2"/>
        </w:numPr>
        <w:spacing w:before="40" w:after="40"/>
      </w:pPr>
      <w:r>
        <w:rPr>
          <w:rFonts w:ascii="Calibri" w:cs="Calibri" w:eastAsia="Calibri" w:hAnsi="Calibri"/>
          <w:b w:val="false"/>
          <w:bCs w:val="false"/>
          <w:sz w:val="20"/>
          <w:szCs w:val="20"/>
        </w:rPr>
        <w:t xml:space="preserve">Email modal: EmailModal component receives selectedLANs array as prop. Subject and body are template strings with LAN data injected. 'Copy to clipboard' button as fallback to mailto.</w:t>
      </w:r>
    </w:p>
    <w:p>
      <w:pPr>
        <w:pStyle w:val="ListParagraph"/>
        <w:numPr>
          <w:ilvl w:val="true"/>
          <w:numId w:val="2"/>
        </w:numPr>
        <w:spacing w:before="40" w:after="40"/>
      </w:pPr>
      <w:r>
        <w:rPr>
          <w:rFonts w:ascii="Calibri" w:cs="Calibri" w:eastAsia="Calibri" w:hAnsi="Calibri"/>
          <w:b w:val="false"/>
          <w:bCs w:val="false"/>
          <w:sz w:val="20"/>
          <w:szCs w:val="20"/>
        </w:rPr>
        <w:t xml:space="preserve">Sent status: after send, mark each LAN row with a 'Sent [timestamp]' tag stored in localStorage in Phase 1.</w:t>
      </w:r>
    </w:p>
    <w:p>
      <w:pPr>
        <w:spacing w:before="140" w:after="60"/>
      </w:pPr>
    </w:p>
    <w:p>
      <w:pPr>
        <w:pStyle w:val="Heading2"/>
        <w:spacing w:before="240" w:after="80"/>
      </w:pPr>
      <w:r>
        <w:rPr>
          <w:rFonts w:ascii="Calibri" w:cs="Calibri" w:eastAsia="Calibri" w:hAnsi="Calibri"/>
          <w:b/>
          <w:bCs/>
          <w:color w:val="1565C0"/>
          <w:sz w:val="26"/>
          <w:szCs w:val="26"/>
        </w:rPr>
        <w:t xml:space="preserve">6.3 Anomaly Detection — Simple Rules for Phase 1</w:t>
      </w:r>
    </w:p>
    <w:p>
      <w:pPr>
        <w:spacing w:before="8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80"/>
      </w:tblGrid>
      <w:tr>
        <w:tc>
          <w:tcPr>
            <w:tcW w:type="dxa" w:w="24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Metric</w:t>
            </w:r>
          </w:p>
        </w:tc>
        <w:tc>
          <w:tcPr>
            <w:tcW w:type="dxa" w:w="28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Anomaly Rule</w:t>
            </w:r>
          </w:p>
        </w:tc>
        <w:tc>
          <w:tcPr>
            <w:tcW w:type="dxa" w:w="38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Display</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Daily Txn SR</w:t>
            </w:r>
          </w:p>
        </w:tc>
        <w:tc>
          <w:tcPr>
            <w:tcW w:type="dxa" w:w="2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&lt; (30-day avg − 2pp)</w:t>
            </w:r>
          </w:p>
        </w:tc>
        <w:tc>
          <w:tcPr>
            <w:tcW w:type="dxa" w:w="3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Red zone shading on chart + ⚠ badge on KPI card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Error code daily 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&gt; 2× its own 7-day rolling avg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Bold red row in error table + 'SPIKE' label</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Bill Recon Difference</w:t>
            </w:r>
          </w:p>
        </w:tc>
        <w:tc>
          <w:tcPr>
            <w:tcW w:type="dxa" w:w="2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Any account-count row with Difference &gt; 0</w:t>
            </w:r>
          </w:p>
        </w:tc>
        <w:tc>
          <w:tcPr>
            <w:tcW w:type="dxa" w:w="3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Red difference cell + 'View LANs' CTA appears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DPD SSFB vs Paytm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Difference &gt; 5 accounts in any bucket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Amber warning badge on DPD table header</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Repayments &gt; Bill</w:t>
            </w:r>
          </w:p>
        </w:tc>
        <w:tc>
          <w:tcPr>
            <w:tcW w:type="dxa" w:w="2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&gt; 50% of repaying customers overpaid</w:t>
            </w:r>
          </w:p>
        </w:tc>
        <w:tc>
          <w:tcPr>
            <w:tcW w:type="dxa" w:w="3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Amber badge + cross-link to User Pulse 'Surplus Refund'</w:t>
            </w:r>
          </w:p>
        </w:tc>
      </w:tr>
    </w:tbl>
    <w:p>
      <w:pPr>
        <w:spacing w:before="140" w:after="60"/>
      </w:pPr>
    </w:p>
    <w:p>
      <w:pPr>
        <w:pStyle w:val="Heading2"/>
        <w:spacing w:before="240" w:after="80"/>
      </w:pPr>
      <w:r>
        <w:rPr>
          <w:rFonts w:ascii="Calibri" w:cs="Calibri" w:eastAsia="Calibri" w:hAnsi="Calibri"/>
          <w:b/>
          <w:bCs/>
          <w:color w:val="1565C0"/>
          <w:sz w:val="26"/>
          <w:szCs w:val="26"/>
        </w:rPr>
        <w:t xml:space="preserve">6.4 Cross-Dashboard Deep Links</w:t>
      </w:r>
    </w:p>
    <w:p>
      <w:pPr>
        <w:spacing w:before="60" w:after="60"/>
      </w:pPr>
      <w:r>
        <w:rPr>
          <w:rFonts w:ascii="Calibri" w:cs="Calibri" w:eastAsia="Calibri" w:hAnsi="Calibri"/>
          <w:sz w:val="20"/>
          <w:szCs w:val="20"/>
        </w:rPr>
        <w:t xml:space="preserve">A key UX differentiator is that numbers in Post-Onboarding link directly to related views in other dashboard sections. These cross-links must be implemented as clickable badges or underlined numbers:</w:t>
      </w:r>
    </w:p>
    <w:p>
      <w:pPr>
        <w:spacing w:before="80" w:after="40"/>
      </w:pPr>
    </w:p>
    <w:p>
      <w:pPr>
        <w:pStyle w:val="ListParagraph"/>
        <w:numPr>
          <w:ilvl w:val="true"/>
          <w:numId w:val="2"/>
        </w:numPr>
        <w:spacing w:before="40" w:after="40"/>
      </w:pPr>
      <w:r>
        <w:rPr>
          <w:rFonts w:ascii="Calibri" w:cs="Calibri" w:eastAsia="Calibri" w:hAnsi="Calibri"/>
          <w:b w:val="false"/>
          <w:bCs w:val="false"/>
          <w:sz w:val="20"/>
          <w:szCs w:val="20"/>
        </w:rPr>
        <w:t xml:space="preserve">Frozen Accounts (Portfolio) → links to DPD 7-day bucket in Repayment Recon</w:t>
      </w:r>
    </w:p>
    <w:p>
      <w:pPr>
        <w:pStyle w:val="ListParagraph"/>
        <w:numPr>
          <w:ilvl w:val="true"/>
          <w:numId w:val="2"/>
        </w:numPr>
        <w:spacing w:before="40" w:after="40"/>
      </w:pPr>
      <w:r>
        <w:rPr>
          <w:rFonts w:ascii="Calibri" w:cs="Calibri" w:eastAsia="Calibri" w:hAnsi="Calibri"/>
          <w:b w:val="false"/>
          <w:bCs w:val="false"/>
          <w:sz w:val="20"/>
          <w:szCs w:val="20"/>
        </w:rPr>
        <w:t xml:space="preserve">Repayments &gt; Bill (Repayment) → links to 'Surplus Refund' issue in User Pulse</w:t>
      </w:r>
    </w:p>
    <w:p>
      <w:pPr>
        <w:pStyle w:val="ListParagraph"/>
        <w:numPr>
          <w:ilvl w:val="true"/>
          <w:numId w:val="2"/>
        </w:numPr>
        <w:spacing w:before="40" w:after="40"/>
      </w:pPr>
      <w:r>
        <w:rPr>
          <w:rFonts w:ascii="Calibri" w:cs="Calibri" w:eastAsia="Calibri" w:hAnsi="Calibri"/>
          <w:b w:val="false"/>
          <w:bCs w:val="false"/>
          <w:sz w:val="20"/>
          <w:szCs w:val="20"/>
        </w:rPr>
        <w:t xml:space="preserve">VKYC_SOFTBLOCKED count (Portfolio) → links to 'VKYC stuck' CST issue in User Pulse</w:t>
      </w:r>
    </w:p>
    <w:p>
      <w:pPr>
        <w:pStyle w:val="ListParagraph"/>
        <w:numPr>
          <w:ilvl w:val="true"/>
          <w:numId w:val="2"/>
        </w:numPr>
        <w:spacing w:before="40" w:after="40"/>
      </w:pPr>
      <w:r>
        <w:rPr>
          <w:rFonts w:ascii="Calibri" w:cs="Calibri" w:eastAsia="Calibri" w:hAnsi="Calibri"/>
          <w:b w:val="false"/>
          <w:bCs w:val="false"/>
          <w:sz w:val="20"/>
          <w:szCs w:val="20"/>
        </w:rPr>
        <w:t xml:space="preserve">Transaction failure spike → links to 'Txn failed — amount deducted' CST issue in User Pulse</w:t>
      </w:r>
    </w:p>
    <w:p>
      <w:pPr>
        <w:spacing w:before="160" w:after="80"/>
      </w:pPr>
    </w:p>
    <w:p>
      <w:pPr>
        <w:pStyle w:val="Heading1"/>
        <w:spacing w:before="400" w:after="120"/>
      </w:pPr>
      <w:r>
        <w:rPr>
          <w:rFonts w:ascii="Calibri" w:cs="Calibri" w:eastAsia="Calibri" w:hAnsi="Calibri"/>
          <w:b/>
          <w:bCs/>
          <w:color w:val="003366"/>
          <w:sz w:val="34"/>
          <w:szCs w:val="34"/>
        </w:rPr>
        <w:t xml:space="preserve">7. Phased Delivery</w:t>
      </w:r>
    </w:p>
    <w:p>
      <w:pPr>
        <w:pBdr>
          <w:bottom w:val="single" w:color="1565C0" w:sz="6" w:space="1"/>
        </w:pBdr>
        <w:spacing w:before="80" w:after="80"/>
      </w:pPr>
    </w:p>
    <w:p>
      <w:pPr>
        <w:pStyle w:val="Heading2"/>
        <w:spacing w:before="240" w:after="80"/>
      </w:pPr>
      <w:r>
        <w:rPr>
          <w:rFonts w:ascii="Calibri" w:cs="Calibri" w:eastAsia="Calibri" w:hAnsi="Calibri"/>
          <w:b/>
          <w:bCs/>
          <w:color w:val="1565C0"/>
          <w:sz w:val="26"/>
          <w:szCs w:val="26"/>
        </w:rPr>
        <w:t xml:space="preserve">Phase 1 — Cursor Prototype (Weeks 1–3)</w:t>
      </w:r>
    </w:p>
    <w:p>
      <w:pPr>
        <w:pStyle w:val="ListParagraph"/>
        <w:numPr>
          <w:ilvl w:val="0"/>
          <w:numId w:val="2"/>
        </w:numPr>
        <w:spacing w:before="40" w:after="40"/>
      </w:pPr>
      <w:r>
        <w:rPr>
          <w:rFonts w:ascii="Calibri" w:cs="Calibri" w:eastAsia="Calibri" w:hAnsi="Calibri"/>
          <w:b w:val="false"/>
          <w:bCs w:val="false"/>
          <w:sz w:val="20"/>
          <w:szCs w:val="20"/>
        </w:rPr>
        <w:t xml:space="preserve">All 4 sections with mock data: Portfolio, Bill Recon, Repayment, Spends</w:t>
      </w:r>
    </w:p>
    <w:p>
      <w:pPr>
        <w:pStyle w:val="ListParagraph"/>
        <w:numPr>
          <w:ilvl w:val="0"/>
          <w:numId w:val="2"/>
        </w:numPr>
        <w:spacing w:before="40" w:after="40"/>
      </w:pPr>
      <w:r>
        <w:rPr>
          <w:rFonts w:ascii="Calibri" w:cs="Calibri" w:eastAsia="Calibri" w:hAnsi="Calibri"/>
          <w:b w:val="false"/>
          <w:bCs w:val="false"/>
          <w:sz w:val="20"/>
          <w:szCs w:val="20"/>
        </w:rPr>
        <w:t xml:space="preserve">LAN-level drill-down table with multi-select and email modal (localStorage-backed 'Sent' status)</w:t>
      </w:r>
    </w:p>
    <w:p>
      <w:pPr>
        <w:pStyle w:val="ListParagraph"/>
        <w:numPr>
          <w:ilvl w:val="0"/>
          <w:numId w:val="2"/>
        </w:numPr>
        <w:spacing w:before="40" w:after="40"/>
      </w:pPr>
      <w:r>
        <w:rPr>
          <w:rFonts w:ascii="Calibri" w:cs="Calibri" w:eastAsia="Calibri" w:hAnsi="Calibri"/>
          <w:b w:val="false"/>
          <w:bCs w:val="false"/>
          <w:sz w:val="20"/>
          <w:szCs w:val="20"/>
        </w:rPr>
        <w:t xml:space="preserve">Anomaly detection on SR chart and error code table (client-side rule computation)</w:t>
      </w:r>
    </w:p>
    <w:p>
      <w:pPr>
        <w:pStyle w:val="ListParagraph"/>
        <w:numPr>
          <w:ilvl w:val="0"/>
          <w:numId w:val="2"/>
        </w:numPr>
        <w:spacing w:before="40" w:after="40"/>
      </w:pPr>
      <w:r>
        <w:rPr>
          <w:rFonts w:ascii="Calibri" w:cs="Calibri" w:eastAsia="Calibri" w:hAnsi="Calibri"/>
          <w:b w:val="false"/>
          <w:bCs w:val="false"/>
          <w:sz w:val="20"/>
          <w:szCs w:val="20"/>
        </w:rPr>
        <w:t xml:space="preserve">Cross-dashboard deep-links between Post-Onboarding and User Pulse</w:t>
      </w:r>
    </w:p>
    <w:p>
      <w:pPr>
        <w:pStyle w:val="ListParagraph"/>
        <w:numPr>
          <w:ilvl w:val="0"/>
          <w:numId w:val="2"/>
        </w:numPr>
        <w:spacing w:before="40" w:after="40"/>
      </w:pPr>
      <w:r>
        <w:rPr>
          <w:rFonts w:ascii="Calibri" w:cs="Calibri" w:eastAsia="Calibri" w:hAnsi="Calibri"/>
          <w:b w:val="false"/>
          <w:bCs w:val="false"/>
          <w:sz w:val="20"/>
          <w:szCs w:val="20"/>
        </w:rPr>
        <w:t xml:space="preserve">MoM portfolio table as pinned sticky header within Portfolio section</w:t>
      </w:r>
    </w:p>
    <w:p>
      <w:pPr>
        <w:spacing w:before="80" w:after="40"/>
      </w:pPr>
    </w:p>
    <w:p>
      <w:pPr>
        <w:pStyle w:val="Heading2"/>
        <w:spacing w:before="240" w:after="80"/>
      </w:pPr>
      <w:r>
        <w:rPr>
          <w:rFonts w:ascii="Calibri" w:cs="Calibri" w:eastAsia="Calibri" w:hAnsi="Calibri"/>
          <w:b/>
          <w:bCs/>
          <w:color w:val="1565C0"/>
          <w:sz w:val="26"/>
          <w:szCs w:val="26"/>
        </w:rPr>
        <w:t xml:space="preserve">Phase 2 — Backend Integration (Weeks 4–8)</w:t>
      </w:r>
    </w:p>
    <w:p>
      <w:pPr>
        <w:pStyle w:val="ListParagraph"/>
        <w:numPr>
          <w:ilvl w:val="0"/>
          <w:numId w:val="2"/>
        </w:numPr>
        <w:spacing w:before="40" w:after="40"/>
      </w:pPr>
      <w:r>
        <w:rPr>
          <w:rFonts w:ascii="Calibri" w:cs="Calibri" w:eastAsia="Calibri" w:hAnsi="Calibri"/>
          <w:b w:val="false"/>
          <w:bCs w:val="false"/>
          <w:sz w:val="20"/>
          <w:szCs w:val="20"/>
        </w:rPr>
        <w:t xml:space="preserve">Wire to Starburst / Hive for live Bill Recon data</w:t>
      </w:r>
    </w:p>
    <w:p>
      <w:pPr>
        <w:pStyle w:val="ListParagraph"/>
        <w:numPr>
          <w:ilvl w:val="0"/>
          <w:numId w:val="2"/>
        </w:numPr>
        <w:spacing w:before="40" w:after="40"/>
      </w:pPr>
      <w:r>
        <w:rPr>
          <w:rFonts w:ascii="Calibri" w:cs="Calibri" w:eastAsia="Calibri" w:hAnsi="Calibri"/>
          <w:b w:val="false"/>
          <w:bCs w:val="false"/>
          <w:sz w:val="20"/>
          <w:szCs w:val="20"/>
        </w:rPr>
        <w:t xml:space="preserve">LAN table wired to real Paytm LMS and SSFB LAN join query</w:t>
      </w:r>
    </w:p>
    <w:p>
      <w:pPr>
        <w:pStyle w:val="ListParagraph"/>
        <w:numPr>
          <w:ilvl w:val="0"/>
          <w:numId w:val="2"/>
        </w:numPr>
        <w:spacing w:before="40" w:after="40"/>
      </w:pPr>
      <w:r>
        <w:rPr>
          <w:rFonts w:ascii="Calibri" w:cs="Calibri" w:eastAsia="Calibri" w:hAnsi="Calibri"/>
          <w:b w:val="false"/>
          <w:bCs w:val="false"/>
          <w:sz w:val="20"/>
          <w:szCs w:val="20"/>
        </w:rPr>
        <w:t xml:space="preserve">Email action wired to actual SSFB ops email via SendGrid / internal mail relay</w:t>
      </w:r>
    </w:p>
    <w:p>
      <w:pPr>
        <w:pStyle w:val="ListParagraph"/>
        <w:numPr>
          <w:ilvl w:val="0"/>
          <w:numId w:val="2"/>
        </w:numPr>
        <w:spacing w:before="40" w:after="40"/>
      </w:pPr>
      <w:r>
        <w:rPr>
          <w:rFonts w:ascii="Calibri" w:cs="Calibri" w:eastAsia="Calibri" w:hAnsi="Calibri"/>
          <w:b w:val="false"/>
          <w:bCs w:val="false"/>
          <w:sz w:val="20"/>
          <w:szCs w:val="20"/>
        </w:rPr>
        <w:t xml:space="preserve">Daily auto-refresh at 7 AM for all sections; real-time SR chart via polling</w:t>
      </w:r>
    </w:p>
    <w:p>
      <w:pPr>
        <w:spacing w:before="80" w:after="40"/>
      </w:pPr>
    </w:p>
    <w:p>
      <w:pPr>
        <w:pStyle w:val="Heading2"/>
        <w:spacing w:before="240" w:after="80"/>
      </w:pPr>
      <w:r>
        <w:rPr>
          <w:rFonts w:ascii="Calibri" w:cs="Calibri" w:eastAsia="Calibri" w:hAnsi="Calibri"/>
          <w:b/>
          <w:bCs/>
          <w:color w:val="1565C0"/>
          <w:sz w:val="26"/>
          <w:szCs w:val="26"/>
        </w:rPr>
        <w:t xml:space="preserve">Phase 3 — Intelligence (Weeks 9+)</w:t>
      </w:r>
    </w:p>
    <w:p>
      <w:pPr>
        <w:pStyle w:val="ListParagraph"/>
        <w:numPr>
          <w:ilvl w:val="0"/>
          <w:numId w:val="2"/>
        </w:numPr>
        <w:spacing w:before="40" w:after="40"/>
      </w:pPr>
      <w:r>
        <w:rPr>
          <w:rFonts w:ascii="Calibri" w:cs="Calibri" w:eastAsia="Calibri" w:hAnsi="Calibri"/>
          <w:b w:val="false"/>
          <w:bCs w:val="false"/>
          <w:sz w:val="20"/>
          <w:szCs w:val="20"/>
        </w:rPr>
        <w:t xml:space="preserve">AI-generated DPD narrative: 'DPD-76 bucket grew 12% this month — primarily users onboarded in Oct-25 who did not transact in first 30 days'</w:t>
      </w:r>
    </w:p>
    <w:p>
      <w:pPr>
        <w:pStyle w:val="ListParagraph"/>
        <w:numPr>
          <w:ilvl w:val="0"/>
          <w:numId w:val="2"/>
        </w:numPr>
        <w:spacing w:before="40" w:after="40"/>
      </w:pPr>
      <w:r>
        <w:rPr>
          <w:rFonts w:ascii="Calibri" w:cs="Calibri" w:eastAsia="Calibri" w:hAnsi="Calibri"/>
          <w:b w:val="false"/>
          <w:bCs w:val="false"/>
          <w:sz w:val="20"/>
          <w:szCs w:val="20"/>
        </w:rPr>
        <w:t xml:space="preserve">Auto-remediation: for VKYC_SOFTBLOCKED users, trigger push notification campaign from within the dashboard</w:t>
      </w:r>
    </w:p>
    <w:p>
      <w:pPr>
        <w:pStyle w:val="ListParagraph"/>
        <w:numPr>
          <w:ilvl w:val="0"/>
          <w:numId w:val="2"/>
        </w:numPr>
        <w:spacing w:before="40" w:after="40"/>
      </w:pPr>
      <w:r>
        <w:rPr>
          <w:rFonts w:ascii="Calibri" w:cs="Calibri" w:eastAsia="Calibri" w:hAnsi="Calibri"/>
          <w:b w:val="false"/>
          <w:bCs w:val="false"/>
          <w:sz w:val="20"/>
          <w:szCs w:val="20"/>
        </w:rPr>
        <w:t xml:space="preserve">Predictive repayment: flag users likely to miss payment based on DPD history + repayment pattern</w:t>
      </w:r>
    </w:p>
    <w:p>
      <w:pPr>
        <w:spacing w:before="160" w:after="80"/>
      </w:pPr>
    </w:p>
    <w:p>
      <w:pPr>
        <w:pStyle w:val="Heading1"/>
        <w:spacing w:before="400" w:after="120"/>
      </w:pPr>
      <w:r>
        <w:rPr>
          <w:rFonts w:ascii="Calibri" w:cs="Calibri" w:eastAsia="Calibri" w:hAnsi="Calibri"/>
          <w:b/>
          <w:bCs/>
          <w:color w:val="003366"/>
          <w:sz w:val="34"/>
          <w:szCs w:val="34"/>
        </w:rPr>
        <w:t xml:space="preserve">8. Open Questions Before Cursor Build</w:t>
      </w:r>
    </w:p>
    <w:p>
      <w:pPr>
        <w:pBdr>
          <w:bottom w:val="single" w:color="1565C0" w:sz="6" w:space="1"/>
        </w:pBdr>
        <w:spacing w:before="80" w:after="8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880"/>
        <w:gridCol w:w="2000"/>
        <w:gridCol w:w="2200"/>
      </w:tblGrid>
      <w:tr>
        <w:tc>
          <w:tcPr>
            <w:tcW w:type="dxa" w:w="488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Question</w:t>
            </w:r>
          </w:p>
        </w:tc>
        <w:tc>
          <w:tcPr>
            <w:tcW w:type="dxa" w:w="20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Owner</w:t>
            </w:r>
          </w:p>
        </w:tc>
        <w:tc>
          <w:tcPr>
            <w:tcW w:type="dxa" w:w="2200"/>
            <w:tcBorders>
              <w:top w:val="single" w:color="CCCCCC" w:sz="1"/>
              <w:left w:val="single" w:color="CCCCCC" w:sz="1"/>
              <w:bottom w:val="single" w:color="CCCCCC" w:sz="1"/>
              <w:right w:val="single" w:color="CCCCCC" w:sz="1"/>
            </w:tcBorders>
            <w:shd w:fill="E3EEF9" w:val="clear"/>
            <w:tcMar>
              <w:top w:type="dxa" w:w="80"/>
              <w:left w:type="dxa" w:w="120"/>
              <w:bottom w:type="dxa" w:w="80"/>
              <w:right w:type="dxa" w:w="120"/>
            </w:tcMar>
          </w:tcPr>
          <w:p>
            <w:r>
              <w:rPr>
                <w:rFonts w:ascii="Calibri" w:cs="Calibri" w:eastAsia="Calibri" w:hAnsi="Calibri"/>
                <w:b/>
                <w:bCs/>
                <w:color w:val="003366"/>
                <w:sz w:val="18"/>
                <w:szCs w:val="18"/>
              </w:rPr>
              <w:t xml:space="preserve">Needed By</w:t>
            </w:r>
          </w:p>
        </w:tc>
      </w:tr>
      <w:tr>
        <w:tc>
          <w:tcPr>
            <w:tcW w:type="dxa" w:w="4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1. Why does Paytm LMS show 0 for all Bill Recon rows — is this expected (data not yet flowing) or a pipeline gap that should be flagged in the dashboard itself?</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PM + Data Eng</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Before Phase 1</w:t>
            </w:r>
          </w:p>
        </w:tc>
      </w:tr>
      <w:tr>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2. What is the SSFB ops email for LAN escalation — and is there a formal SLA for SSFB to respond to a reconciliation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PM + Finance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Phase 2</w:t>
            </w:r>
          </w:p>
        </w:tc>
      </w:tr>
      <w:tr>
        <w:tc>
          <w:tcPr>
            <w:tcW w:type="dxa" w:w="4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3. The 'Repayments &gt; Bill' count (1,25,381 in Feb-26) is nearly the entire repaying base — is this structurally expected (e.g. users always pay slightly more than bill to avoid late fees) or a systemic overpayment bug?</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PM + Finance</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Before Phase 1</w:t>
            </w:r>
          </w:p>
        </w:tc>
      </w:tr>
      <w:tr>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4. Should the DPD table trigger any automated lender notification (e.g. if DPD-106 bucket grows &gt;X accounts) or is that a manual ops process?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PM +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Phase 2</w:t>
            </w:r>
          </w:p>
        </w:tc>
      </w:tr>
      <w:tr>
        <w:tc>
          <w:tcPr>
            <w:tcW w:type="dxa" w:w="4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5. Are UPI error codes (U29-SA, U30-ZM etc.) standardised NPCI codes or Paytm-internal? This affects how to display them to non-technical stakeholders.</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PM + Tech</w:t>
            </w:r>
          </w:p>
        </w:tc>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val="false"/>
                <w:bCs w:val="false"/>
                <w:color w:val="424242"/>
                <w:sz w:val="18"/>
                <w:szCs w:val="18"/>
              </w:rPr>
              <w:t xml:space="preserve">Before prototype</w:t>
            </w:r>
          </w:p>
        </w:tc>
      </w:tr>
    </w:tbl>
    <w:p>
      <w:pPr>
        <w:spacing w:before="200" w:after="80"/>
      </w:pPr>
    </w:p>
    <w:p>
      <w:pPr>
        <w:pBdr>
          <w:bottom w:val="single" w:color="1565C0" w:sz="6" w:space="1"/>
        </w:pBdr>
        <w:spacing w:before="80" w:after="80"/>
      </w:pPr>
    </w:p>
    <w:p>
      <w:pPr>
        <w:spacing w:before="120" w:after="60"/>
        <w:jc w:val="center"/>
      </w:pPr>
      <w:r>
        <w:rPr>
          <w:rFonts w:ascii="Calibri" w:cs="Calibri" w:eastAsia="Calibri" w:hAnsi="Calibri"/>
          <w:i/>
          <w:iCs/>
          <w:color w:val="888888"/>
          <w:sz w:val="18"/>
          <w:szCs w:val="18"/>
        </w:rPr>
        <w:t xml:space="preserve">End of PRD v1.0 — Post-Onboarding Deep Dive. Mock data sourced from Feb-26 Metabase screenshots. This completes the full 3-charter dashboard spec: Onboarding Funnel + User Pulse + Post-Onboarding.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tabs>
        <w:tab w:val="right" w:pos="9080"/>
      </w:tabs>
    </w:pPr>
    <w:r>
      <w:rPr>
        <w:rFonts w:ascii="Calibri" w:cs="Calibri" w:eastAsia="Calibri" w:hAnsi="Calibri"/>
        <w:color w:val="888888"/>
        <w:sz w:val="16"/>
        <w:szCs w:val="16"/>
      </w:rPr>
      <w:t xml:space="preserve">Confidential — Internal Use Only</w:t>
    </w:r>
    <w:r>
      <w:rPr>
        <w:rFonts w:ascii="Calibri" w:cs="Calibri" w:eastAsia="Calibri" w:hAnsi="Calibri"/>
        <w:color w:val="888888"/>
        <w:sz w:val="16"/>
        <w:szCs w:val="16"/>
      </w:rPr>
      <w:t xml:space="preserve">	For Cursor/IDE Prototype Build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1"/>
      </w:pBdr>
    </w:pPr>
    <w:r>
      <w:rPr>
        <w:rFonts w:ascii="Calibri" w:cs="Calibri" w:eastAsia="Calibri" w:hAnsi="Calibri"/>
        <w:color w:val="888888"/>
        <w:sz w:val="16"/>
        <w:szCs w:val="16"/>
      </w:rPr>
      <w:t xml:space="preserve">Paytm Postpaid  |  Post-Onboarding Deep Dive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libri" w:cs="Calibri" w:eastAsia="Calibri" w:hAnsi="Calibri"/>
      <w:b/>
      <w:bCs/>
      <w:color w:val="003366"/>
      <w:sz w:val="34"/>
      <w:szCs w:val="34"/>
    </w:rPr>
  </w:style>
  <w:style w:type="paragraph" w:styleId="Heading2">
    <w:name w:val="Heading 2"/>
    <w:basedOn w:val="Normal"/>
    <w:next w:val="Normal"/>
    <w:qFormat/>
    <w:pPr>
      <w:spacing w:before="240" w:after="80"/>
      <w:outlineLvl w:val="1"/>
    </w:pPr>
    <w:rPr>
      <w:rFonts w:ascii="Calibri" w:cs="Calibri" w:eastAsia="Calibri" w:hAnsi="Calibri"/>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2026-02-22T17:02:11.124Z</dcterms:created>
  <dcterms:modified xsi:type="dcterms:W3CDTF">2026-02-22T17:02:11.125Z</dcterms:modified>
</cp:coreProperties>
</file>

<file path=docProps/custom.xml><?xml version="1.0" encoding="utf-8"?>
<Properties xmlns="http://schemas.openxmlformats.org/officeDocument/2006/custom-properties" xmlns:vt="http://schemas.openxmlformats.org/officeDocument/2006/docPropsVTypes"/>
</file>