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Universidad Nacional Mayor de San Marcos</w:t>
      </w:r>
    </w:p>
    <w:p>
      <w:pPr>
        <w:jc w:val="center"/>
      </w:pPr>
      <w:r>
        <w:rPr>
          <w:b w:val="0"/>
          <w:sz w:val="24"/>
        </w:rPr>
        <w:t>Facultad de Ciencias Económicas – Escuela Profesional de Economía</w:t>
      </w:r>
    </w:p>
    <w:p>
      <w:pPr>
        <w:jc w:val="center"/>
      </w:pPr>
      <w:r>
        <w:rPr>
          <w:b w:val="0"/>
          <w:sz w:val="24"/>
        </w:rPr>
        <w:t>Proyecto de Tesis de Grado</w:t>
      </w:r>
    </w:p>
    <w:p>
      <w:pPr>
        <w:jc w:val="center"/>
      </w:pPr>
      <w:r>
        <w:rPr>
          <w:b w:val="0"/>
          <w:sz w:val="24"/>
        </w:rPr>
      </w:r>
    </w:p>
    <w:p>
      <w:pPr>
        <w:jc w:val="center"/>
      </w:pPr>
      <w:r>
        <w:rPr>
          <w:b/>
          <w:sz w:val="32"/>
        </w:rPr>
        <w:t>CAPÍTULO II</w:t>
      </w:r>
    </w:p>
    <w:p>
      <w:pPr>
        <w:jc w:val="center"/>
      </w:pPr>
      <w:r>
        <w:rPr>
          <w:b/>
          <w:sz w:val="28"/>
        </w:rPr>
        <w:t>MARCO TEÓRICO E HIPÓTESIS</w:t>
      </w:r>
    </w:p>
    <w:p>
      <w:pPr>
        <w:jc w:val="center"/>
      </w:pPr>
      <w:r>
        <w:rPr>
          <w:b w:val="0"/>
          <w:sz w:val="24"/>
        </w:rPr>
      </w:r>
    </w:p>
    <w:p>
      <w:pPr>
        <w:jc w:val="center"/>
      </w:pPr>
      <w:r>
        <w:rPr>
          <w:b w:val="0"/>
          <w:sz w:val="24"/>
        </w:rPr>
        <w:t>"El efecto de las macrorregiones sobre los ingresos laborales en el Perú: evidencia de la ENAHO, 2021-2023"</w:t>
      </w:r>
    </w:p>
    <w:p>
      <w:pPr>
        <w:jc w:val="center"/>
      </w:pPr>
      <w:r>
        <w:rPr>
          <w:b w:val="0"/>
          <w:sz w:val="24"/>
        </w:rPr>
      </w:r>
    </w:p>
    <w:p>
      <w:pPr>
        <w:jc w:val="center"/>
      </w:pPr>
      <w:r>
        <w:rPr>
          <w:b w:val="0"/>
          <w:sz w:val="24"/>
        </w:rPr>
        <w:t>Autor: Anderson Riquelme Fretel Rojas</w:t>
      </w:r>
    </w:p>
    <w:p>
      <w:pPr>
        <w:jc w:val="center"/>
      </w:pPr>
      <w:r>
        <w:rPr>
          <w:b w:val="0"/>
          <w:sz w:val="24"/>
        </w:rPr>
        <w:t>Docente: Oscar Chavez Polo</w:t>
      </w:r>
    </w:p>
    <w:p>
      <w:pPr>
        <w:jc w:val="center"/>
      </w:pPr>
      <w:r>
        <w:rPr>
          <w:b w:val="0"/>
          <w:sz w:val="24"/>
        </w:rPr>
        <w:t>Lima, Perú – 2026</w:t>
      </w:r>
    </w:p>
    <w:p>
      <w:r>
        <w:br w:type="page"/>
      </w:r>
    </w:p>
    <w:p>
      <w:pPr>
        <w:pStyle w:val="Heading1"/>
      </w:pPr>
      <w:r>
        <w:t>CAPÍTULO II: MARCO TEÓRICO E HIPÓTESIS</w:t>
      </w:r>
    </w:p>
    <w:p>
      <w:pPr>
        <w:pStyle w:val="Heading2"/>
      </w:pPr>
      <w:r>
        <w:t>2.1. Marco Teórico</w:t>
      </w:r>
    </w:p>
    <w:p>
      <w:pPr>
        <w:jc w:val="both"/>
      </w:pPr>
      <w:r>
        <w:t>El presente capítulo desarrolla el sustento teórico y empírico de la investigación, organizándose en tres apartados articulados lógicamente. En primer lugar, se presenta una revisión crítica de la literatura científica, estructurada por líneas temáticas que permiten situar la presente tesis dentro del estado del arte sobre desigualdad regional de ingresos. En segundo lugar, se desarrollan las bases teóricas que sustentan la relación entre la macrorregión de residencia y los ingresos laborales, relación que —conforme al alcance precisado en el Capítulo I— esta tesis estima como una brecha salarial condicionada, es decir, como un diferencial salarial ajustado por características observables respecto de Lima Metropolitana y Callao, y no como un efecto causal en sentido estricto, dado que la residencia en una macrorregión no se asigna aleatoriamente. Finalmente, se formulan las hipótesis de investigación y se definen las variables del estudio, en estricta coherencia con la matriz de consistencia que guía el diseño metodológico de la tesis.</w:t>
      </w:r>
    </w:p>
    <w:p>
      <w:pPr>
        <w:pStyle w:val="Heading3"/>
      </w:pPr>
      <w:r>
        <w:t>2.1.1. Revisión de Literatura</w:t>
      </w:r>
    </w:p>
    <w:p>
      <w:pPr>
        <w:jc w:val="both"/>
      </w:pPr>
      <w:r>
        <w:t>La literatura científica sobre los determinantes de los ingresos laborales y la desigualdad territorial puede organizarse en cinco líneas temáticas complementarias: (a) estudios sobre disparidades salariales geográficas a escala internacional; (b) estudios sobre economía geográfica y aglomeración; (c) estudios sobre desigualdad salarial y capital humano en América Latina; (d) estudios nacionales sobre desigualdad regional en el Perú; y (e) estudios nacionales sobre mecanismos específicos —informalidad y género— que median la relación entre territorio e ingresos. Esta organización temática, antes que una enumeración cronológica de autores, permite evidenciar cómo cada línea de investigación aporta un componente distinto al modelo econométrico propuesto.</w:t>
      </w:r>
    </w:p>
    <w:p>
      <w:pPr>
        <w:pStyle w:val="Heading4"/>
      </w:pPr>
      <w:r>
        <w:t>A. Estudios sobre disparidades salariales geográficas a escala internacional</w:t>
      </w:r>
    </w:p>
    <w:p>
      <w:pPr>
        <w:jc w:val="both"/>
      </w:pPr>
      <w:r>
        <w:t xml:space="preserve">La Organización Internacional del Trabajo (OIT, 2023), en su estudio </w:t>
      </w:r>
      <w:r>
        <w:rPr>
          <w:i/>
        </w:rPr>
        <w:t>Employment and Wage Disparities between Rural and Urban Areas</w:t>
      </w:r>
      <w:r>
        <w:t xml:space="preserve"> (ILO Working Paper No. 107), tuvo como objetivo cuantificar la magnitud y los determinantes de la brecha salarial rural-urbana a escala global. Empleando datos de encuestas de hogares de 58 países y controlando por características sociodemográficas, la OIT encontró que los trabajadores rurales perciben en promedio un 24% menos que sus pares urbanos, pero que solo la mitad de esta brecha es explicada por diferencias observables en educación, experiencia y categoría ocupacional. El 12% restante constituye lo que los autores denominan un efecto territorial puro, no atribuible a las características individuales del trabajador.</w:t>
      </w:r>
    </w:p>
    <w:p>
      <w:pPr>
        <w:jc w:val="both"/>
      </w:pPr>
      <w:r>
        <w:t>Este hallazgo es metodológicamente relevante porque legitima la estrategia de identificación que se adopta en la presente investigación: estimar la brecha salarial condicionada asociada a la macrorregión de residencia después de controlar por educación, experiencia, sexo e informalidad, entendiendo el diferencial remanente como un diferencial salarial ajustado por características observables —asociado a la localización— y no como un efecto causal del territorio, pues la residencia macrorregional está correlacionada con la estructura productiva local, el costo de vida, las decisiones de migración y características no observadas del trabajador. El vacío que deja este antecedente —su naturaleza agregada multinacional, sin desagregación subnacional para el Perú— es precisamente el que la presente tesis busca cubrir al estimar dicho diferencial para las cinco macrorregiones peruanas.</w:t>
      </w:r>
    </w:p>
    <w:p>
      <w:pPr>
        <w:pStyle w:val="Heading4"/>
      </w:pPr>
      <w:r>
        <w:t>B. Estudios sobre economía geográfica y aglomeración</w:t>
      </w:r>
    </w:p>
    <w:p>
      <w:pPr>
        <w:jc w:val="both"/>
      </w:pPr>
      <w:r>
        <w:t xml:space="preserve">Storper et al. (2024), en el artículo </w:t>
      </w:r>
      <w:r>
        <w:rPr>
          <w:i/>
        </w:rPr>
        <w:t>Nature, Causes, and Consequences of Inter-Regional Inequality</w:t>
      </w:r>
      <w:r>
        <w:t xml:space="preserve">, publicado en el </w:t>
      </w:r>
      <w:r>
        <w:rPr>
          <w:i/>
        </w:rPr>
        <w:t>Journal of Economic Geography</w:t>
      </w:r>
      <w:r>
        <w:t xml:space="preserve"> (Oxford Academic), realizaron una revisión sistemática de los determinantes de la desigualdad interregional integrando evidencia de Estados Unidos, Reino Unido y Francia. El objetivo del estudio fue sintetizar el papel de las economías de aglomeración en la configuración de las disparidades territoriales de ingreso. Mediante una síntesis teórico-empírica de estudios previos, los autores demuestran que las ciudades de mayor tamaño generan retornos a la productividad basados en especialización y escala, y documentan que, a diferencia del período 1940-1980 —cuando las desigualdades espaciales se redujeron—, desde 1980 se observa una tendencia sistemática hacia la divergencia entre un grupo selecto de metrópolis "superestrella" y el resto de regiones.</w:t>
      </w:r>
    </w:p>
    <w:p>
      <w:pPr>
        <w:jc w:val="both"/>
      </w:pPr>
      <w:r>
        <w:t>Este antecedente es central para la presente investigación porque fundamenta teóricamente por qué Lima Metropolitana y Callao se adopta como categoría de referencia: al ser la única metrópoli de escala global del país, concentra economías de aglomeración que generan un piso salarial estructuralmente superior al de las macrorregiones Norte, Centro, Sur y Oriente. El vacío identificado es la ausencia de una cuantificación reciente y específica de esta brecha para el caso peruano con datos posteriores a la pandemia, que es exactamente lo que esta tesis aborda con la ENAHO 2021-2023.</w:t>
      </w:r>
    </w:p>
    <w:p>
      <w:pPr>
        <w:jc w:val="both"/>
      </w:pPr>
      <w:r>
        <w:t xml:space="preserve">Complementariamente, Combes, Duranton y Gobillon (2008), en </w:t>
      </w:r>
      <w:r>
        <w:rPr>
          <w:i/>
        </w:rPr>
        <w:t>Spatial Wage Disparities: Sorting Matters!</w:t>
      </w:r>
      <w:r>
        <w:t xml:space="preserve"> (</w:t>
      </w:r>
      <w:r>
        <w:rPr>
          <w:i/>
        </w:rPr>
        <w:t>Journal of Urban Economics</w:t>
      </w:r>
      <w:r>
        <w:t>), estimaron con datos de panel de trabajadores franceses la magnitud de las disparidades salariales espaciales, distinguiendo entre el efecto de la aglomeración y la selección espacial de trabajadores más hábiles hacia las grandes ciudades mediante efectos fijos individuales. Sus resultados muestran que una parte sustancial del diferencial salarial urbano refleja la composición de habilidades de la fuerza laboral, pero que subsiste un componente asociado a la densidad económica local. Este antecedente es doblemente pertinente para esta tesis: advierte que los coeficientes territoriales estimados sin controlar la selectividad deben interpretarse como brechas condicionadas —no como efectos causales—, y provee el referente metodológico de los controles de capital humano que el presente modelo incorpora.</w:t>
      </w:r>
    </w:p>
    <w:p>
      <w:pPr>
        <w:pStyle w:val="Heading4"/>
      </w:pPr>
      <w:r>
        <w:t>C. Estudios sobre desigualdad salarial y capital humano en América Latina</w:t>
      </w:r>
    </w:p>
    <w:p>
      <w:pPr>
        <w:jc w:val="both"/>
      </w:pPr>
      <w:r>
        <w:t xml:space="preserve">Messina y Silva (2021), en </w:t>
      </w:r>
      <w:r>
        <w:rPr>
          <w:i/>
        </w:rPr>
        <w:t>Twenty Years of Wage Inequality in Latin America</w:t>
      </w:r>
      <w:r>
        <w:t xml:space="preserve"> (BID Policy Brief No. IDB-PB-343), tuvieron como objetivo analizar la evolución de la desigualdad salarial en 13 países latinoamericanos —incluido el Perú— entre 2002 y 2019, mediante el cálculo de múltiples indicadores de desigualdad (Gini, ratio p90/p10, varianza de logaritmos salariales) sobre datos de encuestas de hogares. Los autores documentan una reducción general de la desigualdad asociada a la expansión educativa y al salario mínimo, pero constatan que las disparidades territoriales constituyen el componente más persistente y resistente a las políticas redistributivas, con la informalidad laboral como principal canal de reproducción de la desigualdad.</w:t>
      </w:r>
    </w:p>
    <w:p>
      <w:pPr>
        <w:jc w:val="both"/>
      </w:pPr>
      <w:r>
        <w:t xml:space="preserve">En la misma línea, Montenegro y Patrinos (2014), en </w:t>
      </w:r>
      <w:r>
        <w:rPr>
          <w:i/>
        </w:rPr>
        <w:t>Comparable Estimates of Returns to Schooling around the World</w:t>
      </w:r>
      <w:r>
        <w:t xml:space="preserve"> (World Bank Policy Research Working Paper No. 7020), estimaron mediante la ecuación de Mincer el retorno por año adicional de escolaridad para más de 140 países y 1,120 encuestas de hogares. Para América Latina y el Caribe, el retorno promedio se ubica en 9.3%, con los autores documentando que estos retornos son heterogéneos dentro de los países según el nivel de desarrollo económico regional y el grado de formalización del mercado laboral.</w:t>
      </w:r>
    </w:p>
    <w:p>
      <w:pPr>
        <w:jc w:val="both"/>
      </w:pPr>
      <w:r>
        <w:t>Ambos estudios proveen parámetros de referencia internacionales —tanto para la magnitud esperada de la brecha territorial como para el retorno educativo— que permiten contrastar los resultados obtenidos en el modelo macrorregional peruano. El vacío que dejan es la falta de una estimación que aísle específicamente el componente macrorregional —antes que departamental o rural-urbano— de la desigualdad de ingresos en el Perú reciente.</w:t>
      </w:r>
    </w:p>
    <w:p>
      <w:pPr>
        <w:pStyle w:val="Heading4"/>
      </w:pPr>
      <w:r>
        <w:t>D. Estudios nacionales sobre desigualdad regional en el Perú</w:t>
      </w:r>
    </w:p>
    <w:p>
      <w:pPr>
        <w:jc w:val="both"/>
      </w:pPr>
      <w:r>
        <w:t xml:space="preserve">Castillo (2020), en el Documento de Trabajo N.° 004-2020 del Banco Central de Reserva del Perú, </w:t>
      </w:r>
      <w:r>
        <w:rPr>
          <w:i/>
        </w:rPr>
        <w:t>Dinámica regional de la desigualdad de ingresos en el Perú</w:t>
      </w:r>
      <w:r>
        <w:t>, tuvo como objetivo explorar la evolución de la desigualdad del ingreso en las regiones peruanas entre 2007 y 2017, aplicando los índices de Gini y Theil sobre datos de la ENAHO, tanto para las 25 regiones políticas como para agrupaciones geográficas (costa, sierra, selva, Lima Metropolitana). El autor encuentra que la mayor parte de la desigualdad agregada del país se explica por diferencias dentro de las regiones, pero que el componente entre regiones se vuelve más relevante hacia el final del período analizado, justo cuando la reducción de la desigualdad se desacelera.</w:t>
      </w:r>
    </w:p>
    <w:p>
      <w:pPr>
        <w:jc w:val="both"/>
      </w:pPr>
      <w:r>
        <w:t xml:space="preserve">Complementariamente, Seminario, Zegarra y Palomino (2019), en el Documento de Trabajo N.° 1016 del BID, </w:t>
      </w:r>
      <w:r>
        <w:rPr>
          <w:i/>
        </w:rPr>
        <w:t>Estimación del PBI Departamental y Análisis de la Desigualdad Regional en el Perú: 1795-2017</w:t>
      </w:r>
      <w:r>
        <w:t>, reconstruyeron históricamente la distribución del ingreso entre los 24 departamentos del país mediante índices de Gini, Theil y Williamson, así como modelos de regresión por cuantiles y de cambio de régimen Markov. Sus resultados muestran que la distribución regional del ingreso es bimodal y altamente persistente —la probabilidad de que un departamento pobre en 1795 siga siendo pobre en 2017 es del 94%— y que, pese al boom económico peruano de 2000-2017, la desigualdad entre regiones aumentó según los tres indicadores empleados.</w:t>
      </w:r>
    </w:p>
    <w:p>
      <w:pPr>
        <w:jc w:val="both"/>
      </w:pPr>
      <w:r>
        <w:t>Estos dos antecedentes nacionales establecen la línea base empírica e histórica sobre la cual se inscribe la presente investigación: confirman que las brechas territoriales en el Perú no son fluctuaciones coyunturales, sino estructuras persistentes, lo que sustenta la expectativa de que los coeficientes macrorregionales estimados para 2021-2023 sean significativos y de magnitud considerable. El vacío que dejan es metodológico y temporal: ambos estudios emplean medidas de desigualdad agregada (Gini, Theil) y datos previos a 2018, mientras que la presente tesis estima directamente, mediante regresión, la brecha salarial condicionada de cada macrorregión respecto a Lima con datos posteriores a la pandemia del COVID-19.</w:t>
      </w:r>
    </w:p>
    <w:p>
      <w:pPr>
        <w:pStyle w:val="Heading4"/>
      </w:pPr>
      <w:r>
        <w:t>E. Estudios sobre informalidad laboral y brecha de género en el Perú</w:t>
      </w:r>
    </w:p>
    <w:p>
      <w:pPr>
        <w:jc w:val="both"/>
      </w:pPr>
      <w:r>
        <w:t xml:space="preserve">Medina-Quispe et al. (2026), en </w:t>
      </w:r>
      <w:r>
        <w:rPr>
          <w:i/>
        </w:rPr>
        <w:t>Socioeconomic Determinants of Informal Employment in Peru: An Analysis for the Period 2020-2022</w:t>
      </w:r>
      <w:r>
        <w:t xml:space="preserve"> (</w:t>
      </w:r>
      <w:r>
        <w:rPr>
          <w:i/>
        </w:rPr>
        <w:t>Economía &amp; Negocios</w:t>
      </w:r>
      <w:r>
        <w:t xml:space="preserve">), tuvieron como objetivo identificar los determinantes socioeconómicos de la informalidad laboral, aplicando un modelo de regresión logística binaria sobre 29,683 observaciones de la ENAHO. Los resultados muestran que trabajar en una microempresa, tener menos de 25 años y la situación de pobreza incrementan la probabilidad de informalidad, mientras que la educación superior la reduce en 9.6 puntos porcentuales. De manera específica para una de las macrorregiones del esquema propuesto, Condori, Vilca y Yapuchura (2022), en </w:t>
      </w:r>
      <w:r>
        <w:rPr>
          <w:i/>
        </w:rPr>
        <w:t>Frontiers in Public Health</w:t>
      </w:r>
      <w:r>
        <w:t>, documentan que el coeficiente de Gini de los ingresos de trabajadores independientes en Puno —departamento de la macrorregión Sur— alcanzó 0.61 en 2019 y se elevó a 0.71 durante la pandemia, frente a valores nacionales de 0.42 y 0.43 respectivamente, evidenciando una desigualdad interna extrema asociada a una informalidad cercana al 93%.</w:t>
      </w:r>
    </w:p>
    <w:p>
      <w:pPr>
        <w:jc w:val="both"/>
      </w:pPr>
      <w:r>
        <w:t xml:space="preserve">Por su parte, la U.S. Bureau of Labor Statistics (2025), en </w:t>
      </w:r>
      <w:r>
        <w:rPr>
          <w:i/>
        </w:rPr>
        <w:t>Analyzing Wage Gaps between Male and Female Workers in Peru: A Novel Decomposition Methodology and Case Study</w:t>
      </w:r>
      <w:r>
        <w:t xml:space="preserve"> (</w:t>
      </w:r>
      <w:r>
        <w:rPr>
          <w:i/>
        </w:rPr>
        <w:t>Monthly Labor Review</w:t>
      </w:r>
      <w:r>
        <w:t>), introdujo una metodología de descomposición contrafactual para aislar el componente no explicado de la brecha salarial de género en el Perú, encontrando que dicha brecha persiste incluso controlando productividad observable, y que varía significativamente entre regiones, siendo más pronunciada en zonas de mayor informalidad y menor diversificación económica.</w:t>
      </w:r>
    </w:p>
    <w:p>
      <w:pPr>
        <w:jc w:val="both"/>
      </w:pPr>
      <w:r>
        <w:t>Estos antecedentes justifican empíricamente la inclusión de la informalidad y el sexo como variables de control en el modelo Minceriano ampliado, dado que ambas características covarían con la macrorregión de residencia y podrían, si se omiten, sesgar el coeficiente de interés. El vacío que dejan, respecto del cual se posiciona esta investigación, es que ninguno de estos estudios estima de manera conjunta —en un único modelo de regresión con variables dummy macrorregionales y temporales— la brecha salarial condicionada asociada a la macrorregión de residencia, controlando simultáneamente por capital humano, sexo e informalidad para el período 2021-2023.</w:t>
      </w:r>
    </w:p>
    <w:p>
      <w:pPr>
        <w:pStyle w:val="Heading4"/>
      </w:pPr>
      <w:r>
        <w:t>F. Síntesis de la Revisión de Literatura y Vacío de Investigación</w:t>
      </w:r>
    </w:p>
    <w:p>
      <w:pPr>
        <w:jc w:val="both"/>
      </w:pPr>
      <w:r>
        <w:t>La revisión efectuada permite extraer tres conclusiones que articulan el problema de investigación. Primero, la evidencia internacional (OIT, 2023; Storper et al., 2024; Combes et al., 2008) demuestra de manera consistente que las disparidades territoriales de ingreso no se explican enteramente por las características individuales de los trabajadores, sino que incluyen un componente asociado a la localización que dichas características no absorben. Segundo, la evidencia para el Perú (Castillo, 2020; Seminario et al., 2019; Chavez et al., 2022) confirma que esta lógica aplica al territorio nacional, con brechas estructurales históricamente persistentes entre Lima y el resto del país. Tercero, la literatura sobre capital humano e informalidad (Montenegro y Patrinos, 2014; Medina-Quispe et al., 2026) establece que la educación, la experiencia y la condición de formalidad son determinantes individuales robustos del ingreso, cuya omisión sesgaría cualquier estimación del diferencial geográfico.</w:t>
      </w:r>
    </w:p>
    <w:p>
      <w:pPr>
        <w:jc w:val="both"/>
      </w:pPr>
      <w:r>
        <w:t>No obstante, ningún estudio identificado integra simultáneamente estos tres elementos, capital humano, informalidad y geografía, en un modelo de panel balanceado con un esquema explícito de macrorregiones para el Perú durante el período post-pandemia 2021-2023. Los estudios nacionales más cercanos (Castillo, 2020; Seminario et al., 2019) trabajan con datos agregados o de corte transversal repetido hasta 2017, sin estructura de panel individual; el estudio del FMI (Chavez et al., 2022) centra su análisis en la brecha étnica, no en la macrorregión como variable independiente principal. Este es precisamente el vacío de investigación que la presente tesis busca cubrir: estimar, mediante una ecuación de Mincer ampliada sobre un panel balanceado de la ENAHO 2021-2023, la brecha salarial condicionada de cada macrorregión de residencia respecto de Lima Metropolitana y Callao —el diferencial salarial ajustado por características observables—, controlando rigurosamente por educación, experiencia, sexo e informalidad laboral, e incorporando variables dummy temporales conforme a la matriz de consistencia.</w:t>
      </w:r>
    </w:p>
    <w:p>
      <w:pPr>
        <w:pStyle w:val="Heading3"/>
      </w:pPr>
      <w:r>
        <w:t>2.1.2. Bases Teóricas</w:t>
      </w:r>
    </w:p>
    <w:p>
      <w:pPr>
        <w:jc w:val="both"/>
      </w:pPr>
      <w:r>
        <w:t>Las bases teóricas que se desarrollan a continuación fueron seleccionadas exclusivamente por su capacidad de explicar la relación entre la macrorregión de residencia del trabajador (variable independiente) y sus ingresos laborales (variable dependiente), relación que el modelo empírico de esta tesis estima como brecha salarial condicionada respecto de la categoría de referencia. Se desarrollan tres teorías centrales —Capital Humano, Nueva Geografía Económica y Mercados Laborales Duales— que en conjunto constituyen el marco teórico principal del modelo econométrico, y una teoría complementaria pertinente para interpretar la hipótesis específica sobre la dinámica temporal de las brechas macrorregionales planteada en la matriz de consistencia.</w:t>
      </w:r>
    </w:p>
    <w:p>
      <w:pPr>
        <w:pStyle w:val="Heading4"/>
      </w:pPr>
      <w:r>
        <w:t>a) Teoría del Capital Humano</w:t>
      </w:r>
    </w:p>
    <w:p>
      <w:pPr>
        <w:jc w:val="both"/>
      </w:pPr>
      <w:r>
        <w:rPr>
          <w:b/>
        </w:rPr>
        <w:t>Autor original y contexto histórico</w:t>
      </w:r>
    </w:p>
    <w:p>
      <w:pPr>
        <w:jc w:val="both"/>
      </w:pPr>
      <w:r>
        <w:t xml:space="preserve">La Teoría del Capital Humano fue introducida formalmente por Theodore W. Schultz (1961) en su artículo </w:t>
      </w:r>
      <w:r>
        <w:rPr>
          <w:i/>
        </w:rPr>
        <w:t>Investment in Human Capital</w:t>
      </w:r>
      <w:r>
        <w:t xml:space="preserve">, publicado en la </w:t>
      </w:r>
      <w:r>
        <w:rPr>
          <w:i/>
        </w:rPr>
        <w:t>American Economic Review</w:t>
      </w:r>
      <w:r>
        <w:t xml:space="preserve">. Schultz argumentó que el crecimiento del ingreso de los trabajadores estadounidenses durante la primera mitad del siglo XX no podía explicarse únicamente por la acumulación de capital físico ni por el crecimiento de la fuerza laboral en términos numéricos, sino que requería reconocer la existencia de un capital intangible incorporado en las personas: la educación, la salud y la capacitación. Gary S. Becker (1964) desarrolló la microeconomía completa de esta teoría en </w:t>
      </w:r>
      <w:r>
        <w:rPr>
          <w:i/>
        </w:rPr>
        <w:t>Human Capital: A Theoretical and Empirical Analysis, with Special Reference to Education</w:t>
      </w:r>
      <w:r>
        <w:t xml:space="preserve">, contribución por la cual recibió el Premio Nobel de Economía en 1992. Jacob Mincer (1974) la operacionalizó empíricamente mediante la ecuación de ingresos que lleva su nombre, en </w:t>
      </w:r>
      <w:r>
        <w:rPr>
          <w:i/>
        </w:rPr>
        <w:t>Schooling, Experience, and Earnings</w:t>
      </w:r>
      <w:r>
        <w:t>.</w:t>
      </w:r>
    </w:p>
    <w:p>
      <w:pPr>
        <w:jc w:val="both"/>
      </w:pPr>
      <w:r>
        <w:rPr>
          <w:b/>
        </w:rPr>
        <w:t>Fundamentos</w:t>
      </w:r>
    </w:p>
    <w:p>
      <w:pPr>
        <w:jc w:val="both"/>
      </w:pPr>
      <w:r>
        <w:t>El fundamento central de la teoría es que la educación, la formación en el puesto de trabajo y la salud constituyen inversiones que el individuo realiza incurriendo en costos presentes (matrícula, materiales, costo de oportunidad del tiempo no trabajado) a cambio de un flujo de mayores ingresos futuros. Como toda inversión, el individuo racional la realiza hasta el punto en que la tasa interna de retorno iguala la tasa de descuento o el costo de oportunidad del capital. Esta lógica de inversión convierte a la educación en una variable que incrementa directamente la productividad marginal del trabajador y, en un mercado laboral competitivo, su remuneración.</w:t>
      </w:r>
    </w:p>
    <w:p>
      <w:pPr>
        <w:jc w:val="both"/>
      </w:pPr>
      <w:r>
        <w:rPr>
          <w:b/>
        </w:rPr>
        <w:t>Supuestos</w:t>
      </w:r>
    </w:p>
    <w:p>
      <w:pPr>
        <w:pStyle w:val="ListBullet"/>
        <w:jc w:val="both"/>
      </w:pPr>
      <w:r>
        <w:t>El mercado laboral es razonablemente competitivo, de modo que los salarios reflejan la productividad marginal del trabajador.</w:t>
      </w:r>
    </w:p>
    <w:p>
      <w:pPr>
        <w:pStyle w:val="ListBullet"/>
        <w:jc w:val="both"/>
      </w:pPr>
      <w:r>
        <w:t>Los individuos son agentes racionales capaces de evaluar los costos y beneficios futuros de la inversión educativa.</w:t>
      </w:r>
    </w:p>
    <w:p>
      <w:pPr>
        <w:pStyle w:val="ListBullet"/>
        <w:jc w:val="both"/>
      </w:pPr>
      <w:r>
        <w:t>El capital humano es homogéneo en su efecto sobre la productividad, independientemente del contexto productivo donde se aplique (supuesto que la propia evidencia empírica posterior, como Montenegro y Patrinos, 2014, ha matizado al documentar heterogeneidad de retornos según el entorno económico).</w:t>
      </w:r>
    </w:p>
    <w:p>
      <w:pPr>
        <w:pStyle w:val="ListBullet"/>
        <w:jc w:val="both"/>
      </w:pPr>
      <w:r>
        <w:t>No existen restricciones de acceso al crédito que impidan financiar la inversión educativa, aunque extensiones posteriores de la teoría relajan este supuesto.</w:t>
      </w:r>
    </w:p>
    <w:p>
      <w:pPr>
        <w:jc w:val="both"/>
      </w:pPr>
      <w:r>
        <w:rPr>
          <w:b/>
        </w:rPr>
        <w:t>Desarrollo matemático: la ecuación de Mincer</w:t>
      </w:r>
    </w:p>
    <w:p>
      <w:pPr>
        <w:jc w:val="both"/>
      </w:pPr>
      <w:r>
        <w:t>Mincer (1974) formalizó la teoría mediante la siguiente especificación semilogarítmica de ingresos:</w:t>
      </w:r>
    </w:p>
    <w:p>
      <w:pPr>
        <w:jc w:val="center"/>
      </w:pPr>
      <w:r>
        <w:rPr>
          <w:i/>
        </w:rPr>
        <w:t>ln(Wi) = α + β₁Educi + β₂Experi + β₃Experi² + εi</w:t>
      </w:r>
    </w:p>
    <w:p>
      <w:pPr>
        <w:jc w:val="both"/>
      </w:pPr>
      <w:r>
        <w:t>donde ln(Wᵢ) es el logaritmo natural del ingreso laboral del individuo i, Educᵢ son sus años de escolaridad formal, Experᵢ su experiencia laboral potencial —tradicionalmente aproximada como Edad – Educ – 6, siguiendo la edad mínima de inicio escolar—, Experᵢ² el término cuadrático que captura la concavidad del perfil edad-ingreso, y εᵢ el término de error idiosincrático. El coeficiente β₁ se interpreta directamente como la tasa de retorno privado, en términos porcentuales aproximados, de un año adicional de escolaridad: un incremento de una unidad en Educ se asocia a un cambio de (e^β₁ – 1)×100 por ciento en el ingreso.</w:t>
      </w:r>
    </w:p>
    <w:p>
      <w:pPr>
        <w:jc w:val="both"/>
      </w:pPr>
      <w:r>
        <w:rPr>
          <w:b/>
        </w:rPr>
        <w:t>Principales postulados</w:t>
      </w:r>
    </w:p>
    <w:p>
      <w:pPr>
        <w:pStyle w:val="ListBullet"/>
        <w:jc w:val="both"/>
      </w:pPr>
      <w:r>
        <w:t>La inversión en educación incrementa la productividad marginal del trabajador y, por tanto, su ingreso de mercado.</w:t>
      </w:r>
    </w:p>
    <w:p>
      <w:pPr>
        <w:pStyle w:val="ListBullet"/>
        <w:jc w:val="both"/>
      </w:pPr>
      <w:r>
        <w:t>El perfil de ingresos a lo largo del ciclo de vida es cóncavo: crece con la experiencia a tasa decreciente, alcanza un máximo y posteriormente declina, lo que se refleja en un coeficiente positivo para la experiencia y negativo para su término cuadrático.</w:t>
      </w:r>
    </w:p>
    <w:p>
      <w:pPr>
        <w:pStyle w:val="ListBullet"/>
        <w:jc w:val="both"/>
      </w:pPr>
      <w:r>
        <w:t>Las diferencias de ingreso entre individuos están explicadas, en proporción sustancial, por diferencias en su dotación de capital humano acumulado.</w:t>
      </w:r>
    </w:p>
    <w:p>
      <w:pPr>
        <w:jc w:val="both"/>
      </w:pPr>
      <w:r>
        <w:rPr>
          <w:b/>
        </w:rPr>
        <w:t>Evolución de la teoría</w:t>
      </w:r>
    </w:p>
    <w:p>
      <w:pPr>
        <w:jc w:val="both"/>
      </w:pPr>
      <w:r>
        <w:t>Desde su formulación original, la Teoría del Capital Humano ha sido extendida en al menos dos direcciones relevantes para la presente investigación. Por un lado, la literatura sobre retornos heterogéneos (Montenegro y Patrinos, 2014) ha documentado que la tasa de retorno educativo no es constante, sino que varía según el nivel de desarrollo regional, la estructura productiva local y el grado de escasez relativa de trabajadores calificados. Por otro lado, la Teoría de la Señalización (Spence, 1973) cuestionó el mecanismo causal propuesto por Becker y Mincer, planteando que la educación podría elevar los salarios no porque incremente la productividad real del trabajador, sino porque actúa como una señal creíble de una productividad preexistente que el empleador no puede observar directamente.</w:t>
      </w:r>
    </w:p>
    <w:p>
      <w:pPr>
        <w:jc w:val="both"/>
      </w:pPr>
      <w:r>
        <w:rPr>
          <w:b/>
        </w:rPr>
        <w:t>Críticas y limitaciones</w:t>
      </w:r>
    </w:p>
    <w:p>
      <w:pPr>
        <w:jc w:val="both"/>
      </w:pPr>
      <w:r>
        <w:t>La principal crítica a la Teoría del Capital Humano, proveniente de la Teoría de la Señalización (Spence, 1973) y de los modelos de filtro educativo (Stiglitz, 1975), cuestiona si el retorno educativo refleja realmente un incremento de productividad o únicamente la transmisión de información sobre una habilidad preexistente. Una segunda limitación, más directamente relevante para esta tesis, es que la especificación Minceriana original asume implícitamente que el retorno a la educación es geográficamente homogéneo dentro de un país, supuesto que la evidencia empírica reciente —incluyendo a Montenegro y Patrinos (2014)— refuta consistentemente. Esta limitación es precisamente la que justifica, en el diseño econométrico de la presente tesis, la inclusión de variables dummy macrorregionales junto a los regresores Mincerianos clásicos, permitiendo capturar el diferencial territorial que la especificación original no contempla.</w:t>
      </w:r>
    </w:p>
    <w:p>
      <w:pPr>
        <w:jc w:val="both"/>
      </w:pPr>
      <w:r>
        <w:rPr>
          <w:b/>
        </w:rPr>
        <w:t>Aplicación al caso peruano</w:t>
      </w:r>
    </w:p>
    <w:p>
      <w:pPr>
        <w:jc w:val="both"/>
      </w:pPr>
      <w:r>
        <w:t>Los retornos a la educación estimados con microdatos de la ENAHO se ubican consistentemente, según la evidencia disponible, en un rango de aproximadamente 5% a 10% por año de escolaridad, magnitud compatible con el promedio regional de 9.3% documentado por Montenegro y Patrinos (2014) para América Latina y el Caribe. Sin embargo, dado que el sistema educativo peruano presenta marcadas diferencias de calidad y cobertura entre Lima Metropolitana y el resto del territorio nacional, y que la estructura productiva varía sustancialmente entre macrorregiones —predominio de servicios y manufactura en Lima y la macrorregión Norte, frente a actividades agrícolas y extractivas de baja productividad en las macrorregiones Sur y Oriente—, existen razones teóricas y empíricas para anticipar que el retorno educativo efectivo no sea uniforme en el territorio peruano.</w:t>
      </w:r>
    </w:p>
    <w:p>
      <w:pPr>
        <w:jc w:val="both"/>
      </w:pPr>
      <w:r>
        <w:rPr>
          <w:b/>
        </w:rPr>
        <w:t>Relación específica con la investigación</w:t>
      </w:r>
    </w:p>
    <w:p>
      <w:pPr>
        <w:jc w:val="both"/>
      </w:pPr>
      <w:r>
        <w:t>La Teoría del Capital Humano constituye la especificación funcional base del modelo econométrico de la presente tesis. Las variables de educación (años de escolaridad) y experiencia laboral potencial (edad menos años de educación menos seis, y su término cuadrático), definidas en la matriz de consistencia, se incorporan exactamente según la formulación Minceriana clásica, como variables de control que deben mantenerse constantes para estimar correctamente la brecha salarial condicionada de cada macrorregión de residencia —el diferencial salarial ajustado por características observables— respecto de Lima Metropolitana y Callao.</w:t>
      </w:r>
    </w:p>
    <w:p>
      <w:pPr>
        <w:pStyle w:val="Heading4"/>
      </w:pPr>
      <w:r>
        <w:t>b) Nueva Geografía Económica y Economías de Aglomeración</w:t>
      </w:r>
    </w:p>
    <w:p>
      <w:pPr>
        <w:jc w:val="both"/>
      </w:pPr>
      <w:r>
        <w:rPr>
          <w:b/>
        </w:rPr>
        <w:t>Autor original y contexto histórico</w:t>
      </w:r>
    </w:p>
    <w:p>
      <w:pPr>
        <w:jc w:val="both"/>
      </w:pPr>
      <w:r>
        <w:t xml:space="preserve">La Nueva Geografía Económica (NEG) fue fundada por Paul Krugman (1991) en su artículo </w:t>
      </w:r>
      <w:r>
        <w:rPr>
          <w:i/>
        </w:rPr>
        <w:t>Increasing Returns and Economic Geography</w:t>
      </w:r>
      <w:r>
        <w:t xml:space="preserve">, publicado en el </w:t>
      </w:r>
      <w:r>
        <w:rPr>
          <w:i/>
        </w:rPr>
        <w:t>Journal of Political Economy</w:t>
      </w:r>
      <w:r>
        <w:t xml:space="preserve">, contribución central de la distinción que le valió el Premio Nobel de Economía en 2008. Krugman retomó intuiciones presentes desde Alfred Marshall (1890) sobre los distritos industriales, pero las formalizó matemáticamente mediante un modelo de equilibrio general con competencia monopolística y rendimientos crecientes a escala. El campo fue posteriormente sistematizado en el tratado de referencia de Masahisa Fujita, Krugman y Anthony Venables (1999), </w:t>
      </w:r>
      <w:r>
        <w:rPr>
          <w:i/>
        </w:rPr>
        <w:t>The Spatial Economy: Cities, Regions, and International Trade</w:t>
      </w:r>
      <w:r>
        <w:t xml:space="preserve">, y ampliado empíricamente por Combes, Mayer y Thisse (2008) en </w:t>
      </w:r>
      <w:r>
        <w:rPr>
          <w:i/>
        </w:rPr>
        <w:t>Economic Geography: The Integration of Regions and Nations</w:t>
      </w:r>
      <w:r>
        <w:t>.</w:t>
      </w:r>
    </w:p>
    <w:p>
      <w:pPr>
        <w:jc w:val="both"/>
      </w:pPr>
      <w:r>
        <w:rPr>
          <w:b/>
        </w:rPr>
        <w:t>Fundamentos</w:t>
      </w:r>
    </w:p>
    <w:p>
      <w:pPr>
        <w:jc w:val="both"/>
      </w:pPr>
      <w:r>
        <w:t>La NEG surge para resolver una limitación de la economía espacial neoclásica: bajo rendimientos constantes a escala y competencia perfecta, no existe ninguna razón teórica para que la actividad económica se concentre en el espacio; cualquier distribución territorial de la producción sería igualmente eficiente. La observación empírica contradice esta predicción, la actividad económica se concentra sistemáticamente en determinadas localizaciones, lo que llevó a Krugman a incorporar rendimientos crecientes a escala internos a la firma, competencia monopolística (siguiendo el marco de Dixit y Stiglitz, 1977) y costos de transporte positivos, ingredientes que en conjunto generan equilibrios espaciales asimétricos y estables.</w:t>
      </w:r>
    </w:p>
    <w:p>
      <w:pPr>
        <w:jc w:val="both"/>
      </w:pPr>
      <w:r>
        <w:rPr>
          <w:b/>
        </w:rPr>
        <w:t>Supuestos</w:t>
      </w:r>
    </w:p>
    <w:p>
      <w:pPr>
        <w:pStyle w:val="ListBullet"/>
        <w:jc w:val="both"/>
      </w:pPr>
      <w:r>
        <w:t>Las empresas operan bajo rendimientos crecientes a escala internos, lo que las induce a concentrar su producción en una única localización para minimizar costos fijos.</w:t>
      </w:r>
    </w:p>
    <w:p>
      <w:pPr>
        <w:pStyle w:val="ListBullet"/>
        <w:jc w:val="both"/>
      </w:pPr>
      <w:r>
        <w:t>Existen costos de transporte positivos entre regiones, que crean un incentivo a ubicarse cerca de los mercados de mayor tamaño (efecto de "market access").</w:t>
      </w:r>
    </w:p>
    <w:p>
      <w:pPr>
        <w:pStyle w:val="ListBullet"/>
        <w:jc w:val="both"/>
      </w:pPr>
      <w:r>
        <w:t>La demanda de bienes y de trabajo es endógena al tamaño de la población local: la migración de trabajadores hacia una región aumenta su mercado interno, lo que atrae más empresas, que a su vez generan más empleo y atraen más trabajadores (causalidad circular acumulativa, en el sentido originalmente propuesto por Myrdal, 1957).</w:t>
      </w:r>
    </w:p>
    <w:p>
      <w:pPr>
        <w:pStyle w:val="ListBullet"/>
        <w:jc w:val="both"/>
      </w:pPr>
      <w:r>
        <w:t>Los trabajadores son móviles entre regiones, aunque con fricciones que impiden el ajuste instantáneo hacia un único equilibrio de salarios igualados.</w:t>
      </w:r>
    </w:p>
    <w:p>
      <w:pPr>
        <w:jc w:val="both"/>
      </w:pPr>
      <w:r>
        <w:rPr>
          <w:b/>
        </w:rPr>
        <w:t>Desarrollo conceptual: el modelo centro-periferia</w:t>
      </w:r>
    </w:p>
    <w:p>
      <w:pPr>
        <w:jc w:val="both"/>
      </w:pPr>
      <w:r>
        <w:t>El núcleo analítico de la NEG es el modelo centro-periferia (</w:t>
      </w:r>
      <w:r>
        <w:rPr>
          <w:i/>
        </w:rPr>
        <w:t>Core-Periphery</w:t>
      </w:r>
      <w:r>
        <w:t>, CP), en el que interactúan fuerzas centrípetas y centrífugas. Las fuerzas centrípetas, economías de escala, encadenamientos productivos hacia adelante y hacia atrás (</w:t>
      </w:r>
      <w:r>
        <w:rPr>
          <w:i/>
        </w:rPr>
        <w:t>linkage effects</w:t>
      </w:r>
      <w:r>
        <w:t>), profundidad de los mercados laborales y derrames de conocimiento (</w:t>
      </w:r>
      <w:r>
        <w:rPr>
          <w:i/>
        </w:rPr>
        <w:t>knowledge spillovers</w:t>
      </w:r>
      <w:r>
        <w:t xml:space="preserve">), tienden a concentrar la actividad económica en un núcleo. Las fuerzas centrífugas —congestión, costos del suelo, inmovilidad de factores como la tierra— tienden a dispersarla. Cuando las fuerzas centrípetas dominan, especialmente en presencia de costos de transporte intermedios, el sistema converge hacia un equilibrio asimétrico estable de tipo centro-periferia, en el cual el centro paga salarios sistemáticamente más altos que la periferia, incluso para trabajadores de idéntica productividad individual, debido a las externalidades positivas de aglomeración (denominadas en la literatura como </w:t>
      </w:r>
      <w:r>
        <w:rPr>
          <w:i/>
        </w:rPr>
        <w:t>urban wage premium</w:t>
      </w:r>
      <w:r>
        <w:t xml:space="preserve"> o prima salarial urbana).</w:t>
      </w:r>
    </w:p>
    <w:p>
      <w:pPr>
        <w:jc w:val="both"/>
      </w:pPr>
      <w:r>
        <w:rPr>
          <w:b/>
        </w:rPr>
        <w:t>Principales postulados</w:t>
      </w:r>
    </w:p>
    <w:p>
      <w:pPr>
        <w:pStyle w:val="ListBullet"/>
        <w:jc w:val="both"/>
      </w:pPr>
      <w:r>
        <w:t>La localización es, en sí misma, un factor productivo: la concentración espacial de empresas y trabajadores genera externalidades positivas que elevan la productividad agregada del territorio.</w:t>
      </w:r>
    </w:p>
    <w:p>
      <w:pPr>
        <w:pStyle w:val="ListBullet"/>
        <w:jc w:val="both"/>
      </w:pPr>
      <w:r>
        <w:t>Las economías de aglomeración generan un diferencial salarial sistemático entre regiones núcleo y regiones periféricas, independiente de las características productivas individuales de los trabajadores.</w:t>
      </w:r>
    </w:p>
    <w:p>
      <w:pPr>
        <w:pStyle w:val="ListBullet"/>
        <w:jc w:val="both"/>
      </w:pPr>
      <w:r>
        <w:t>La estructura centro-periferia, una vez establecida, tiende a ser estable en el tiempo (</w:t>
      </w:r>
      <w:r>
        <w:rPr>
          <w:i/>
        </w:rPr>
        <w:t>path dependency</w:t>
      </w:r>
      <w:r>
        <w:t>): los territorios que históricamente acumularon masa crítica de actividad económica mantienen su ventaja relativa, lo que es consistente con la persistencia histórica documentada por Seminario et al. (2019) para el caso peruano.</w:t>
      </w:r>
    </w:p>
    <w:p>
      <w:pPr>
        <w:jc w:val="both"/>
      </w:pPr>
      <w:r>
        <w:rPr>
          <w:b/>
        </w:rPr>
        <w:t>Evolución de la teoría</w:t>
      </w:r>
    </w:p>
    <w:p>
      <w:pPr>
        <w:jc w:val="both"/>
      </w:pPr>
      <w:r>
        <w:t>Desde el modelo seminal de Krugman (1991), la NEG ha incorporado extensiones relevantes: modelos con múltiples regiones y jerarquías urbanas (Fujita et al., 1999), estimaciones empíricas robustas del tamaño del efecto de aglomeración mediante el uso de efectos fijos individuales para descontar el sesgo de selección de trabajadores más productivos hacia las ciudades grandes (Combes et al., 2008), y síntesis recientes que documentan, para economías desarrolladas, una tendencia hacia la divergencia espacial acentuada desde 1980, revirtiendo la convergencia observada entre 1940 y 1980 (Storper et al., 2024).</w:t>
      </w:r>
    </w:p>
    <w:p>
      <w:pPr>
        <w:jc w:val="both"/>
      </w:pPr>
      <w:r>
        <w:rPr>
          <w:b/>
        </w:rPr>
        <w:t>Críticas y limitaciones</w:t>
      </w:r>
    </w:p>
    <w:p>
      <w:pPr>
        <w:jc w:val="both"/>
      </w:pPr>
      <w:r>
        <w:t>La NEG ha sido criticada por la dificultad de identificar empíricamente el efecto causal puro de la aglomeración, distinguiéndolo del efecto de selección espacial de trabajadores de mayor habilidad no observable hacia las ciudades grandes. Combes et al. (2008) abordan parcialmente esta crítica mediante el uso de efectos fijos individuales, aunque reconocen que el sesgo de selección no puede descartarse por completo con datos de corte transversal repetido. Esta misma dificultad de identificación es la que obliga a la presente tesis a interpretar sus coeficientes macrorregionales como brechas salariales condicionadas y no como efectos causales del territorio. Una segunda limitación, relevante para el contexto peruano, es que los modelos canónicos de la NEG fueron desarrollados pensando en economías con baja informalidad laboral y mercados de trabajo relativamente integrados, condiciones que no se cumplen plenamente en el Perú, donde la informalidad alcanzó al 71.1% de la población ocupada en 2023 (Instituto Nacional de Estadística e Informática [INEI], 2024a). Por esta razón, la presente tesis complementa la NEG con la Teoría de los Mercados Laborales Duales para dar cuenta de esta especificidad.</w:t>
      </w:r>
    </w:p>
    <w:p>
      <w:pPr>
        <w:jc w:val="both"/>
      </w:pPr>
      <w:r>
        <w:rPr>
          <w:b/>
        </w:rPr>
        <w:t>Aplicación al caso peruano</w:t>
      </w:r>
    </w:p>
    <w:p>
      <w:pPr>
        <w:jc w:val="both"/>
      </w:pPr>
      <w:r>
        <w:t>El Perú constituye un caso de macrocefalia urbana pronunciada: Lima Metropolitana y Callao concentran una fracción cercana a la mitad del producto nacional (INEI, 2022), configurando un núcleo claramente identificable frente a un territorio periférico heterogéneo. Esa asimetría se refleja directamente en los ingresos del trabajo: en 2023, el ingreso promedio mensual proveniente del trabajo en Lima Metropolitana se situó en S/ 1 909.8 (INEI, 2024a), mientras que a nivel nacional dicho ingreso fue de S/ 1 607.8 en el año móvil julio 2022-junio 2023, con una brecha pronunciada entre el área urbana (S/ 1 757.8) y la rural (S/ 862.9) (INEI, 2023). La evidencia de Castillo (2020) y Seminario et al. (2019) —divergencia interregional creciente pese al crecimiento económico agregado entre 2000 y 2017— es consistente con el mecanismo de causalidad circular acumulativa propuesto por la NEG, antes que con un proceso de convergencia neoclásica. La macrorregión Oriente, caracterizada por su aislamiento geográfico, altos costos de transporte fluvial y baja densidad económica, ilustra de manera particularmente nítida el mecanismo centro-periferia: su desconexión física del núcleo limita los encadenamientos productivos y, consecuentemente, deprime los salarios de manera independiente de las características individuales de sus trabajadores.</w:t>
      </w:r>
    </w:p>
    <w:p>
      <w:pPr>
        <w:jc w:val="both"/>
      </w:pPr>
      <w:r>
        <w:rPr>
          <w:b/>
        </w:rPr>
        <w:t>Relación específica con la investigación</w:t>
      </w:r>
    </w:p>
    <w:p>
      <w:pPr>
        <w:jc w:val="both"/>
      </w:pPr>
      <w:r>
        <w:t>La NEG constituye el fundamento teórico directo de la variable independiente central del estudio: la macrorregión de residencia. Las cuatro variables dummy macrorregionales (D_Norte, D_Centro, D_Sur, D_Oriente) especificadas en la matriz de consistencia, con Lima Metropolitana y Callao como categoría de referencia, operacionalizan precisamente la estructura centro-periferia postulada por esta teoría. Se espera, en consecuencia, que los coeficientes asociados a estas variables sean negativos y estadísticamente significativos, reflejando —en términos de brechas salariales condicionadas— la prima salarial de aglomeración de la que goza el núcleo limeño-chalaco frente al resto del territorio nacional. Cabe precisar que esta desventaja esperada es relativa a la categoría de referencia, y no una característica negativa intrínseca de las macrorregiones Norte, Centro, Sur u Oriente.</w:t>
      </w:r>
    </w:p>
    <w:p>
      <w:pPr>
        <w:pStyle w:val="Heading4"/>
      </w:pPr>
      <w:r>
        <w:t>c) Teoría de los Mercados Laborales Duales</w:t>
      </w:r>
    </w:p>
    <w:p>
      <w:pPr>
        <w:jc w:val="both"/>
      </w:pPr>
      <w:r>
        <w:rPr>
          <w:b/>
        </w:rPr>
        <w:t>Autor original y contexto histórico</w:t>
      </w:r>
    </w:p>
    <w:p>
      <w:pPr>
        <w:jc w:val="both"/>
      </w:pPr>
      <w:r>
        <w:t xml:space="preserve">La Teoría de los Mercados Laborales Duales fue formulada por Michael J. Piore (1971) en </w:t>
      </w:r>
      <w:r>
        <w:rPr>
          <w:i/>
        </w:rPr>
        <w:t>The Dual Labor Market: Theory and Implications</w:t>
      </w:r>
      <w:r>
        <w:t xml:space="preserve">, a partir de observaciones empíricas sobre el mercado laboral urbano estadounidense que no podían explicarse mediante un modelo de mercado único y competitivo. Piore y Charles Sabel (1984) la desarrollaron extensamente en </w:t>
      </w:r>
      <w:r>
        <w:rPr>
          <w:i/>
        </w:rPr>
        <w:t>The Second Industrial Divide: Possibilities for Prosperity</w:t>
      </w:r>
      <w:r>
        <w:t>. En el ámbito específico de las economías en desarrollo, la teoría fue adaptada por Victor Tokman (1978) en publicaciones vinculadas a la Organización Internacional del Trabajo, relacionándola directamente al fenómeno de la informalidad laboral característico de América Latina.</w:t>
      </w:r>
    </w:p>
    <w:p>
      <w:pPr>
        <w:jc w:val="both"/>
      </w:pPr>
      <w:r>
        <w:rPr>
          <w:b/>
        </w:rPr>
        <w:t>Fundamentos</w:t>
      </w:r>
    </w:p>
    <w:p>
      <w:pPr>
        <w:jc w:val="both"/>
      </w:pPr>
      <w:r>
        <w:t>La teoría refuta el supuesto neoclásico de que el mercado laboral constituye un mecanismo único, homogéneo y competitivo, que tiende al equilibrio mediante el ajuste de precios (salarios). En su lugar, postula que el mercado de trabajo está estructuralmente segmentado en al menos dos sectores con dinámicas de determinación salarial distintas, segmentación que no se elimina en el largo plazo debido a barreras institucionales, tecnológicas y sociales que impiden la movilidad perfecta de trabajadores entre sectores.</w:t>
      </w:r>
    </w:p>
    <w:p>
      <w:pPr>
        <w:jc w:val="both"/>
      </w:pPr>
      <w:r>
        <w:rPr>
          <w:b/>
        </w:rPr>
        <w:t>Supuestos</w:t>
      </w:r>
    </w:p>
    <w:p>
      <w:pPr>
        <w:pStyle w:val="ListBullet"/>
        <w:jc w:val="both"/>
      </w:pPr>
      <w:r>
        <w:rPr>
          <w:b/>
        </w:rPr>
        <w:t>Sector primario:</w:t>
      </w:r>
      <w:r>
        <w:t xml:space="preserve"> empleos estables, salarios relativamente altos, contrato formal, acceso a beneficios laborales (seguridad social, pensiones, indemnizaciones), escalas de ascenso definidas y, frecuentemente, protección sindical o normativa.</w:t>
      </w:r>
    </w:p>
    <w:p>
      <w:pPr>
        <w:pStyle w:val="ListBullet"/>
        <w:jc w:val="both"/>
      </w:pPr>
      <w:r>
        <w:rPr>
          <w:b/>
        </w:rPr>
        <w:t>Sector secundario:</w:t>
      </w:r>
      <w:r>
        <w:t xml:space="preserve"> empleos inestables, salarios bajos, ausencia de contrato formal o de acceso a beneficios laborales, alta rotación y nulas perspectivas de ascenso interno; los trabajadores son tratados como un factor de producción homogéneo y sustituible.</w:t>
      </w:r>
    </w:p>
    <w:p>
      <w:pPr>
        <w:pStyle w:val="ListBullet"/>
        <w:jc w:val="both"/>
      </w:pPr>
      <w:r>
        <w:t>Las empresas del sector primario invierten en capital humano específico de la firma, lo que genera incentivos para retener trabajadores mediante salarios de eficiencia superiores al de equilibrio competitivo walrasiano.</w:t>
      </w:r>
    </w:p>
    <w:p>
      <w:pPr>
        <w:pStyle w:val="ListBullet"/>
        <w:jc w:val="both"/>
      </w:pPr>
      <w:r>
        <w:t>La movilidad de trabajadores del sector secundario hacia el primario está restringida por barreras de entrada —credenciales formales, redes de contactos, requisitos de experiencia previa formal— que no se explican por diferencias de productividad observable.</w:t>
      </w:r>
    </w:p>
    <w:p>
      <w:pPr>
        <w:jc w:val="both"/>
      </w:pPr>
      <w:r>
        <w:rPr>
          <w:b/>
        </w:rPr>
        <w:t>Principales postulados</w:t>
      </w:r>
    </w:p>
    <w:p>
      <w:pPr>
        <w:pStyle w:val="ListBullet"/>
        <w:jc w:val="both"/>
      </w:pPr>
      <w:r>
        <w:t>Los salarios del sector primario exceden el nivel de equilibrio competitivo neoclásico debido a la prima de eficiencia que las empresas pagan para reducir la rotación y proteger su inversión en capital humano específico.</w:t>
      </w:r>
    </w:p>
    <w:p>
      <w:pPr>
        <w:pStyle w:val="ListBullet"/>
        <w:jc w:val="both"/>
      </w:pPr>
      <w:r>
        <w:t>La informalidad laboral constituye la manifestación operativa más extendida del sector secundario en los mercados laborales latinoamericanos: la ausencia de contrato formal y de acceso a seguridad social es, simultáneamente, indicador de segmentación y causa directa de menores ingresos.</w:t>
      </w:r>
    </w:p>
    <w:p>
      <w:pPr>
        <w:pStyle w:val="ListBullet"/>
        <w:jc w:val="both"/>
      </w:pPr>
      <w:r>
        <w:t>La segmentación tiene una dimensión territorial: el sector primario tiende a concentrarse en los centros urbanos de mayor desarrollo económico —coincidentes, en el caso peruano, con el núcleo identificado por la Nueva Geografía Económica—, mientras el sector secundario predomina en la periferia.</w:t>
      </w:r>
    </w:p>
    <w:p>
      <w:pPr>
        <w:jc w:val="both"/>
      </w:pPr>
      <w:r>
        <w:rPr>
          <w:b/>
        </w:rPr>
        <w:t>Evolución de la teoría</w:t>
      </w:r>
    </w:p>
    <w:p>
      <w:pPr>
        <w:jc w:val="both"/>
      </w:pPr>
      <w:r>
        <w:t xml:space="preserve">La aplicación de la dualidad laboral a economías en desarrollo fue matizada por William Maloney (2004) en </w:t>
      </w:r>
      <w:r>
        <w:rPr>
          <w:i/>
        </w:rPr>
        <w:t>Informality Revisited</w:t>
      </w:r>
      <w:r>
        <w:t xml:space="preserve">, publicado en </w:t>
      </w:r>
      <w:r>
        <w:rPr>
          <w:i/>
        </w:rPr>
        <w:t>World Development</w:t>
      </w:r>
      <w:r>
        <w:t>. Maloney cuestionó el supuesto de que toda informalidad sea involuntaria o resultado exclusivo de exclusión del sector primario, documentando evidencia de que una fracción de los trabajadores informales en América Latina elige voluntariamente ese estatus por razones de flexibilidad o autonomía. No obstante, Maloney reconoce que, controlando por esta heterogeneidad, la penalidad salarial asociada a la informalidad permanece robusta y estadísticamente significativa, lo que preserva la relevancia del mecanismo dual para explicar diferenciales de ingreso.</w:t>
      </w:r>
    </w:p>
    <w:p>
      <w:pPr>
        <w:jc w:val="both"/>
      </w:pPr>
      <w:r>
        <w:rPr>
          <w:b/>
        </w:rPr>
        <w:t>Críticas y limitaciones</w:t>
      </w:r>
    </w:p>
    <w:p>
      <w:pPr>
        <w:jc w:val="both"/>
      </w:pPr>
      <w:r>
        <w:t>La principal limitación de la teoría es la dificultad de distinguir empíricamente, con datos de corte transversal, entre informalidad voluntaria e involuntaria, lo que complica la interpretación causal del coeficiente de informalidad en un modelo de ingresos; por coherencia con el alcance de esta tesis, dicho coeficiente se interpretará como una penalidad salarial condicionada, asociada a la condición de informalidad. Una segunda limitación es que la teoría, en su formulación original, no incorpora explícitamente la dimensión geográfica de la segmentación, tratando a los sectores primario y secundario como categorías aespaciales. La presente investigación atiende esta limitación al incluir simultáneamente la informalidad y la macrorregión de residencia como regresores distintos del modelo, lo que permite estimar el diferencial asociado a cada dimensión por separado.</w:t>
      </w:r>
    </w:p>
    <w:p>
      <w:pPr>
        <w:jc w:val="both"/>
      </w:pPr>
      <w:r>
        <w:rPr>
          <w:b/>
        </w:rPr>
        <w:t>Aplicación al caso peruano</w:t>
      </w:r>
    </w:p>
    <w:p>
      <w:pPr>
        <w:jc w:val="both"/>
      </w:pPr>
      <w:r>
        <w:t>El Perú exhibe una de las tasas de informalidad laboral más elevadas de América Latina: en 2023 la informalidad alcanzó al 71.1% de la población ocupada, con enorme heterogeneidad territorial, pues afecta al 94.1% de los ocupados rurales frente al 65.6% de los urbanos (INEI, 2024a). Esta distribución geográfica marcadamente desigual —sustancialmente menor en Lima Metropolitana y Callao que en las macrorregiones Sur y Oriente, donde predominan la agricultura de subsistencia, el comercio ambulatorio y la minería artesanal, actividades características del sector secundario— coexiste con una incidencia de pobreza monetaria que en 2023 llegó al 29.0% de la población nacional y al 39.8% en el área rural (INEI, 2024b). Esta correspondencia entre informalidad y macrorregión periférica, documentada empíricamente por Medina-Quispe et al. (2026) y por Condori et al. (2022) para el caso específico de Puno, convierte a la Teoría de los Mercados Laborales Duales en un complemento indispensable de la Nueva Geografía Económica para explicar la desigualdad salarial macrorregional peruana.</w:t>
      </w:r>
    </w:p>
    <w:p>
      <w:pPr>
        <w:jc w:val="both"/>
      </w:pPr>
      <w:r>
        <w:rPr>
          <w:b/>
        </w:rPr>
        <w:t>Relación específica con la investigación</w:t>
      </w:r>
    </w:p>
    <w:p>
      <w:pPr>
        <w:jc w:val="both"/>
      </w:pPr>
      <w:r>
        <w:t>De acuerdo con la matriz de consistencia, la informalidad laboral (D_informal) se incorpora al modelo como variable de control, no como variable independiente central. Esta decisión metodológica está directamente fundamentada en la presente teoría: dado que la informalidad está territorialmente concentrada, omitirla del modelo generaría un sesgo de variable omitida que sobreestimaría el coeficiente macrorregional, confundiendo la brecha asociada a la geografía con la asociada a la segmentación laboral. Al incluir ambas variables simultáneamente, el modelo permite distinguir la contribución de cada mecanismo al diferencial salarial ajustado por características observables. En cuanto a su medición, y en coherencia con lo anticipado en el Capítulo I, la condición de informalidad se aproximará siguiendo los criterios del INEI —que combinan sector institucional, tamaño de empresa, registro tributario, tipo de ocupación y acceso a beneficios—, reconociendo que la sola afiliación a seguro de salud o pensiones (P511A) mide protección social antes que informalidad en sentido estricto; la definición operacional correspondiente se detalla en la sección 2.3.</w:t>
      </w:r>
    </w:p>
    <w:p>
      <w:pPr>
        <w:pStyle w:val="Heading4"/>
      </w:pPr>
      <w:r>
        <w:t>d) Teoría de la Convergencia Regional (teoría complementaria)</w:t>
      </w:r>
    </w:p>
    <w:p>
      <w:pPr>
        <w:jc w:val="both"/>
      </w:pPr>
      <w:r>
        <w:rPr>
          <w:b/>
        </w:rPr>
        <w:t>Autor original y contexto histórico</w:t>
      </w:r>
    </w:p>
    <w:p>
      <w:pPr>
        <w:jc w:val="both"/>
      </w:pPr>
      <w:r>
        <w:t xml:space="preserve">La Teoría de la Convergencia Regional se deriva del modelo neoclásico de crecimiento de Robert Solow (1956), formulado en </w:t>
      </w:r>
      <w:r>
        <w:rPr>
          <w:i/>
        </w:rPr>
        <w:t>A Contribution to the Theory of Economic Growth</w:t>
      </w:r>
      <w:r>
        <w:t xml:space="preserve"> (</w:t>
      </w:r>
      <w:r>
        <w:rPr>
          <w:i/>
        </w:rPr>
        <w:t>Quarterly Journal of Economics</w:t>
      </w:r>
      <w:r>
        <w:t xml:space="preserve">). Su aplicación específica al análisis de convergencia entre regiones o países fue formalizada por Robert Barro y Xavier Sala-i-Martin (1992) en </w:t>
      </w:r>
      <w:r>
        <w:rPr>
          <w:i/>
        </w:rPr>
        <w:t>Convergence</w:t>
      </w:r>
      <w:r>
        <w:t xml:space="preserve">, publicado en el </w:t>
      </w:r>
      <w:r>
        <w:rPr>
          <w:i/>
        </w:rPr>
        <w:t>Journal of Political Economy</w:t>
      </w:r>
      <w:r>
        <w:t xml:space="preserve">, y sistematizada en su libro </w:t>
      </w:r>
      <w:r>
        <w:rPr>
          <w:i/>
        </w:rPr>
        <w:t>Economic Growth</w:t>
      </w:r>
      <w:r>
        <w:t xml:space="preserve"> (1995).</w:t>
      </w:r>
    </w:p>
    <w:p>
      <w:pPr>
        <w:jc w:val="both"/>
      </w:pPr>
      <w:r>
        <w:rPr>
          <w:b/>
        </w:rPr>
        <w:t>Fundamentos y supuestos</w:t>
      </w:r>
    </w:p>
    <w:p>
      <w:pPr>
        <w:jc w:val="both"/>
      </w:pPr>
      <w:r>
        <w:t>Bajo el supuesto de rendimientos decrecientes al capital, el modelo de Solow predice que las economías o regiones con menor dotación inicial de capital por trabajador crecerán más rápidamente que las de mayor dotación, convergiendo hacia un estado estacionario común si comparten la misma tecnología, tasa de ahorro y crecimiento poblacional (β-convergencia absoluta), o hacia estados estacionarios distintos si estos parámetros difieren estructuralmente entre regiones (β-convergencia condicional). La σ-convergencia, complementariamente, mide si la dispersión transversal de ingresos entre regiones se reduce a lo largo del tiempo.</w:t>
      </w:r>
    </w:p>
    <w:p>
      <w:pPr>
        <w:jc w:val="both"/>
      </w:pPr>
      <w:r>
        <w:rPr>
          <w:b/>
        </w:rPr>
        <w:t>Relación con la investigación y rol complementario</w:t>
      </w:r>
    </w:p>
    <w:p>
      <w:pPr>
        <w:jc w:val="both"/>
      </w:pPr>
      <w:r>
        <w:t>Esta teoría no fundamenta directamente la existencia de brechas macrorregionales —rol que corresponde a la Nueva Geografía Económica—, sino que provee el marco conceptual para interpretar su evolución temporal. La matriz de consistencia de la presente tesis incluye explícitamente un problema, objetivo e hipótesis específicos orientados a evaluar si las brechas macrorregionales muestran persistencia o convergencia entre 2021 y 2023, contrastando los coeficientes de las variables dummy macrorregionales a lo largo de los tres años del panel mediante términos de interacción macrorregión × año y pruebas de Wald de igualdad de coeficientes. La evidencia histórica de Seminario et al. (2019) y Castillo (2020), que documenta divergencia interregional en el Perú entre 2000 y 2017, constituye el antecedente empírico que motiva la hipótesis de persistencia —antes que convergencia— planteada en la matriz, resultado más consistente con la Nueva Geografía Económica que con la predicción neoclásica de convergencia automática.</w:t>
      </w:r>
    </w:p>
    <w:p>
      <w:pPr>
        <w:jc w:val="both"/>
      </w:pPr>
      <w:r>
        <w:rPr>
          <w:b/>
        </w:rPr>
        <w:t>Limitaciones de su aplicación al caso peruano</w:t>
      </w:r>
    </w:p>
    <w:p>
      <w:pPr>
        <w:jc w:val="both"/>
      </w:pPr>
      <w:r>
        <w:t>La evidencia empírica disponible para el Perú —divergencia interregional sostenida pese al crecimiento económico agregado— es inconsistente con la predicción central del modelo de Solow, lo que confirma el carácter complementario, antes que central, de esta teoría en el marco de la presente investigación: su utilidad radica en proveer el contraste teórico frente al cual interpretar la persistencia de las brechas macrorregionales documentada por la Nueva Geografía Económica, no en predecir convergencia.</w:t>
      </w:r>
    </w:p>
    <w:p>
      <w:pPr>
        <w:pStyle w:val="Heading4"/>
      </w:pPr>
      <w:r>
        <w:t>e) Síntesis: Integración de las Bases Teóricas en el Modelo Econométrico</w:t>
      </w:r>
    </w:p>
    <w:p>
      <w:pPr>
        <w:jc w:val="both"/>
      </w:pPr>
      <w:r>
        <w:t>Las tres teorías principales desarrolladas —Capital Humano, Nueva Geografía Económica y Mercados Laborales Duales— no operan de manera aislada, sino que se integran directamente en la especificación funcional del modelo econométrico de la presente tesis, definido en la matriz de consistencia como una ecuación de Mincer ampliada con variables dummy macrorregionales y temporales:</w:t>
      </w:r>
    </w:p>
    <w:p>
      <w:pPr>
        <w:jc w:val="center"/>
      </w:pPr>
      <w:r>
        <w:rPr>
          <w:i/>
        </w:rPr>
        <w:t>ln(Yit) = β₀ + β₁Educit + β₂Experit + β₃Experit² + β₄D_mujerit + β₅D_informalit + γ₁D_Nortei + γ₂D_Centroi + γ₃D_Suri + γ₄D_Orientei + δ₁D_2022t + δ₂D_2023t + εit</w:t>
      </w:r>
    </w:p>
    <w:p>
      <w:pPr>
        <w:jc w:val="both"/>
      </w:pPr>
      <w:r>
        <w:t>En esta especificación, la variable dependiente ln(Yᵢₜ) es el logaritmo natural del ingreso laboral mensual real del individuo i en el año t, deflactado por el índice de precios al consumidor —decisión que se justifica por la inflación acumulada cercana al 19% entre diciembre de 2020 y diciembre de 2023 (Banco Central de Reserva del Perú [BCRP], 2024)—. Los coeficientes β₁, β₂ y β₃ corresponden a la Teoría del Capital Humano y capturan los retornos a la educación y la experiencia; el coeficiente β₅ corresponde a la Teoría de los Mercados Laborales Duales y captura la penalidad salarial condicionada asociada a la informalidad; y los coeficientes γₖ corresponden a la Nueva Geografía Económica, capturando la brecha salarial condicionada de cada macrorregión respecto a Lima Metropolitana y Callao —el diferencial salarial ajustado por las características observables del trabajador incluidas en el modelo—. Las variables dummy temporales D_2022 y D_2023, con el año 2021 como categoría base, capturan los cambios agregados del ingreso real comunes a todo el territorio en cada año del panel —en particular, la recuperación económica posterior a la pandemia y el episodio inflacionario del período—, y su inclusión responde de manera explícita al método de análisis contemplado en la matriz de consistencia.</w:t>
      </w:r>
    </w:p>
    <w:p>
      <w:pPr>
        <w:jc w:val="both"/>
      </w:pPr>
      <w:r>
        <w:t>Conforme a la recomendación del asesor, la estrategia de estimación se ordena en tres modelos complementarios. El primero es el modelo de MCO Agrupado (</w:t>
      </w:r>
      <w:r>
        <w:rPr>
          <w:i/>
        </w:rPr>
        <w:t>Pooled OLS</w:t>
      </w:r>
      <w:r>
        <w:t>) recién especificado, con variables dummy macrorregionales, dummies temporales y los controles Mincerianos básicos, estimado con errores estándar robustos agrupados (</w:t>
      </w:r>
      <w:r>
        <w:rPr>
          <w:i/>
        </w:rPr>
        <w:t>clustered</w:t>
      </w:r>
      <w:r>
        <w:t>) a nivel de individuo para corregir la autocorrelación serial propia de la estructura de panel. El segundo es la especificación de Efectos Aleatorios, cuya pertinencia frente a la alternativa de Efectos Fijos se evaluará mediante la prueba de Hausman; cabe subrayar que, dado que la macrorregión de residencia es prácticamente invariante en el tiempo para la mayoría de los individuos del panel 2021-2023, un modelo de Efectos Fijos individuales absorbería la variable de interés e impediría estimar los coeficientes macrorregionales, razón por la cual el diseño privilegia el MCO Agrupado y los Efectos Aleatorios, reconociendo explícitamente las limitaciones de identificación de ambos estimadores. El tercero incorpora términos de interacción macrorregión × año (D_macrorregión × D_2022, D_macrorregión × D_2023), que permiten que la brecha de cada macrorregión varíe entre años; sobre estos coeficientes se aplicará el test de Wald de igualdad, contrastando así la hipótesis de persistencia o convergencia de las brechas que sustenta la Hipótesis Específica 3 y que la Teoría de la Convergencia Regional provee como marco de interpretación.</w:t>
      </w:r>
    </w:p>
    <w:p>
      <w:pPr>
        <w:pStyle w:val="Heading2"/>
      </w:pPr>
      <w:r>
        <w:t>2.2. Formulación de Hipótesis</w:t>
      </w:r>
    </w:p>
    <w:p>
      <w:pPr>
        <w:jc w:val="both"/>
      </w:pPr>
      <w:r>
        <w:t>Las hipótesis que se presentan a continuación constituyen respuestas tentativas y aseverativas a los problemas de investigación formulados en el Capítulo I, manteniendo estricta correspondencia con la matriz de consistencia del estudio. Cada hipótesis se expresa en términos de variables observables y operacionalizables, susceptibles de contrastación mediante el modelo econométrico de Mincer ampliado especificado en la sección anterior. Conforme al alcance precisado en el Capítulo I, el término "efecto" se entiende en todas ellas en el sentido de brecha salarial condicionada: un diferencial de ingresos ajustado por características observables respecto de la categoría de referencia, y no un efecto causal en sentido estricto.</w:t>
      </w:r>
    </w:p>
    <w:p>
      <w:pPr>
        <w:jc w:val="both"/>
      </w:pPr>
      <w:r>
        <w:rPr>
          <w:b/>
        </w:rPr>
        <w:t>Hipótesis General</w:t>
      </w:r>
    </w:p>
    <w:p>
      <w:pPr>
        <w:jc w:val="both"/>
      </w:pPr>
      <w:r>
        <w:rPr>
          <w:b/>
        </w:rPr>
        <w:t>HG:</w:t>
      </w:r>
      <w:r>
        <w:t xml:space="preserve"> Las macrorregiones de residencia se asocian a una brecha salarial condicionada, negativa y estadísticamente significativa, respecto de Lima Metropolitana y Callao durante el período 2021-2023, de modo que los trabajadores residentes en las macrorregiones Norte, Centro, Sur y Oriente perciben ingresos laborales mensuales inferiores a los de Lima Metropolitana y Callao (categoría de referencia), incluso controlando por educación, experiencia, sexo e informalidad laboral.</w:t>
      </w:r>
    </w:p>
    <w:p>
      <w:pPr>
        <w:jc w:val="both"/>
      </w:pPr>
      <w:r>
        <w:t>Debe precisarse, conforme a la observación del asesor y en los mismos términos del Capítulo I, que la desventaja salarial postulada es relativa a Lima Metropolitana y Callao como categoría base, y no una característica negativa intrínseca de las macrorregiones Norte, Centro, Sur u Oriente: lo que se espera son menores ingresos laborales relativos frente al principal mercado laboral del país, no que la condición macrorregional sea negativa en sí misma.</w:t>
      </w:r>
    </w:p>
    <w:p>
      <w:pPr>
        <w:jc w:val="both"/>
      </w:pPr>
      <w:r>
        <w:rPr>
          <w:b/>
        </w:rPr>
        <w:t>Hipótesis Específicas</w:t>
      </w:r>
    </w:p>
    <w:p>
      <w:pPr>
        <w:jc w:val="both"/>
      </w:pPr>
      <w:r>
        <w:rPr>
          <w:b/>
        </w:rPr>
        <w:t>HE1:</w:t>
      </w:r>
      <w:r>
        <w:t xml:space="preserve"> Los trabajadores residentes en las macrorregiones Norte, Centro, Sur y Oriente perciben ingresos laborales mensuales inferiores a los de Lima Metropolitana y Callao (categoría de referencia), siendo esta brecha relativa más pronunciada en las macrorregiones Sur y Oriente, donde la estructura productiva agrícola e informal es más predominante.</w:t>
      </w:r>
    </w:p>
    <w:p>
      <w:pPr>
        <w:jc w:val="both"/>
      </w:pPr>
      <w:r>
        <w:rPr>
          <w:b/>
        </w:rPr>
        <w:t>HE2:</w:t>
      </w:r>
      <w:r>
        <w:t xml:space="preserve"> Los retornos a la educación son positivos y estadísticamente significativos en todas las macrorregiones del Perú durante 2021-2023; la informalidad laboral se asocia a una penalidad salarial negativa y significativa sobre los ingresos; y los trabajadores de sexo masculino presentan ingresos superiores a los de sexo femenino, controlando por las demás variables del modelo.</w:t>
      </w:r>
    </w:p>
    <w:p>
      <w:pPr>
        <w:jc w:val="both"/>
      </w:pPr>
      <w:r>
        <w:rPr>
          <w:b/>
        </w:rPr>
        <w:t>HE3:</w:t>
      </w:r>
      <w:r>
        <w:t xml:space="preserve"> Las brechas salariales entre macrorregiones son persistentes durante el período 2021-2023 y no muestran una tendencia significativa hacia la convergencia, reflejando la naturaleza estructural de las disparidades territoriales de ingreso en el Perú.</w:t>
      </w:r>
    </w:p>
    <w:p>
      <w:pPr>
        <w:jc w:val="both"/>
      </w:pPr>
      <w:r>
        <w:t>Las tres hipótesis específicas corresponden, respectivamente, a los tres problemas y objetivos específicos de la investigación: la magnitud de la brecha macrorregional (HE1, vinculada a la Nueva Geografía Económica), la contribución de las variables de capital humano y características laborales (HE2, vinculada a la Teoría del Capital Humano y a la Teoría de los Mercados Laborales Duales), y la dinámica temporal de persistencia o convergencia de dichas brechas (HE3, vinculada a la Teoría de la Convergencia Regional como marco de contraste y contrastada mediante los términos de interacción macrorregión × año del tercer modelo).</w:t>
      </w:r>
    </w:p>
    <w:p>
      <w:pPr>
        <w:pStyle w:val="Heading2"/>
      </w:pPr>
      <w:r>
        <w:t>2.3. Variables del Estudio</w:t>
      </w:r>
    </w:p>
    <w:p>
      <w:pPr>
        <w:jc w:val="both"/>
      </w:pPr>
      <w:r>
        <w:t>La definición de las variables del estudio sigue rigurosamente la matriz de consistencia de la investigación, garantizando que cada variable incorporada al modelo econométrico cuente con una definición conceptual, una definición operacional, una unidad de medida y un código de origen en la ENAHO claramente especificados.</w:t>
      </w:r>
    </w:p>
    <w:p>
      <w:pPr>
        <w:pStyle w:val="Heading3"/>
      </w:pPr>
      <w:r>
        <w:t>a) Variable Independiente: Macrorregión de Residencia</w:t>
      </w:r>
    </w:p>
    <w:p>
      <w:pPr>
        <w:jc w:val="both"/>
      </w:pPr>
      <w:r>
        <w:rPr>
          <w:b/>
        </w:rPr>
        <w:t>Definición conceptual:</w:t>
      </w:r>
      <w:r>
        <w:t xml:space="preserve"> Zona geográfica de residencia del trabajador, construida agrupando los 24 departamentos del Perú en cinco grandes ámbitos territoriales —Lima Metropolitana y Callao (categoría de referencia), Norte, Centro, Sur y Oriente—, siguiendo criterios de contigüidad territorial, similitud de estructura productiva y dinámica del mercado laboral.</w:t>
      </w:r>
    </w:p>
    <w:p>
      <w:pPr>
        <w:jc w:val="both"/>
      </w:pPr>
      <w:r>
        <w:rPr>
          <w:b/>
        </w:rPr>
        <w:t>Definición operacional:</w:t>
      </w:r>
      <w:r>
        <w:t xml:space="preserve"> Variable categórica politómica codificada mediante cuatro variables dummy (D_Norte, D_Centro, D_Sur, D_Oriente), tomando Lima Metropolitana y Callao como categoría de referencia (D=0 en las cuatro dummies). Construida a partir de la variable DOMINIO/UBIGEO de la ENAHO 2021-2023.</w:t>
      </w:r>
    </w:p>
    <w:p>
      <w:pPr>
        <w:jc w:val="both"/>
      </w:pPr>
      <w:r>
        <w:rPr>
          <w:b/>
        </w:rPr>
        <w:t>Unidad de medida / escala:</w:t>
      </w:r>
      <w:r>
        <w:t xml:space="preserve"> Nominal, categórica politómica representada mediante variables dummy binarias (0/1).</w:t>
      </w:r>
    </w:p>
    <w:p>
      <w:pPr>
        <w:jc w:val="both"/>
      </w:pPr>
      <w:r>
        <w:rPr>
          <w:b/>
        </w:rPr>
        <w:t>Justificación de inclusión:</w:t>
      </w:r>
      <w:r>
        <w:t xml:space="preserve"> Constituye la variable independiente central del estudio. Su inclusión está fundamentada en la Nueva Geografía Económica, que predice diferenciales salariales sistemáticos entre el núcleo (Lima Metropolitana y Callao) y la periferia (las cuatro macrorregiones restantes), atribuibles a economías de aglomeración independientes de las características individuales del trabajador. Los coeficientes de estas dummies se interpretan como brechas salariales condicionadas respecto de la categoría de referencia, no como efectos causales del territorio ni como atributos negativos intrínsecos de las macrorregiones.</w:t>
      </w:r>
    </w:p>
    <w:p>
      <w:pPr>
        <w:pStyle w:val="Heading3"/>
      </w:pPr>
      <w:r>
        <w:t>b) Variable Dependiente: Ingresos Laborales Mensuales</w:t>
      </w:r>
    </w:p>
    <w:p>
      <w:pPr>
        <w:jc w:val="both"/>
      </w:pPr>
      <w:r>
        <w:rPr>
          <w:b/>
        </w:rPr>
        <w:t>Definición conceptual:</w:t>
      </w:r>
      <w:r>
        <w:t xml:space="preserve"> Retribución monetaria percibida por el individuo a cambio de su trabajo en el período de referencia, considerando la ocupación principal. Refleja la valoración que realiza el mercado laboral de las competencias, características y ubicación del trabajador (Mincer, 1974).</w:t>
      </w:r>
    </w:p>
    <w:p>
      <w:pPr>
        <w:jc w:val="both"/>
      </w:pPr>
      <w:r>
        <w:rPr>
          <w:b/>
        </w:rPr>
        <w:t>Definición operacional:</w:t>
      </w:r>
      <w:r>
        <w:t xml:space="preserve"> Logaritmo natural del ingreso laboral mensual de la ocupación principal, construido a partir de la variable I524A1 de la ENAHO. El análisis principal empleará los ingresos en términos reales, deflactados por el Índice de Precios al Consumidor (nacional o regional, según las series del BCRP), dado que entre diciembre de 2020 y diciembre de 2023 la inflación acumulada se aproximó al 19% —6.4% en 2021, 8.5% en 2022 y 3.2% en 2023 (BCRP, 2024)—, de modo que las comparaciones en soles corrientes confundirían recuperación nominal con mejora efectiva del poder adquisitivo; la serie en soles corrientes se reportará de manera complementaria con fines de contraste. Se aplica la transformación logarítmica para normalizar la distribución sesgada del ingreso y permitir la interpretación de los coeficientes del modelo como semi-elasticidades. El tratamiento de los ingresos iguales a cero, los valores extremos y los datos perdidos se precisará en el capítulo metodológico, conforme a lo adelantado en el Capítulo I.</w:t>
      </w:r>
    </w:p>
    <w:p>
      <w:pPr>
        <w:jc w:val="both"/>
      </w:pPr>
      <w:r>
        <w:rPr>
          <w:b/>
        </w:rPr>
        <w:t>Unidad de medida / escala:</w:t>
      </w:r>
      <w:r>
        <w:t xml:space="preserve"> Cuantitativa continua de razón (logaritmo natural de soles constantes deflactados por IPC; complementariamente, soles corrientes).</w:t>
      </w:r>
    </w:p>
    <w:p>
      <w:pPr>
        <w:jc w:val="both"/>
      </w:pPr>
      <w:r>
        <w:rPr>
          <w:b/>
        </w:rPr>
        <w:t>Justificación de inclusión:</w:t>
      </w:r>
      <w:r>
        <w:t xml:space="preserve"> Es la variable a explicar del modelo. Su transformación logarítmica es estándar en la literatura Minceriana y permite la comparación directa de los hallazgos de la presente tesis con la evidencia internacional revisada (Montenegro y Patrinos, 2014; OIT, 2023), mientras que la deflactación por IPC garantiza que la evolución temporal de los ingresos refleje cambios reales de poder adquisitivo y no el episodio inflacionario del período.</w:t>
      </w:r>
    </w:p>
    <w:p>
      <w:pPr>
        <w:pStyle w:val="Heading3"/>
      </w:pPr>
      <w:r>
        <w:t>c) Variables de Control</w:t>
      </w:r>
    </w:p>
    <w:p>
      <w:pPr>
        <w:jc w:val="both"/>
      </w:pPr>
      <w:r>
        <w:t>Conforme a la matriz de consistencia, el modelo incorpora cuatro variables de control derivadas de la especificación Minceriana ampliada y de la Teoría de los Mercados Laborales Duales, además de las variables dummy temporales exigidas por el método de análisis:</w:t>
      </w:r>
    </w:p>
    <w:p>
      <w:pPr>
        <w:jc w:val="both"/>
      </w:pPr>
      <w:r>
        <w:rPr>
          <w:b/>
        </w:rPr>
        <w:t>Educación</w:t>
      </w:r>
    </w:p>
    <w:p>
      <w:pPr>
        <w:jc w:val="both"/>
      </w:pPr>
      <w:r>
        <w:rPr>
          <w:b/>
        </w:rPr>
        <w:t>Definición conceptual:</w:t>
      </w:r>
      <w:r>
        <w:t xml:space="preserve"> Nivel de capital humano formal adquirido por el trabajador mediante el sistema educativo.</w:t>
      </w:r>
    </w:p>
    <w:p>
      <w:pPr>
        <w:jc w:val="both"/>
      </w:pPr>
      <w:r>
        <w:rPr>
          <w:b/>
        </w:rPr>
        <w:t>Definición operacional:</w:t>
      </w:r>
      <w:r>
        <w:t xml:space="preserve"> Años de escolaridad formal del trabajador, construida a partir de la variable P301A de la ENAHO.</w:t>
      </w:r>
    </w:p>
    <w:p>
      <w:pPr>
        <w:jc w:val="both"/>
      </w:pPr>
      <w:r>
        <w:rPr>
          <w:b/>
        </w:rPr>
        <w:t>Escala:</w:t>
      </w:r>
      <w:r>
        <w:t xml:space="preserve"> Cuantitativa discreta (años).</w:t>
      </w:r>
    </w:p>
    <w:p>
      <w:pPr>
        <w:jc w:val="both"/>
      </w:pPr>
      <w:r>
        <w:rPr>
          <w:b/>
        </w:rPr>
        <w:t>Justificación:</w:t>
      </w:r>
      <w:r>
        <w:t xml:space="preserve"> Variable central de la Teoría del Capital Humano; su coeficiente esperado es positivo y significativo.</w:t>
      </w:r>
    </w:p>
    <w:p>
      <w:pPr>
        <w:jc w:val="both"/>
      </w:pPr>
      <w:r>
        <w:rPr>
          <w:b/>
        </w:rPr>
        <w:t>Experiencia laboral</w:t>
      </w:r>
    </w:p>
    <w:p>
      <w:pPr>
        <w:jc w:val="both"/>
      </w:pPr>
      <w:r>
        <w:rPr>
          <w:b/>
        </w:rPr>
        <w:t>Definición conceptual:</w:t>
      </w:r>
      <w:r>
        <w:t xml:space="preserve"> Acumulación de habilidades y conocimientos prácticos adquiridos por el trabajador en el mercado laboral a lo largo de su vida productiva.</w:t>
      </w:r>
    </w:p>
    <w:p>
      <w:pPr>
        <w:jc w:val="both"/>
      </w:pPr>
      <w:r>
        <w:rPr>
          <w:b/>
        </w:rPr>
        <w:t>Definición operacional:</w:t>
      </w:r>
      <w:r>
        <w:t xml:space="preserve"> Experiencia potencial, calculada mediante la fórmula Mincer-Becker: Edad – años_educ – 6, a partir de la variable P208A de la ENAHO. Se incluye también su término cuadrático (Experiencia²) para capturar la concavidad del perfil edad-ingreso.</w:t>
      </w:r>
    </w:p>
    <w:p>
      <w:pPr>
        <w:jc w:val="both"/>
      </w:pPr>
      <w:r>
        <w:rPr>
          <w:b/>
        </w:rPr>
        <w:t>Escala:</w:t>
      </w:r>
      <w:r>
        <w:t xml:space="preserve"> Cuantitativa continua (años y años al cuadrado).</w:t>
      </w:r>
    </w:p>
    <w:p>
      <w:pPr>
        <w:jc w:val="both"/>
      </w:pPr>
      <w:r>
        <w:rPr>
          <w:b/>
        </w:rPr>
        <w:t>Justificación:</w:t>
      </w:r>
      <w:r>
        <w:t xml:space="preserve"> Variable central de la Teoría del Capital Humano; se espera un coeficiente positivo para la experiencia y negativo para su término cuadrático.</w:t>
      </w:r>
    </w:p>
    <w:p>
      <w:pPr>
        <w:jc w:val="both"/>
      </w:pPr>
      <w:r>
        <w:rPr>
          <w:b/>
        </w:rPr>
        <w:t>Sexo</w:t>
      </w:r>
    </w:p>
    <w:p>
      <w:pPr>
        <w:jc w:val="both"/>
      </w:pPr>
      <w:r>
        <w:rPr>
          <w:b/>
        </w:rPr>
        <w:t>Definición conceptual:</w:t>
      </w:r>
      <w:r>
        <w:t xml:space="preserve"> Condición biológica del trabajador, considerada en la literatura como un determinante potencial de discriminación o segmentación salarial.</w:t>
      </w:r>
    </w:p>
    <w:p>
      <w:pPr>
        <w:jc w:val="both"/>
      </w:pPr>
      <w:r>
        <w:rPr>
          <w:b/>
        </w:rPr>
        <w:t>Definición operacional:</w:t>
      </w:r>
      <w:r>
        <w:t xml:space="preserve"> Variable dummy D_mujer (1 = mujer, 0 = hombre), construida a partir de la variable P207 de la ENAHO.</w:t>
      </w:r>
    </w:p>
    <w:p>
      <w:pPr>
        <w:jc w:val="both"/>
      </w:pPr>
      <w:r>
        <w:rPr>
          <w:b/>
        </w:rPr>
        <w:t>Escala:</w:t>
      </w:r>
      <w:r>
        <w:t xml:space="preserve"> Nominal dicotómica.</w:t>
      </w:r>
    </w:p>
    <w:p>
      <w:pPr>
        <w:jc w:val="both"/>
      </w:pPr>
      <w:r>
        <w:rPr>
          <w:b/>
        </w:rPr>
        <w:t>Justificación:</w:t>
      </w:r>
      <w:r>
        <w:t xml:space="preserve"> Permite contrastar la existencia de una brecha salarial de género, documentada para el Perú con variación regional por U.S. BLS (2025); se espera un coeficiente negativo para D_mujer.</w:t>
      </w:r>
    </w:p>
    <w:p>
      <w:pPr>
        <w:jc w:val="both"/>
      </w:pPr>
      <w:r>
        <w:rPr>
          <w:b/>
        </w:rPr>
        <w:t>Informalidad laboral</w:t>
      </w:r>
    </w:p>
    <w:p>
      <w:pPr>
        <w:jc w:val="both"/>
      </w:pPr>
      <w:r>
        <w:rPr>
          <w:b/>
        </w:rPr>
        <w:t>Definición conceptual:</w:t>
      </w:r>
      <w:r>
        <w:t xml:space="preserve"> Condición del trabajador cuyo empleo se desarrolla al margen del marco legal e institucional del mercado de trabajo, caracterizada por la ausencia de registro de la unidad productiva y de acceso a los beneficios laborales que la legislación establece (Piore, 1971; Tokman, 1978).</w:t>
      </w:r>
    </w:p>
    <w:p>
      <w:pPr>
        <w:jc w:val="both"/>
      </w:pPr>
      <w:r>
        <w:rPr>
          <w:b/>
        </w:rPr>
        <w:t>Definición operacional:</w:t>
      </w:r>
      <w:r>
        <w:t xml:space="preserve"> Variable dummy D_informal (1 = informal, 0 = formal), construida siguiendo los criterios del INEI para la medición del empleo informal, que combinan el sector institucional de la unidad productiva, el tamaño de empresa, el registro tributario, el tipo de ocupación y el acceso a beneficios laborales, a partir de los módulos de empleo de la ENAHO. En coherencia con lo anticipado en el Capítulo I, se reconoce que la sola afiliación a seguro de salud o pensiones (P511A) mide protección social antes que informalidad en sentido estricto; por ello, dicha variable se empleará únicamente como insumo dentro del criterio compuesto y, si la disponibilidad de variables del módulo 500 de la ENAHO obligara a mantenerla como proxy de la condición de informalidad, ello se declarará explícitamente como limitación de medición, en los mismos términos en que lo hace el Capítulo I.</w:t>
      </w:r>
    </w:p>
    <w:p>
      <w:pPr>
        <w:jc w:val="both"/>
      </w:pPr>
      <w:r>
        <w:rPr>
          <w:b/>
        </w:rPr>
        <w:t>Escala:</w:t>
      </w:r>
      <w:r>
        <w:t xml:space="preserve"> Nominal dicotómica.</w:t>
      </w:r>
    </w:p>
    <w:p>
      <w:pPr>
        <w:jc w:val="both"/>
      </w:pPr>
      <w:r>
        <w:rPr>
          <w:b/>
        </w:rPr>
        <w:t>Justificación:</w:t>
      </w:r>
      <w:r>
        <w:t xml:space="preserve"> Variable central de la Teoría de los Mercados Laborales Duales; se incorpora como control —no como variable independiente principal— para evitar que su elevada y heterogénea prevalencia territorial sesgue la estimación de la brecha salarial condicionada macrorregional. Se espera un coeficiente negativo y significativo.</w:t>
      </w:r>
    </w:p>
    <w:p>
      <w:pPr>
        <w:jc w:val="both"/>
      </w:pPr>
      <w:r>
        <w:rPr>
          <w:b/>
        </w:rPr>
        <w:t>Variables dummy temporales</w:t>
      </w:r>
    </w:p>
    <w:p>
      <w:pPr>
        <w:jc w:val="both"/>
      </w:pPr>
      <w:r>
        <w:rPr>
          <w:b/>
        </w:rPr>
        <w:t>Definición conceptual:</w:t>
      </w:r>
      <w:r>
        <w:t xml:space="preserve"> Indicadores del año calendario de la observación, que capturan los cambios agregados del ingreso laboral real comunes a todo el territorio nacional en cada período del panel (recuperación pospandemia, episodio inflacionario).</w:t>
      </w:r>
    </w:p>
    <w:p>
      <w:pPr>
        <w:jc w:val="both"/>
      </w:pPr>
      <w:r>
        <w:rPr>
          <w:b/>
        </w:rPr>
        <w:t>Definición operacional:</w:t>
      </w:r>
      <w:r>
        <w:t xml:space="preserve"> Variables dummy D_2022 (1 = observación del año 2022, 0 = otro) y D_2023 (1 = observación del año 2023, 0 = otro), con el año 2021 como categoría base, construidas a partir del año de la encuesta en el panel ENAHO 2021-2023. En el tercer modelo se interactúan con las dummies macrorregionales (D_macrorregión × año) para evaluar la evolución temporal de las brechas.</w:t>
      </w:r>
    </w:p>
    <w:p>
      <w:pPr>
        <w:jc w:val="both"/>
      </w:pPr>
      <w:r>
        <w:rPr>
          <w:b/>
        </w:rPr>
        <w:t>Escala:</w:t>
      </w:r>
      <w:r>
        <w:t xml:space="preserve"> Nominal dicotómica.</w:t>
      </w:r>
    </w:p>
    <w:p>
      <w:pPr>
        <w:jc w:val="both"/>
      </w:pPr>
      <w:r>
        <w:rPr>
          <w:b/>
        </w:rPr>
        <w:t>Justificación:</w:t>
      </w:r>
      <w:r>
        <w:t xml:space="preserve"> Su inclusión responde al método de análisis definido en la matriz de consistencia ("MCO Agrupado con variables dummy macrorregionales y temporales") y es condición necesaria para contrastar la Hipótesis Específica 3 mediante interacciones macrorregión × año y el test de Wald.</w:t>
      </w:r>
    </w:p>
    <w:p>
      <w:pPr>
        <w:pStyle w:val="Heading3"/>
      </w:pPr>
      <w:r>
        <w:t>d) Matriz de Operacionalización de Variables</w:t>
      </w:r>
    </w:p>
    <w:p>
      <w:pPr>
        <w:jc w:val="both"/>
      </w:pPr>
      <w:r>
        <w:t>La siguiente tabla presenta la matriz de operacionalización de variables, en estricta correspondencia con la matriz de consistencia de la investigación, integrando la definición operacional, los indicadores y los códigos de la ENAHO correspondientes a cada variable del modelo econométrico:</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r/>
            <w:r>
              <w:rPr>
                <w:b/>
                <w:sz w:val="20"/>
              </w:rPr>
              <w:t>Variable</w:t>
            </w:r>
          </w:p>
        </w:tc>
        <w:tc>
          <w:tcPr>
            <w:tcW w:type="dxa" w:w="1520"/>
          </w:tcPr>
          <w:p>
            <w:r/>
            <w:r>
              <w:rPr>
                <w:b/>
                <w:sz w:val="20"/>
              </w:rPr>
              <w:t>Tipo</w:t>
            </w:r>
          </w:p>
        </w:tc>
        <w:tc>
          <w:tcPr>
            <w:tcW w:type="dxa" w:w="1520"/>
          </w:tcPr>
          <w:p>
            <w:r/>
            <w:r>
              <w:rPr>
                <w:b/>
                <w:sz w:val="20"/>
              </w:rPr>
              <w:t>Definición operacional</w:t>
            </w:r>
          </w:p>
        </w:tc>
        <w:tc>
          <w:tcPr>
            <w:tcW w:type="dxa" w:w="1520"/>
          </w:tcPr>
          <w:p>
            <w:r/>
            <w:r>
              <w:rPr>
                <w:b/>
                <w:sz w:val="20"/>
              </w:rPr>
              <w:t>Indicador</w:t>
            </w:r>
          </w:p>
        </w:tc>
        <w:tc>
          <w:tcPr>
            <w:tcW w:type="dxa" w:w="1520"/>
          </w:tcPr>
          <w:p>
            <w:r/>
            <w:r>
              <w:rPr>
                <w:b/>
                <w:sz w:val="20"/>
              </w:rPr>
              <w:t>Escala</w:t>
            </w:r>
          </w:p>
        </w:tc>
        <w:tc>
          <w:tcPr>
            <w:tcW w:type="dxa" w:w="1520"/>
          </w:tcPr>
          <w:p>
            <w:r/>
            <w:r>
              <w:rPr>
                <w:b/>
                <w:sz w:val="20"/>
              </w:rPr>
              <w:t>Código ENAHO</w:t>
            </w:r>
          </w:p>
        </w:tc>
      </w:tr>
      <w:tr>
        <w:tc>
          <w:tcPr>
            <w:tcW w:type="dxa" w:w="1520"/>
          </w:tcPr>
          <w:p>
            <w:r/>
            <w:r>
              <w:rPr>
                <w:b/>
                <w:sz w:val="20"/>
              </w:rPr>
              <w:t>VARIABLE DEPENDIENTE</w:t>
            </w:r>
          </w:p>
        </w:tc>
        <w:tc>
          <w:tcPr>
            <w:tcW w:type="dxa" w:w="1520"/>
          </w:tcPr>
          <w:p>
            <w:r/>
            <w:r>
              <w:rPr>
                <w:b/>
                <w:sz w:val="20"/>
              </w:rPr>
            </w:r>
          </w:p>
        </w:tc>
        <w:tc>
          <w:tcPr>
            <w:tcW w:type="dxa" w:w="1520"/>
          </w:tcPr>
          <w:p>
            <w:r/>
            <w:r>
              <w:rPr>
                <w:b/>
                <w:sz w:val="20"/>
              </w:rPr>
            </w:r>
          </w:p>
        </w:tc>
        <w:tc>
          <w:tcPr>
            <w:tcW w:type="dxa" w:w="1520"/>
          </w:tcPr>
          <w:p>
            <w:r/>
            <w:r>
              <w:rPr>
                <w:b/>
                <w:sz w:val="20"/>
              </w:rPr>
            </w:r>
          </w:p>
        </w:tc>
        <w:tc>
          <w:tcPr>
            <w:tcW w:type="dxa" w:w="1520"/>
          </w:tcPr>
          <w:p>
            <w:r/>
            <w:r>
              <w:rPr>
                <w:b/>
                <w:sz w:val="20"/>
              </w:rPr>
            </w:r>
          </w:p>
        </w:tc>
        <w:tc>
          <w:tcPr>
            <w:tcW w:type="dxa" w:w="1520"/>
          </w:tcPr>
          <w:p>
            <w:r/>
            <w:r>
              <w:rPr>
                <w:b/>
                <w:sz w:val="20"/>
              </w:rPr>
            </w:r>
          </w:p>
        </w:tc>
      </w:tr>
      <w:tr>
        <w:tc>
          <w:tcPr>
            <w:tcW w:type="dxa" w:w="1520"/>
          </w:tcPr>
          <w:p>
            <w:r/>
            <w:r>
              <w:rPr>
                <w:sz w:val="20"/>
              </w:rPr>
              <w:t>Ingresos laborales mensuales</w:t>
            </w:r>
          </w:p>
        </w:tc>
        <w:tc>
          <w:tcPr>
            <w:tcW w:type="dxa" w:w="1520"/>
          </w:tcPr>
          <w:p>
            <w:r/>
            <w:r>
              <w:rPr>
                <w:sz w:val="20"/>
              </w:rPr>
              <w:t>Dependiente</w:t>
            </w:r>
          </w:p>
        </w:tc>
        <w:tc>
          <w:tcPr>
            <w:tcW w:type="dxa" w:w="1520"/>
          </w:tcPr>
          <w:p>
            <w:r/>
            <w:r>
              <w:rPr>
                <w:sz w:val="20"/>
              </w:rPr>
              <w:t>Logaritmo natural del ingreso laboral mensual de la ocupación principal; análisis principal en términos reales (deflactado por IPC, BCRP), serie en soles corrientes como complemento</w:t>
            </w:r>
          </w:p>
        </w:tc>
        <w:tc>
          <w:tcPr>
            <w:tcW w:type="dxa" w:w="1520"/>
          </w:tcPr>
          <w:p>
            <w:r/>
            <w:r>
              <w:rPr>
                <w:sz w:val="20"/>
              </w:rPr>
              <w:t>ln_ingreso (real, deflactado por IPC); ingreso en soles corrientes</w:t>
            </w:r>
          </w:p>
        </w:tc>
        <w:tc>
          <w:tcPr>
            <w:tcW w:type="dxa" w:w="1520"/>
          </w:tcPr>
          <w:p>
            <w:r/>
            <w:r>
              <w:rPr>
                <w:sz w:val="20"/>
              </w:rPr>
              <w:t>Razón (continua)</w:t>
            </w:r>
          </w:p>
        </w:tc>
        <w:tc>
          <w:tcPr>
            <w:tcW w:type="dxa" w:w="1520"/>
          </w:tcPr>
          <w:p>
            <w:r/>
            <w:r>
              <w:rPr>
                <w:sz w:val="20"/>
              </w:rPr>
              <w:t>I524A1</w:t>
            </w:r>
          </w:p>
        </w:tc>
      </w:tr>
      <w:tr>
        <w:tc>
          <w:tcPr>
            <w:tcW w:type="dxa" w:w="1520"/>
          </w:tcPr>
          <w:p>
            <w:r/>
            <w:r>
              <w:rPr>
                <w:b/>
                <w:sz w:val="20"/>
              </w:rPr>
              <w:t>VARIABLE INDEPENDIENTE (GEOGRÁFICA)</w:t>
            </w:r>
          </w:p>
        </w:tc>
        <w:tc>
          <w:tcPr>
            <w:tcW w:type="dxa" w:w="1520"/>
          </w:tcPr>
          <w:p>
            <w:r/>
            <w:r>
              <w:rPr>
                <w:b/>
                <w:sz w:val="20"/>
              </w:rPr>
            </w:r>
          </w:p>
        </w:tc>
        <w:tc>
          <w:tcPr>
            <w:tcW w:type="dxa" w:w="1520"/>
          </w:tcPr>
          <w:p>
            <w:r/>
            <w:r>
              <w:rPr>
                <w:b/>
                <w:sz w:val="20"/>
              </w:rPr>
            </w:r>
          </w:p>
        </w:tc>
        <w:tc>
          <w:tcPr>
            <w:tcW w:type="dxa" w:w="1520"/>
          </w:tcPr>
          <w:p>
            <w:r/>
            <w:r>
              <w:rPr>
                <w:b/>
                <w:sz w:val="20"/>
              </w:rPr>
            </w:r>
          </w:p>
        </w:tc>
        <w:tc>
          <w:tcPr>
            <w:tcW w:type="dxa" w:w="1520"/>
          </w:tcPr>
          <w:p>
            <w:r/>
            <w:r>
              <w:rPr>
                <w:b/>
                <w:sz w:val="20"/>
              </w:rPr>
            </w:r>
          </w:p>
        </w:tc>
        <w:tc>
          <w:tcPr>
            <w:tcW w:type="dxa" w:w="1520"/>
          </w:tcPr>
          <w:p>
            <w:r/>
            <w:r>
              <w:rPr>
                <w:b/>
                <w:sz w:val="20"/>
              </w:rPr>
            </w:r>
          </w:p>
        </w:tc>
      </w:tr>
      <w:tr>
        <w:tc>
          <w:tcPr>
            <w:tcW w:type="dxa" w:w="1520"/>
          </w:tcPr>
          <w:p>
            <w:r/>
            <w:r>
              <w:rPr>
                <w:sz w:val="20"/>
              </w:rPr>
              <w:t>Macrorregión de residencia</w:t>
            </w:r>
          </w:p>
        </w:tc>
        <w:tc>
          <w:tcPr>
            <w:tcW w:type="dxa" w:w="1520"/>
          </w:tcPr>
          <w:p>
            <w:r/>
            <w:r>
              <w:rPr>
                <w:sz w:val="20"/>
              </w:rPr>
              <w:t>Independiente</w:t>
            </w:r>
          </w:p>
        </w:tc>
        <w:tc>
          <w:tcPr>
            <w:tcW w:type="dxa" w:w="1520"/>
          </w:tcPr>
          <w:p>
            <w:r/>
            <w:r>
              <w:rPr>
                <w:sz w:val="20"/>
              </w:rPr>
              <w:t>Variable categórica codificada en 4 dummies (Norte, Centro, Sur, Oriente); base: Lima Metropolitana y Callao</w:t>
            </w:r>
          </w:p>
        </w:tc>
        <w:tc>
          <w:tcPr>
            <w:tcW w:type="dxa" w:w="1520"/>
          </w:tcPr>
          <w:p>
            <w:r/>
            <w:r>
              <w:rPr>
                <w:sz w:val="20"/>
              </w:rPr>
              <w:t>D_Norte; D_Centro; D_Sur; D_Oriente (Lima y Callao = referencia)</w:t>
            </w:r>
          </w:p>
        </w:tc>
        <w:tc>
          <w:tcPr>
            <w:tcW w:type="dxa" w:w="1520"/>
          </w:tcPr>
          <w:p>
            <w:r/>
            <w:r>
              <w:rPr>
                <w:sz w:val="20"/>
              </w:rPr>
              <w:t>Nominal (dummy)</w:t>
            </w:r>
          </w:p>
        </w:tc>
        <w:tc>
          <w:tcPr>
            <w:tcW w:type="dxa" w:w="1520"/>
          </w:tcPr>
          <w:p>
            <w:r/>
            <w:r>
              <w:rPr>
                <w:sz w:val="20"/>
              </w:rPr>
              <w:t>DOMINIO / UBIGEO</w:t>
            </w:r>
          </w:p>
        </w:tc>
      </w:tr>
      <w:tr>
        <w:tc>
          <w:tcPr>
            <w:tcW w:type="dxa" w:w="1520"/>
          </w:tcPr>
          <w:p>
            <w:r/>
            <w:r>
              <w:rPr>
                <w:b/>
                <w:sz w:val="20"/>
              </w:rPr>
              <w:t>VARIABLES DE CONTROL</w:t>
            </w:r>
          </w:p>
        </w:tc>
        <w:tc>
          <w:tcPr>
            <w:tcW w:type="dxa" w:w="1520"/>
          </w:tcPr>
          <w:p>
            <w:r/>
            <w:r>
              <w:rPr>
                <w:b/>
                <w:sz w:val="20"/>
              </w:rPr>
            </w:r>
          </w:p>
        </w:tc>
        <w:tc>
          <w:tcPr>
            <w:tcW w:type="dxa" w:w="1520"/>
          </w:tcPr>
          <w:p>
            <w:r/>
            <w:r>
              <w:rPr>
                <w:b/>
                <w:sz w:val="20"/>
              </w:rPr>
            </w:r>
          </w:p>
        </w:tc>
        <w:tc>
          <w:tcPr>
            <w:tcW w:type="dxa" w:w="1520"/>
          </w:tcPr>
          <w:p>
            <w:r/>
            <w:r>
              <w:rPr>
                <w:b/>
                <w:sz w:val="20"/>
              </w:rPr>
            </w:r>
          </w:p>
        </w:tc>
        <w:tc>
          <w:tcPr>
            <w:tcW w:type="dxa" w:w="1520"/>
          </w:tcPr>
          <w:p>
            <w:r/>
            <w:r>
              <w:rPr>
                <w:b/>
                <w:sz w:val="20"/>
              </w:rPr>
            </w:r>
          </w:p>
        </w:tc>
        <w:tc>
          <w:tcPr>
            <w:tcW w:type="dxa" w:w="1520"/>
          </w:tcPr>
          <w:p>
            <w:r/>
            <w:r>
              <w:rPr>
                <w:b/>
                <w:sz w:val="20"/>
              </w:rPr>
            </w:r>
          </w:p>
        </w:tc>
      </w:tr>
      <w:tr>
        <w:tc>
          <w:tcPr>
            <w:tcW w:type="dxa" w:w="1520"/>
          </w:tcPr>
          <w:p>
            <w:r/>
            <w:r>
              <w:rPr>
                <w:sz w:val="20"/>
              </w:rPr>
              <w:t>Educación</w:t>
            </w:r>
          </w:p>
        </w:tc>
        <w:tc>
          <w:tcPr>
            <w:tcW w:type="dxa" w:w="1520"/>
          </w:tcPr>
          <w:p>
            <w:r/>
            <w:r>
              <w:rPr>
                <w:sz w:val="20"/>
              </w:rPr>
              <w:t>Control</w:t>
            </w:r>
          </w:p>
        </w:tc>
        <w:tc>
          <w:tcPr>
            <w:tcW w:type="dxa" w:w="1520"/>
          </w:tcPr>
          <w:p>
            <w:r/>
            <w:r>
              <w:rPr>
                <w:sz w:val="20"/>
              </w:rPr>
              <w:t>Años de escolaridad formal del trabajador</w:t>
            </w:r>
          </w:p>
        </w:tc>
        <w:tc>
          <w:tcPr>
            <w:tcW w:type="dxa" w:w="1520"/>
          </w:tcPr>
          <w:p>
            <w:r/>
            <w:r>
              <w:rPr>
                <w:sz w:val="20"/>
              </w:rPr>
              <w:t>años_educ</w:t>
            </w:r>
          </w:p>
        </w:tc>
        <w:tc>
          <w:tcPr>
            <w:tcW w:type="dxa" w:w="1520"/>
          </w:tcPr>
          <w:p>
            <w:r/>
            <w:r>
              <w:rPr>
                <w:sz w:val="20"/>
              </w:rPr>
              <w:t>Discreta (años)</w:t>
            </w:r>
          </w:p>
        </w:tc>
        <w:tc>
          <w:tcPr>
            <w:tcW w:type="dxa" w:w="1520"/>
          </w:tcPr>
          <w:p>
            <w:r/>
            <w:r>
              <w:rPr>
                <w:sz w:val="20"/>
              </w:rPr>
              <w:t>P301A</w:t>
            </w:r>
          </w:p>
        </w:tc>
      </w:tr>
      <w:tr>
        <w:tc>
          <w:tcPr>
            <w:tcW w:type="dxa" w:w="1520"/>
          </w:tcPr>
          <w:p>
            <w:r/>
            <w:r>
              <w:rPr>
                <w:sz w:val="20"/>
              </w:rPr>
              <w:t>Experiencia laboral</w:t>
            </w:r>
          </w:p>
        </w:tc>
        <w:tc>
          <w:tcPr>
            <w:tcW w:type="dxa" w:w="1520"/>
          </w:tcPr>
          <w:p>
            <w:r/>
            <w:r>
              <w:rPr>
                <w:sz w:val="20"/>
              </w:rPr>
              <w:t>Control</w:t>
            </w:r>
          </w:p>
        </w:tc>
        <w:tc>
          <w:tcPr>
            <w:tcW w:type="dxa" w:w="1520"/>
          </w:tcPr>
          <w:p>
            <w:r/>
            <w:r>
              <w:rPr>
                <w:sz w:val="20"/>
              </w:rPr>
              <w:t>Experiencia potencial: Edad – años_educ – 6; incluye término cuadrático</w:t>
            </w:r>
          </w:p>
        </w:tc>
        <w:tc>
          <w:tcPr>
            <w:tcW w:type="dxa" w:w="1520"/>
          </w:tcPr>
          <w:p>
            <w:r/>
            <w:r>
              <w:rPr>
                <w:sz w:val="20"/>
              </w:rPr>
              <w:t>exper; exper²</w:t>
            </w:r>
          </w:p>
        </w:tc>
        <w:tc>
          <w:tcPr>
            <w:tcW w:type="dxa" w:w="1520"/>
          </w:tcPr>
          <w:p>
            <w:r/>
            <w:r>
              <w:rPr>
                <w:sz w:val="20"/>
              </w:rPr>
              <w:t>Continua (años)</w:t>
            </w:r>
          </w:p>
        </w:tc>
        <w:tc>
          <w:tcPr>
            <w:tcW w:type="dxa" w:w="1520"/>
          </w:tcPr>
          <w:p>
            <w:r/>
            <w:r>
              <w:rPr>
                <w:sz w:val="20"/>
              </w:rPr>
              <w:t>P208A</w:t>
            </w:r>
          </w:p>
        </w:tc>
      </w:tr>
      <w:tr>
        <w:tc>
          <w:tcPr>
            <w:tcW w:type="dxa" w:w="1520"/>
          </w:tcPr>
          <w:p>
            <w:r/>
            <w:r>
              <w:rPr>
                <w:sz w:val="20"/>
              </w:rPr>
              <w:t>Sexo</w:t>
            </w:r>
          </w:p>
        </w:tc>
        <w:tc>
          <w:tcPr>
            <w:tcW w:type="dxa" w:w="1520"/>
          </w:tcPr>
          <w:p>
            <w:r/>
            <w:r>
              <w:rPr>
                <w:sz w:val="20"/>
              </w:rPr>
              <w:t>Control</w:t>
            </w:r>
          </w:p>
        </w:tc>
        <w:tc>
          <w:tcPr>
            <w:tcW w:type="dxa" w:w="1520"/>
          </w:tcPr>
          <w:p>
            <w:r/>
            <w:r>
              <w:rPr>
                <w:sz w:val="20"/>
              </w:rPr>
              <w:t>Variable dummy: 1 = mujer, 0 = hombre</w:t>
            </w:r>
          </w:p>
        </w:tc>
        <w:tc>
          <w:tcPr>
            <w:tcW w:type="dxa" w:w="1520"/>
          </w:tcPr>
          <w:p>
            <w:r/>
            <w:r>
              <w:rPr>
                <w:sz w:val="20"/>
              </w:rPr>
              <w:t>D_mujer</w:t>
            </w:r>
          </w:p>
        </w:tc>
        <w:tc>
          <w:tcPr>
            <w:tcW w:type="dxa" w:w="1520"/>
          </w:tcPr>
          <w:p>
            <w:r/>
            <w:r>
              <w:rPr>
                <w:sz w:val="20"/>
              </w:rPr>
              <w:t>Nominal (dummy)</w:t>
            </w:r>
          </w:p>
        </w:tc>
        <w:tc>
          <w:tcPr>
            <w:tcW w:type="dxa" w:w="1520"/>
          </w:tcPr>
          <w:p>
            <w:r/>
            <w:r>
              <w:rPr>
                <w:sz w:val="20"/>
              </w:rPr>
              <w:t>P207</w:t>
            </w:r>
          </w:p>
        </w:tc>
      </w:tr>
      <w:tr>
        <w:tc>
          <w:tcPr>
            <w:tcW w:type="dxa" w:w="1520"/>
          </w:tcPr>
          <w:p>
            <w:r/>
            <w:r>
              <w:rPr>
                <w:sz w:val="20"/>
              </w:rPr>
              <w:t>Informalidad laboral</w:t>
            </w:r>
          </w:p>
        </w:tc>
        <w:tc>
          <w:tcPr>
            <w:tcW w:type="dxa" w:w="1520"/>
          </w:tcPr>
          <w:p>
            <w:r/>
            <w:r>
              <w:rPr>
                <w:sz w:val="20"/>
              </w:rPr>
              <w:t>Control</w:t>
            </w:r>
          </w:p>
        </w:tc>
        <w:tc>
          <w:tcPr>
            <w:tcW w:type="dxa" w:w="1520"/>
          </w:tcPr>
          <w:p>
            <w:r/>
            <w:r>
              <w:rPr>
                <w:sz w:val="20"/>
              </w:rPr>
              <w:t>Dummy: 1 = informal, 0 = formal, según criterios INEI (sector institucional, tamaño de empresa, registro tributario, tipo de ocupación y acceso a beneficios); P511A solo como insumo o proxy declarado</w:t>
            </w:r>
          </w:p>
        </w:tc>
        <w:tc>
          <w:tcPr>
            <w:tcW w:type="dxa" w:w="1520"/>
          </w:tcPr>
          <w:p>
            <w:r/>
            <w:r>
              <w:rPr>
                <w:sz w:val="20"/>
              </w:rPr>
              <w:t>D_informal</w:t>
            </w:r>
          </w:p>
        </w:tc>
        <w:tc>
          <w:tcPr>
            <w:tcW w:type="dxa" w:w="1520"/>
          </w:tcPr>
          <w:p>
            <w:r/>
            <w:r>
              <w:rPr>
                <w:sz w:val="20"/>
              </w:rPr>
              <w:t>Nominal (dummy)</w:t>
            </w:r>
          </w:p>
        </w:tc>
        <w:tc>
          <w:tcPr>
            <w:tcW w:type="dxa" w:w="1520"/>
          </w:tcPr>
          <w:p>
            <w:r/>
            <w:r>
              <w:rPr>
                <w:sz w:val="20"/>
              </w:rPr>
              <w:t>Módulo 500 (criterios INEI; P511A como insumo)</w:t>
            </w:r>
          </w:p>
        </w:tc>
      </w:tr>
      <w:tr>
        <w:tc>
          <w:tcPr>
            <w:tcW w:type="dxa" w:w="1520"/>
          </w:tcPr>
          <w:p>
            <w:r/>
            <w:r>
              <w:rPr>
                <w:b/>
                <w:sz w:val="20"/>
              </w:rPr>
              <w:t>VARIABLES DUMMY TEMPORALES</w:t>
            </w:r>
          </w:p>
        </w:tc>
        <w:tc>
          <w:tcPr>
            <w:tcW w:type="dxa" w:w="1520"/>
          </w:tcPr>
          <w:p>
            <w:r/>
            <w:r>
              <w:rPr>
                <w:b/>
                <w:sz w:val="20"/>
              </w:rPr>
            </w:r>
          </w:p>
        </w:tc>
        <w:tc>
          <w:tcPr>
            <w:tcW w:type="dxa" w:w="1520"/>
          </w:tcPr>
          <w:p>
            <w:r/>
            <w:r>
              <w:rPr>
                <w:b/>
                <w:sz w:val="20"/>
              </w:rPr>
            </w:r>
          </w:p>
        </w:tc>
        <w:tc>
          <w:tcPr>
            <w:tcW w:type="dxa" w:w="1520"/>
          </w:tcPr>
          <w:p>
            <w:r/>
            <w:r>
              <w:rPr>
                <w:b/>
                <w:sz w:val="20"/>
              </w:rPr>
            </w:r>
          </w:p>
        </w:tc>
        <w:tc>
          <w:tcPr>
            <w:tcW w:type="dxa" w:w="1520"/>
          </w:tcPr>
          <w:p>
            <w:r/>
            <w:r>
              <w:rPr>
                <w:b/>
                <w:sz w:val="20"/>
              </w:rPr>
            </w:r>
          </w:p>
        </w:tc>
        <w:tc>
          <w:tcPr>
            <w:tcW w:type="dxa" w:w="1520"/>
          </w:tcPr>
          <w:p>
            <w:r/>
            <w:r>
              <w:rPr>
                <w:b/>
                <w:sz w:val="20"/>
              </w:rPr>
            </w:r>
          </w:p>
        </w:tc>
      </w:tr>
      <w:tr>
        <w:tc>
          <w:tcPr>
            <w:tcW w:type="dxa" w:w="1520"/>
          </w:tcPr>
          <w:p>
            <w:r/>
            <w:r>
              <w:rPr>
                <w:sz w:val="20"/>
              </w:rPr>
              <w:t>Año de observación</w:t>
            </w:r>
          </w:p>
        </w:tc>
        <w:tc>
          <w:tcPr>
            <w:tcW w:type="dxa" w:w="1520"/>
          </w:tcPr>
          <w:p>
            <w:r/>
            <w:r>
              <w:rPr>
                <w:sz w:val="20"/>
              </w:rPr>
              <w:t>Control temporal</w:t>
            </w:r>
          </w:p>
        </w:tc>
        <w:tc>
          <w:tcPr>
            <w:tcW w:type="dxa" w:w="1520"/>
          </w:tcPr>
          <w:p>
            <w:r/>
            <w:r>
              <w:rPr>
                <w:sz w:val="20"/>
              </w:rPr>
              <w:t>Dummies de año con 2021 como categoría base</w:t>
            </w:r>
          </w:p>
        </w:tc>
        <w:tc>
          <w:tcPr>
            <w:tcW w:type="dxa" w:w="1520"/>
          </w:tcPr>
          <w:p>
            <w:r/>
            <w:r>
              <w:rPr>
                <w:sz w:val="20"/>
              </w:rPr>
              <w:t>D_2022; D_2023</w:t>
            </w:r>
          </w:p>
        </w:tc>
        <w:tc>
          <w:tcPr>
            <w:tcW w:type="dxa" w:w="1520"/>
          </w:tcPr>
          <w:p>
            <w:r/>
            <w:r>
              <w:rPr>
                <w:sz w:val="20"/>
              </w:rPr>
              <w:t>Nominal (dummy)</w:t>
            </w:r>
          </w:p>
        </w:tc>
        <w:tc>
          <w:tcPr>
            <w:tcW w:type="dxa" w:w="1520"/>
          </w:tcPr>
          <w:p>
            <w:r/>
            <w:r>
              <w:rPr>
                <w:sz w:val="20"/>
              </w:rPr>
              <w:t>Año de la encuesta (panel 2021-2023)</w:t>
            </w:r>
          </w:p>
        </w:tc>
      </w:tr>
      <w:tr>
        <w:tc>
          <w:tcPr>
            <w:tcW w:type="dxa" w:w="1520"/>
          </w:tcPr>
          <w:p>
            <w:r/>
            <w:r>
              <w:rPr>
                <w:b/>
                <w:sz w:val="20"/>
              </w:rPr>
              <w:t>DIMENSIÓN TEMPORAL (HE3)</w:t>
            </w:r>
          </w:p>
        </w:tc>
        <w:tc>
          <w:tcPr>
            <w:tcW w:type="dxa" w:w="1520"/>
          </w:tcPr>
          <w:p>
            <w:r/>
            <w:r>
              <w:rPr>
                <w:b/>
                <w:sz w:val="20"/>
              </w:rPr>
            </w:r>
          </w:p>
        </w:tc>
        <w:tc>
          <w:tcPr>
            <w:tcW w:type="dxa" w:w="1520"/>
          </w:tcPr>
          <w:p>
            <w:r/>
            <w:r>
              <w:rPr>
                <w:b/>
                <w:sz w:val="20"/>
              </w:rPr>
            </w:r>
          </w:p>
        </w:tc>
        <w:tc>
          <w:tcPr>
            <w:tcW w:type="dxa" w:w="1520"/>
          </w:tcPr>
          <w:p>
            <w:r/>
            <w:r>
              <w:rPr>
                <w:b/>
                <w:sz w:val="20"/>
              </w:rPr>
            </w:r>
          </w:p>
        </w:tc>
        <w:tc>
          <w:tcPr>
            <w:tcW w:type="dxa" w:w="1520"/>
          </w:tcPr>
          <w:p>
            <w:r/>
            <w:r>
              <w:rPr>
                <w:b/>
                <w:sz w:val="20"/>
              </w:rPr>
            </w:r>
          </w:p>
        </w:tc>
        <w:tc>
          <w:tcPr>
            <w:tcW w:type="dxa" w:w="1520"/>
          </w:tcPr>
          <w:p>
            <w:r/>
            <w:r>
              <w:rPr>
                <w:b/>
                <w:sz w:val="20"/>
              </w:rPr>
            </w:r>
          </w:p>
        </w:tc>
      </w:tr>
      <w:tr>
        <w:tc>
          <w:tcPr>
            <w:tcW w:type="dxa" w:w="1520"/>
          </w:tcPr>
          <w:p>
            <w:r/>
            <w:r>
              <w:rPr>
                <w:sz w:val="20"/>
              </w:rPr>
              <w:t>Dinámica temporal de brechas</w:t>
            </w:r>
          </w:p>
        </w:tc>
        <w:tc>
          <w:tcPr>
            <w:tcW w:type="dxa" w:w="1520"/>
          </w:tcPr>
          <w:p>
            <w:r/>
            <w:r>
              <w:rPr>
                <w:sz w:val="20"/>
              </w:rPr>
              <w:t>Complementaria</w:t>
            </w:r>
          </w:p>
        </w:tc>
        <w:tc>
          <w:tcPr>
            <w:tcW w:type="dxa" w:w="1520"/>
          </w:tcPr>
          <w:p>
            <w:r/>
            <w:r>
              <w:rPr>
                <w:sz w:val="20"/>
              </w:rPr>
              <w:t>Variación de los coeficientes macrorregionales entre 2021, 2022 y 2023; interacción D_macrorregión × año</w:t>
            </w:r>
          </w:p>
        </w:tc>
        <w:tc>
          <w:tcPr>
            <w:tcW w:type="dxa" w:w="1520"/>
          </w:tcPr>
          <w:p>
            <w:r/>
            <w:r>
              <w:rPr>
                <w:sz w:val="20"/>
              </w:rPr>
              <w:t>β_macrorregión por año; Test de Wald de igualdad de coeficientes</w:t>
            </w:r>
          </w:p>
        </w:tc>
        <w:tc>
          <w:tcPr>
            <w:tcW w:type="dxa" w:w="1520"/>
          </w:tcPr>
          <w:p>
            <w:r/>
            <w:r>
              <w:rPr>
                <w:sz w:val="20"/>
              </w:rPr>
              <w:t>Continua (coeficientes)</w:t>
            </w:r>
          </w:p>
        </w:tc>
        <w:tc>
          <w:tcPr>
            <w:tcW w:type="dxa" w:w="1520"/>
          </w:tcPr>
          <w:p>
            <w:r/>
            <w:r>
              <w:rPr>
                <w:sz w:val="20"/>
              </w:rPr>
              <w:t>Panel balanceado 2021-2023</w:t>
            </w:r>
          </w:p>
        </w:tc>
      </w:tr>
    </w:tbl>
    <w:p/>
    <w:p>
      <w:pPr>
        <w:jc w:val="both"/>
      </w:pPr>
      <w:r>
        <w:rPr>
          <w:b/>
        </w:rPr>
        <w:t>Nota metodológica:</w:t>
      </w:r>
      <w:r>
        <w:t xml:space="preserve"> De acuerdo con la matriz de consistencia y la recomendación del asesor, la estrategia empírica se ordena en tres modelos: (1) Mínimos Cuadrados Ordinarios Agrupados (</w:t>
      </w:r>
      <w:r>
        <w:rPr>
          <w:i/>
        </w:rPr>
        <w:t>Pooled OLS</w:t>
      </w:r>
      <w:r>
        <w:t>) sobre el panel balanceado 2021-2023, con variables dummy macrorregionales, dummies temporales y controles Mincerianos, y errores estándar robustos agrupados (</w:t>
      </w:r>
      <w:r>
        <w:rPr>
          <w:i/>
        </w:rPr>
        <w:t>clustered</w:t>
      </w:r>
      <w:r>
        <w:t>) a nivel de individuo para corregir la autocorrelación serial propia de la estructura de panel; (2) Efectos Aleatorios, cuya elección frente a Efectos Fijos se apoyará en la prueba de Hausman —se privilegian el MCO Agrupado y los Efectos Aleatorios porque la macrorregión de residencia es prácticamente invariante en el tiempo para la mayoría de los individuos del panel, de modo que un estimador de Efectos Fijos individuales absorbería la variable de interés e impediría estimar las brechas territoriales—; y (3) el modelo con interacciones macrorregión × año, para evaluar la persistencia o convergencia de las brechas (HE3) mediante el test de Wald. Debe reconocerse, además, que la retención exclusiva de los individuos observados en los tres años puede excluir a trabajadores más móviles, informales, jóvenes o con trayectorias laborales inestables, generando un posible sesgo de selección que limita la representatividad de los resultados frente al total de la PEA ocupada; por ello, en el capítulo metodológico se discutirá el uso de los factores de expansión de la ENAHO o, cuando menos, el alcance con que los resultados pueden considerarse representativos de la población ocupada nacional o solo de la submuestra de panel balanceado. Finalmente, el análisis principal se realizará sobre ingresos reales deflactados por el IPC (BCRP, 2024), y el tratamiento de los ingresos iguales a cero, los valores extremos y los datos perdidos se precisará en el capítulo metodológico, conforme a lo adelantado en el Capítulo I.</w:t>
      </w:r>
    </w:p>
    <w:p>
      <w:pPr>
        <w:pStyle w:val="Heading2"/>
      </w:pPr>
      <w:r>
        <w:t>REFERENCIAS BIBLIOGRÁFICAS DEL CAPÍTULO II</w:t>
      </w:r>
    </w:p>
    <w:p>
      <w:pPr>
        <w:jc w:val="both"/>
      </w:pPr>
      <w:r>
        <w:t xml:space="preserve">Banco Central de Reserva del Perú. (2024). </w:t>
      </w:r>
      <w:r>
        <w:rPr>
          <w:i/>
        </w:rPr>
        <w:t>Memoria 2023</w:t>
      </w:r>
      <w:r>
        <w:t>. https://www.bcrp.gob.pe/publicaciones/memoria-anual.html</w:t>
      </w:r>
    </w:p>
    <w:p>
      <w:pPr>
        <w:jc w:val="both"/>
      </w:pPr>
      <w:r>
        <w:t xml:space="preserve">Barro, R. J., &amp; Sala-i-Martin, X. (1992). Convergence. </w:t>
      </w:r>
      <w:r>
        <w:rPr>
          <w:i/>
        </w:rPr>
        <w:t>Journal of Political Economy, 100</w:t>
      </w:r>
      <w:r>
        <w:t>(2), 223–251. https://doi.org/10.1086/261816</w:t>
      </w:r>
    </w:p>
    <w:p>
      <w:pPr>
        <w:jc w:val="both"/>
      </w:pPr>
      <w:r>
        <w:t xml:space="preserve">Barro, R. J., &amp; Sala-i-Martin, X. (1995). </w:t>
      </w:r>
      <w:r>
        <w:rPr>
          <w:i/>
        </w:rPr>
        <w:t>Economic growth</w:t>
      </w:r>
      <w:r>
        <w:t>. McGraw-Hill.</w:t>
      </w:r>
    </w:p>
    <w:p>
      <w:pPr>
        <w:jc w:val="both"/>
      </w:pPr>
      <w:r>
        <w:t xml:space="preserve">Becker, G. S. (1964). </w:t>
      </w:r>
      <w:r>
        <w:rPr>
          <w:i/>
        </w:rPr>
        <w:t>Human capital: A theoretical and empirical analysis, with special reference to education</w:t>
      </w:r>
      <w:r>
        <w:t>. Columbia University Press / National Bureau of Economic Research.</w:t>
      </w:r>
    </w:p>
    <w:p>
      <w:pPr>
        <w:jc w:val="both"/>
      </w:pPr>
      <w:r>
        <w:t xml:space="preserve">Castillo, L. E. (2020). </w:t>
      </w:r>
      <w:r>
        <w:rPr>
          <w:i/>
        </w:rPr>
        <w:t>Dinámica regional de la desigualdad de ingresos en Perú</w:t>
      </w:r>
      <w:r>
        <w:t xml:space="preserve"> (Documento de Trabajo N.° 004-2020). Banco Central de Reserva del Perú. https://www.bcrp.gob.pe/docs/Publicaciones/Documentos-de-Trabajo/2020/documento-de-trabajo-004-2020-esp.pdf</w:t>
      </w:r>
    </w:p>
    <w:p>
      <w:pPr>
        <w:jc w:val="both"/>
      </w:pPr>
      <w:r>
        <w:t xml:space="preserve">Chavez, C., Salinas, G., &amp; Zamora, Y. (2022). </w:t>
      </w:r>
      <w:r>
        <w:rPr>
          <w:i/>
        </w:rPr>
        <w:t>Closing Peru's ethnic gaps amidst sustained economic growth</w:t>
      </w:r>
      <w:r>
        <w:t xml:space="preserve"> (IMF Working Paper N.° 2022/180). Fondo Monetario Internacional. https://doi.org/10.5089/9798400220333.001</w:t>
      </w:r>
    </w:p>
    <w:p>
      <w:pPr>
        <w:jc w:val="both"/>
      </w:pPr>
      <w:r>
        <w:t xml:space="preserve">Combes, P.-P., Duranton, G., &amp; Gobillon, L. (2008). Spatial wage disparities: Sorting matters! </w:t>
      </w:r>
      <w:r>
        <w:rPr>
          <w:i/>
        </w:rPr>
        <w:t>Journal of Urban Economics, 63</w:t>
      </w:r>
      <w:r>
        <w:t>(2), 723–742. https://doi.org/10.1016/j.jue.2007.04.004</w:t>
      </w:r>
    </w:p>
    <w:p>
      <w:pPr>
        <w:jc w:val="both"/>
      </w:pPr>
      <w:r>
        <w:t xml:space="preserve">Combes, P.-P., Mayer, T., &amp; Thisse, J.-F. (2008). </w:t>
      </w:r>
      <w:r>
        <w:rPr>
          <w:i/>
        </w:rPr>
        <w:t>Economic geography: The integration of regions and nations</w:t>
      </w:r>
      <w:r>
        <w:t>. Princeton University Press.</w:t>
      </w:r>
    </w:p>
    <w:p>
      <w:pPr>
        <w:jc w:val="both"/>
      </w:pPr>
      <w:r>
        <w:t xml:space="preserve">Condori, M., Vilca, L., &amp; Yapuchura, C. (2022). Gap and inequality in the economic income of independent workers in the Region of Puno-Peru and the effect of the pandemic, 2019-2020. </w:t>
      </w:r>
      <w:r>
        <w:rPr>
          <w:i/>
        </w:rPr>
        <w:t>Frontiers in Public Health, 10</w:t>
      </w:r>
      <w:r>
        <w:t>, Article 823651. https://doi.org/10.3389/fpubh.2022.823651</w:t>
      </w:r>
    </w:p>
    <w:p>
      <w:pPr>
        <w:jc w:val="both"/>
      </w:pPr>
      <w:r>
        <w:t xml:space="preserve">Dixit, A. K., &amp; Stiglitz, J. E. (1977). Monopolistic competition and optimum product diversity. </w:t>
      </w:r>
      <w:r>
        <w:rPr>
          <w:i/>
        </w:rPr>
        <w:t>American Economic Review, 67</w:t>
      </w:r>
      <w:r>
        <w:t>(3), 297–308.</w:t>
      </w:r>
    </w:p>
    <w:p>
      <w:pPr>
        <w:jc w:val="both"/>
      </w:pPr>
      <w:r>
        <w:t xml:space="preserve">Fujita, M., Krugman, P., &amp; Venables, A. J. (1999). </w:t>
      </w:r>
      <w:r>
        <w:rPr>
          <w:i/>
        </w:rPr>
        <w:t>The spatial economy: Cities, regions, and international trade</w:t>
      </w:r>
      <w:r>
        <w:t>. MIT Press.</w:t>
      </w:r>
    </w:p>
    <w:p>
      <w:pPr>
        <w:jc w:val="both"/>
      </w:pPr>
      <w:r>
        <w:t xml:space="preserve">Instituto Nacional de Estadística e Informática. (2022). </w:t>
      </w:r>
      <w:r>
        <w:rPr>
          <w:i/>
        </w:rPr>
        <w:t>Producto bruto interno por departamentos 2021</w:t>
      </w:r>
      <w:r>
        <w:t>. https://www.inei.gob.pe/biblioteca-virtual/boletines/pbi-departamental/</w:t>
      </w:r>
    </w:p>
    <w:p>
      <w:pPr>
        <w:jc w:val="both"/>
      </w:pPr>
      <w:r>
        <w:t xml:space="preserve">Instituto Nacional de Estadística e Informática. (2023). </w:t>
      </w:r>
      <w:r>
        <w:rPr>
          <w:i/>
        </w:rPr>
        <w:t>Comportamiento de los indicadores del mercado laboral a nivel nacional</w:t>
      </w:r>
      <w:r>
        <w:t xml:space="preserve"> (Informe técnico de empleo, trimestre abril-mayo-junio 2023). https://www.inei.gob.pe/biblioteca-virtual/boletines/informe-de-empleo/</w:t>
      </w:r>
    </w:p>
    <w:p>
      <w:pPr>
        <w:jc w:val="both"/>
      </w:pPr>
      <w:r>
        <w:t xml:space="preserve">Instituto Nacional de Estadística e Informática. (2024a). </w:t>
      </w:r>
      <w:r>
        <w:rPr>
          <w:i/>
        </w:rPr>
        <w:t>Comportamiento de los indicadores del mercado laboral a nivel nacional y en 27 ciudades, año 2023</w:t>
      </w:r>
      <w:r>
        <w:t xml:space="preserve"> (Informe técnico de empleo). https://www.inei.gob.pe/biblioteca-virtual/boletines/informe-de-empleo/</w:t>
      </w:r>
    </w:p>
    <w:p>
      <w:pPr>
        <w:jc w:val="both"/>
      </w:pPr>
      <w:r>
        <w:t xml:space="preserve">Instituto Nacional de Estadística e Informática. (2024b). </w:t>
      </w:r>
      <w:r>
        <w:rPr>
          <w:i/>
        </w:rPr>
        <w:t>Perú: Evolución de la pobreza monetaria 2014-2023</w:t>
      </w:r>
      <w:r>
        <w:t xml:space="preserve"> (Informe técnico). https://www.inei.gob.pe/media/MenuRecursivo/publicaciones_digitales/Est/pobreza2023/</w:t>
      </w:r>
    </w:p>
    <w:p>
      <w:pPr>
        <w:jc w:val="both"/>
      </w:pPr>
      <w:r>
        <w:t xml:space="preserve">Krugman, P. (1991). Increasing returns and economic geography. </w:t>
      </w:r>
      <w:r>
        <w:rPr>
          <w:i/>
        </w:rPr>
        <w:t>Journal of Political Economy, 99</w:t>
      </w:r>
      <w:r>
        <w:t>(3), 483–499. https://doi.org/10.1086/261763</w:t>
      </w:r>
    </w:p>
    <w:p>
      <w:pPr>
        <w:jc w:val="both"/>
      </w:pPr>
      <w:r>
        <w:t xml:space="preserve">Maloney, W. F. (2004). Informality revisited. </w:t>
      </w:r>
      <w:r>
        <w:rPr>
          <w:i/>
        </w:rPr>
        <w:t>World Development, 32</w:t>
      </w:r>
      <w:r>
        <w:t>(7), 1159–1178. https://doi.org/10.1016/j.worlddev.2004.01.008</w:t>
      </w:r>
    </w:p>
    <w:p>
      <w:pPr>
        <w:jc w:val="both"/>
      </w:pPr>
      <w:r>
        <w:t xml:space="preserve">Marshall, A. (1890). </w:t>
      </w:r>
      <w:r>
        <w:rPr>
          <w:i/>
        </w:rPr>
        <w:t>Principles of economics</w:t>
      </w:r>
      <w:r>
        <w:t>. Macmillan.</w:t>
      </w:r>
    </w:p>
    <w:p>
      <w:pPr>
        <w:jc w:val="both"/>
      </w:pPr>
      <w:r>
        <w:t xml:space="preserve">Medina-Quispe, F., et al. (2026). Socioeconomic determinants of informal employment in Peru: An analysis for the period 2020-2022. </w:t>
      </w:r>
      <w:r>
        <w:rPr>
          <w:i/>
        </w:rPr>
        <w:t>Economía &amp; Negocios</w:t>
      </w:r>
      <w:r>
        <w:t>. https://doi.org/10.33326/27086062.2026.1.2039</w:t>
      </w:r>
    </w:p>
    <w:p>
      <w:pPr>
        <w:jc w:val="both"/>
      </w:pPr>
      <w:r>
        <w:t xml:space="preserve">Messina, J., &amp; Silva, J. (2021). </w:t>
      </w:r>
      <w:r>
        <w:rPr>
          <w:i/>
        </w:rPr>
        <w:t>Twenty years of wage inequality in Latin America</w:t>
      </w:r>
      <w:r>
        <w:t xml:space="preserve"> (Policy Brief N.° IDB-PB-343). Banco Interamericano de Desarrollo.</w:t>
      </w:r>
    </w:p>
    <w:p>
      <w:pPr>
        <w:jc w:val="both"/>
      </w:pPr>
      <w:r>
        <w:t xml:space="preserve">Mincer, J. (1974). </w:t>
      </w:r>
      <w:r>
        <w:rPr>
          <w:i/>
        </w:rPr>
        <w:t>Schooling, experience, and earnings</w:t>
      </w:r>
      <w:r>
        <w:t>. Columbia University Press / National Bureau of Economic Research.</w:t>
      </w:r>
    </w:p>
    <w:p>
      <w:pPr>
        <w:jc w:val="both"/>
      </w:pPr>
      <w:r>
        <w:t xml:space="preserve">Montenegro, C. E., &amp; Patrinos, H. A. (2014). </w:t>
      </w:r>
      <w:r>
        <w:rPr>
          <w:i/>
        </w:rPr>
        <w:t>Comparable estimates of returns to schooling around the world</w:t>
      </w:r>
      <w:r>
        <w:t xml:space="preserve"> (Policy Research Working Paper N.° 7020). Banco Mundial.</w:t>
      </w:r>
    </w:p>
    <w:p>
      <w:pPr>
        <w:jc w:val="both"/>
      </w:pPr>
      <w:r>
        <w:t xml:space="preserve">Myrdal, G. (1957). </w:t>
      </w:r>
      <w:r>
        <w:rPr>
          <w:i/>
        </w:rPr>
        <w:t>Economic theory and under-developed regions</w:t>
      </w:r>
      <w:r>
        <w:t>. Duckworth.</w:t>
      </w:r>
    </w:p>
    <w:p>
      <w:pPr>
        <w:jc w:val="both"/>
      </w:pPr>
      <w:r>
        <w:t xml:space="preserve">Organización Internacional del Trabajo. (2023). </w:t>
      </w:r>
      <w:r>
        <w:rPr>
          <w:i/>
        </w:rPr>
        <w:t>Employment and wage disparities between rural and urban areas</w:t>
      </w:r>
      <w:r>
        <w:t xml:space="preserve"> (Working Paper N.° 107). Oficina Internacional del Trabajo.</w:t>
      </w:r>
    </w:p>
    <w:p>
      <w:pPr>
        <w:jc w:val="both"/>
      </w:pPr>
      <w:r>
        <w:t xml:space="preserve">Piore, M. J. (1971). The dual labor market: Theory and implications. En D. M. Gordon (Ed.), </w:t>
      </w:r>
      <w:r>
        <w:rPr>
          <w:i/>
        </w:rPr>
        <w:t>Problems in political economy: An urban perspective</w:t>
      </w:r>
      <w:r>
        <w:t xml:space="preserve"> (pp. 90–94). Lexington Books.</w:t>
      </w:r>
    </w:p>
    <w:p>
      <w:pPr>
        <w:jc w:val="both"/>
      </w:pPr>
      <w:r>
        <w:t xml:space="preserve">Piore, M. J., &amp; Sabel, C. F. (1984). </w:t>
      </w:r>
      <w:r>
        <w:rPr>
          <w:i/>
        </w:rPr>
        <w:t>The second industrial divide: Possibilities for prosperity</w:t>
      </w:r>
      <w:r>
        <w:t>. Basic Books.</w:t>
      </w:r>
    </w:p>
    <w:p>
      <w:pPr>
        <w:jc w:val="both"/>
      </w:pPr>
      <w:r>
        <w:t xml:space="preserve">Schultz, T. W. (1961). Investment in human capital. </w:t>
      </w:r>
      <w:r>
        <w:rPr>
          <w:i/>
        </w:rPr>
        <w:t>American Economic Review, 51</w:t>
      </w:r>
      <w:r>
        <w:t>(1), 1–17.</w:t>
      </w:r>
    </w:p>
    <w:p>
      <w:pPr>
        <w:jc w:val="both"/>
      </w:pPr>
      <w:r>
        <w:t xml:space="preserve">Seminario, B., Zegarra, M. A., &amp; Palomino, L. (2019). </w:t>
      </w:r>
      <w:r>
        <w:rPr>
          <w:i/>
        </w:rPr>
        <w:t>Estimación del PBI departamental y análisis de la desigualdad regional en el Perú: 1795-2017</w:t>
      </w:r>
      <w:r>
        <w:t xml:space="preserve"> (Documento de Trabajo N.° 1016). Banco Interamericano de Desarrollo.</w:t>
      </w:r>
    </w:p>
    <w:p>
      <w:pPr>
        <w:jc w:val="both"/>
      </w:pPr>
      <w:r>
        <w:t xml:space="preserve">Solow, R. M. (1956). A contribution to the theory of economic growth. </w:t>
      </w:r>
      <w:r>
        <w:rPr>
          <w:i/>
        </w:rPr>
        <w:t>Quarterly Journal of Economics, 70</w:t>
      </w:r>
      <w:r>
        <w:t>(1), 65–94. https://doi.org/10.2307/1884513</w:t>
      </w:r>
    </w:p>
    <w:p>
      <w:pPr>
        <w:jc w:val="both"/>
      </w:pPr>
      <w:r>
        <w:t xml:space="preserve">Spence, A. M. (1973). Job market signaling. </w:t>
      </w:r>
      <w:r>
        <w:rPr>
          <w:i/>
        </w:rPr>
        <w:t>Quarterly Journal of Economics, 87</w:t>
      </w:r>
      <w:r>
        <w:t>(3), 355–374. https://doi.org/10.2307/1882010</w:t>
      </w:r>
    </w:p>
    <w:p>
      <w:pPr>
        <w:jc w:val="both"/>
      </w:pPr>
      <w:r>
        <w:t xml:space="preserve">Stiglitz, J. E. (1975). The theory of 'screening', education, and the distribution of income. </w:t>
      </w:r>
      <w:r>
        <w:rPr>
          <w:i/>
        </w:rPr>
        <w:t>American Economic Review, 65</w:t>
      </w:r>
      <w:r>
        <w:t>(3), 283–300.</w:t>
      </w:r>
    </w:p>
    <w:p>
      <w:pPr>
        <w:jc w:val="both"/>
      </w:pPr>
      <w:r>
        <w:t xml:space="preserve">Storper, M., et al. (2024). Nature, causes, and consequences of inter-regional inequality. </w:t>
      </w:r>
      <w:r>
        <w:rPr>
          <w:i/>
        </w:rPr>
        <w:t>Journal of Economic Geography, 24</w:t>
      </w:r>
      <w:r>
        <w:t>(3), 353–389. https://doi.org/10.1093/jeg/lbae022</w:t>
      </w:r>
    </w:p>
    <w:p>
      <w:pPr>
        <w:jc w:val="both"/>
      </w:pPr>
      <w:r>
        <w:t xml:space="preserve">Tokman, V. E. (1978). An exploration into the nature of informal—formal sector relationships. </w:t>
      </w:r>
      <w:r>
        <w:rPr>
          <w:i/>
        </w:rPr>
        <w:t>World Development, 6</w:t>
      </w:r>
      <w:r>
        <w:t>(9-10), 1065–1075. https://doi.org/10.1016/0305-750X(78)90062-1</w:t>
      </w:r>
    </w:p>
    <w:p>
      <w:pPr>
        <w:jc w:val="both"/>
      </w:pPr>
      <w:r>
        <w:t xml:space="preserve">U.S. Bureau of Labor Statistics. (2025). Analyzing wage gaps between male and female workers in Peru: A novel decomposition methodology and case study. </w:t>
      </w:r>
      <w:r>
        <w:rPr>
          <w:i/>
        </w:rPr>
        <w:t>Monthly Labor Review</w:t>
      </w:r>
      <w:r>
        <w:t>. https://www.bls.gov/opub/mlr/2025/article/analyzing-wage-gaps-between-male-and-female-workers-in-peru</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