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pPr>
      <w:r>
        <w:rPr>
          <w:rFonts w:ascii="Times New Roman" w:hAnsi="Times New Roman" w:cs="Times New Roman"/>
          <w:b/>
          <w:color w:val="1F4E79"/>
          <w:sz w:val="28"/>
        </w:rPr>
        <w:t>1.2.1. Justificación teórica</w:t>
      </w:r>
    </w:p>
    <w:p>
      <w:pPr>
        <w:spacing w:after="80"/>
        <w:ind w:firstLine="709"/>
        <w:jc w:val="both"/>
      </w:pPr>
      <w:r>
        <w:rPr>
          <w:rFonts w:ascii="Times New Roman" w:hAnsi="Times New Roman" w:cs="Times New Roman"/>
          <w:color w:val="000000"/>
        </w:rPr>
        <w:t>De acuerdo a la teoría dualista, planteada por Hart (1973) y Tokman (1978), señalan que el sector no formal involucra actividades marginales que difieren significativamente de las que se encuentran en el sector formal de la economía.</w:t>
      </w:r>
    </w:p>
    <w:p>
      <w:pPr>
        <w:spacing w:after="80"/>
        <w:ind w:firstLine="709"/>
        <w:jc w:val="both"/>
      </w:pPr>
      <w:r>
        <w:rPr>
          <w:rFonts w:ascii="Times New Roman" w:hAnsi="Times New Roman" w:cs="Times New Roman"/>
          <w:color w:val="000000"/>
        </w:rPr>
        <w:t>De acuerdo con Uribe et al. (2006), la informalidad laboral se percibe como el efecto que se obtiene debido a que existe un limitado desarrollo en el sector económico moderno, con lo que no es posible para este incorporar a todo el mercado laboral que se encuentra en ese momento.</w:t>
      </w:r>
    </w:p>
    <w:p>
      <w:pPr>
        <w:spacing w:after="80"/>
        <w:ind w:firstLine="709"/>
        <w:jc w:val="both"/>
      </w:pPr>
      <w:r>
        <w:rPr>
          <w:rFonts w:ascii="Times New Roman" w:hAnsi="Times New Roman" w:cs="Times New Roman"/>
          <w:color w:val="000000"/>
        </w:rPr>
        <w:t>La teoría de la segmentación del mercado laboral desarrollada principalmente por Michael Piore y Peter Doeringer en la década de 1970 explica que las personas no pueden desplazarse fácilmente entre el sector formal e informal debido a barreras como el nivel educativo, la experiencia, el acceso a capacitación y la falta de oportunidades. Por ello, quienes poseen menores ingresos y menor capital humano tienen una mayor probabilidad de permanecer en empleos informales, mientras que las personas con mayores niveles de educación, habilidades e ingresos suelen acceder con más facilidad al sector formal de la economía.</w:t>
      </w:r>
    </w:p>
    <w:p>
      <w:pPr>
        <w:spacing w:after="80"/>
        <w:ind w:firstLine="709"/>
        <w:jc w:val="both"/>
      </w:pPr>
      <w:r>
        <w:rPr>
          <w:rFonts w:ascii="Times New Roman" w:hAnsi="Times New Roman" w:cs="Times New Roman"/>
          <w:color w:val="000000"/>
        </w:rPr>
        <w:t>Para Becker (1964), el individuo incurre en gastos de educación al mismo tiempo que en un costo de oportunidad por permanecer en la población económicamente inactiva y no recibir renta actual; sin embargo, en el futuro su formación le otorgará la posibilidad de obtener unos salarios más elevados, pero la productividad de los empleados depende no sólo de su aptitud y de la inversión que se realiza en ellos, tanto dentro como fuera del puesto de trabajo, sino también de su motivación y de la intensidad de su esfuerzo.</w:t>
      </w:r>
    </w:p>
    <w:p>
      <w:pPr>
        <w:spacing w:after="80"/>
        <w:ind w:firstLine="709"/>
        <w:jc w:val="both"/>
      </w:pPr>
      <w:r>
        <w:rPr>
          <w:rFonts w:ascii="Times New Roman" w:hAnsi="Times New Roman" w:cs="Times New Roman"/>
          <w:color w:val="000000"/>
        </w:rPr>
        <w:t>Esta teoría muestra que el nivel de educación tiene un fuerte impacto con el nivel de ingreso futuro de los individuos.</w:t>
      </w:r>
    </w:p>
    <w:p>
      <w:pPr>
        <w:spacing w:after="80"/>
        <w:ind w:firstLine="709"/>
        <w:jc w:val="both"/>
      </w:pPr>
      <w:r>
        <w:rPr>
          <w:rFonts w:ascii="Times New Roman" w:hAnsi="Times New Roman" w:cs="Times New Roman"/>
          <w:color w:val="C00000"/>
        </w:rPr>
        <w:t>Asimismo, la investigación se sustenta en tres planteamientos teóricos adicionales que vinculan los factores socioeconómicos con la informalidad laboral.</w:t>
      </w:r>
    </w:p>
    <w:p>
      <w:pPr>
        <w:spacing w:after="80"/>
        <w:ind w:firstLine="709"/>
        <w:jc w:val="both"/>
      </w:pPr>
      <w:r>
        <w:rPr>
          <w:rFonts w:ascii="Times New Roman" w:hAnsi="Times New Roman" w:cs="Times New Roman"/>
          <w:color w:val="C00000"/>
        </w:rPr>
        <w:t xml:space="preserve">En primer lugar, la </w:t>
      </w:r>
      <w:r>
        <w:rPr>
          <w:rFonts w:ascii="Times New Roman" w:hAnsi="Times New Roman" w:cs="Times New Roman"/>
          <w:b/>
          <w:color w:val="C00000"/>
        </w:rPr>
        <w:t>teoría de la elección ocupacional y el enfoque costo-beneficio de la formalidad</w:t>
      </w:r>
      <w:r>
        <w:rPr>
          <w:rFonts w:ascii="Times New Roman" w:hAnsi="Times New Roman" w:cs="Times New Roman"/>
          <w:color w:val="C00000"/>
        </w:rPr>
        <w:t xml:space="preserve"> (Maloney, 2004) plantea que la decisión de insertarse en el sector formal o informal responde a una comparación racional entre los costos y los beneficios de formalizarse. Los trabajadores con mayores ingresos —y mayor capacidad de asumir los costos tributarios y administrativos de la formalidad— tienen una mayor probabilidad de acceder al empleo formal, mientras que quienes perciben ingresos bajos hallan en la informalidad una estrategia de subsistencia. Así, un mayor nivel de ingresos contribuye a disminuir la informalidad laboral.</w:t>
      </w:r>
    </w:p>
    <w:p>
      <w:pPr>
        <w:spacing w:after="80"/>
        <w:ind w:firstLine="709"/>
        <w:jc w:val="both"/>
      </w:pPr>
      <w:r>
        <w:rPr>
          <w:rFonts w:ascii="Times New Roman" w:hAnsi="Times New Roman" w:cs="Times New Roman"/>
          <w:color w:val="C00000"/>
        </w:rPr>
        <w:t xml:space="preserve">En segundo lugar, el </w:t>
      </w:r>
      <w:r>
        <w:rPr>
          <w:rFonts w:ascii="Times New Roman" w:hAnsi="Times New Roman" w:cs="Times New Roman"/>
          <w:b/>
          <w:color w:val="C00000"/>
        </w:rPr>
        <w:t>enfoque estructural del desarrollo económico</w:t>
      </w:r>
      <w:r>
        <w:rPr>
          <w:rFonts w:ascii="Times New Roman" w:hAnsi="Times New Roman" w:cs="Times New Roman"/>
          <w:color w:val="C00000"/>
        </w:rPr>
        <w:t xml:space="preserve"> (Lewis, 1954; La Porta y Shleifer, 2014) concibe la informalidad como una manifestación del bajo nivel de ingreso y del limitado desarrollo del sector moderno. Conforme aumentan los ingresos y se expande el sector formal de alta productividad, la fuerza de trabajo migra desde las actividades informales de subsistencia hacia el empleo formal. La evidencia internacional confirma esta relación inversa: la informalidad alcanza cerca del 88 % de los ocupados en los países de ingreso bajo, frente a solo el 13 % en los de ingreso alto (Organización Internacional del Trabajo [OIT], 2024). Por ello, a mayor nivel de ingresos, menor es la informalidad.</w:t>
      </w:r>
    </w:p>
    <w:p>
      <w:pPr>
        <w:spacing w:after="80"/>
        <w:ind w:firstLine="709"/>
        <w:jc w:val="both"/>
      </w:pPr>
      <w:r>
        <w:rPr>
          <w:rFonts w:ascii="Times New Roman" w:hAnsi="Times New Roman" w:cs="Times New Roman"/>
          <w:color w:val="C00000"/>
        </w:rPr>
        <w:t xml:space="preserve">En tercer lugar, el </w:t>
      </w:r>
      <w:r>
        <w:rPr>
          <w:rFonts w:ascii="Times New Roman" w:hAnsi="Times New Roman" w:cs="Times New Roman"/>
          <w:b/>
          <w:color w:val="C00000"/>
        </w:rPr>
        <w:t>enfoque del capital humano, la discriminación y la economía de la familia</w:t>
      </w:r>
      <w:r>
        <w:rPr>
          <w:rFonts w:ascii="Times New Roman" w:hAnsi="Times New Roman" w:cs="Times New Roman"/>
          <w:color w:val="C00000"/>
        </w:rPr>
        <w:t xml:space="preserve"> (Becker, 1957, 1981; Mincer, 1974) sustenta el efecto de los determinantes demográficos. La teoría de la discriminación (Becker, 1957) explica las mayores tasas de informalidad de las mujeres, asociadas a la segregación ocupacional; la economía de la familia (Becker, 1981) relaciona el estado civil y las responsabilidades del hogar con la elección de empleos más flexibles e informales; y la teoría del ciclo de vida laboral (Mincer, 1974) explica el patrón etario, pues los jóvenes —por su escasa experiencia— y los adultos mayores —por la depreciación de su capital humano— muestran mayor probabilidad de informalidad. La evidencia para América Latina identifica el género, la edad y el estado civil como determinantes significativos de la informalidad (Telles, 1992).</w:t>
      </w:r>
    </w:p>
    <w:p>
      <w:pPr>
        <w:spacing w:before="40" w:after="160"/>
      </w:pPr>
      <w:r>
        <w:rPr>
          <w:rFonts w:ascii="Times New Roman" w:hAnsi="Times New Roman" w:cs="Times New Roman"/>
          <w:b/>
          <w:color w:val="1F4E79"/>
          <w:sz w:val="24"/>
        </w:rPr>
        <w:t>Referencias</w:t>
      </w:r>
    </w:p>
    <w:p>
      <w:pPr>
        <w:spacing w:line="240" w:lineRule="auto" w:after="40"/>
        <w:ind w:left="709" w:hanging="709"/>
        <w:jc w:val="both"/>
      </w:pPr>
      <w:r>
        <w:rPr>
          <w:rFonts w:ascii="Times New Roman" w:hAnsi="Times New Roman" w:cs="Times New Roman"/>
          <w:color w:val="000000"/>
        </w:rPr>
        <w:t xml:space="preserve">Becker, G. S. (1964). </w:t>
      </w:r>
      <w:r>
        <w:rPr>
          <w:rFonts w:ascii="Times New Roman" w:hAnsi="Times New Roman" w:cs="Times New Roman"/>
          <w:i/>
          <w:color w:val="000000"/>
        </w:rPr>
        <w:t>Human capital: A theoretical and empirical analysis</w:t>
      </w:r>
      <w:r>
        <w:rPr>
          <w:rFonts w:ascii="Times New Roman" w:hAnsi="Times New Roman" w:cs="Times New Roman"/>
          <w:color w:val="000000"/>
        </w:rPr>
        <w:t>. Columbia University Press.</w:t>
      </w:r>
    </w:p>
    <w:p>
      <w:pPr>
        <w:spacing w:line="240" w:lineRule="auto" w:after="40"/>
        <w:ind w:left="709" w:hanging="709"/>
        <w:jc w:val="both"/>
      </w:pPr>
      <w:r>
        <w:rPr>
          <w:rFonts w:ascii="Times New Roman" w:hAnsi="Times New Roman" w:cs="Times New Roman"/>
          <w:color w:val="000000"/>
        </w:rPr>
        <w:t xml:space="preserve">Doeringer, P. B., &amp; Piore, M. J. (1971). </w:t>
      </w:r>
      <w:r>
        <w:rPr>
          <w:rFonts w:ascii="Times New Roman" w:hAnsi="Times New Roman" w:cs="Times New Roman"/>
          <w:i/>
          <w:color w:val="000000"/>
        </w:rPr>
        <w:t>Internal labor markets and manpower analysis</w:t>
      </w:r>
      <w:r>
        <w:rPr>
          <w:rFonts w:ascii="Times New Roman" w:hAnsi="Times New Roman" w:cs="Times New Roman"/>
          <w:color w:val="000000"/>
        </w:rPr>
        <w:t>. D. C. Heath.</w:t>
      </w:r>
    </w:p>
    <w:p>
      <w:pPr>
        <w:spacing w:line="240" w:lineRule="auto" w:after="40"/>
        <w:ind w:left="709" w:hanging="709"/>
        <w:jc w:val="both"/>
      </w:pPr>
      <w:r>
        <w:rPr>
          <w:rFonts w:ascii="Times New Roman" w:hAnsi="Times New Roman" w:cs="Times New Roman"/>
          <w:color w:val="000000"/>
        </w:rPr>
        <w:t xml:space="preserve">Hart, K. (1973). Informal income opportunities and urban employment in Ghana. </w:t>
      </w:r>
      <w:r>
        <w:rPr>
          <w:rFonts w:ascii="Times New Roman" w:hAnsi="Times New Roman" w:cs="Times New Roman"/>
          <w:i/>
          <w:color w:val="000000"/>
        </w:rPr>
        <w:t>The Journal of Modern African Studies</w:t>
      </w:r>
      <w:r>
        <w:rPr>
          <w:rFonts w:ascii="Times New Roman" w:hAnsi="Times New Roman" w:cs="Times New Roman"/>
          <w:color w:val="000000"/>
        </w:rPr>
        <w:t>, 11(1), 61-89.</w:t>
      </w:r>
    </w:p>
    <w:p>
      <w:pPr>
        <w:spacing w:line="240" w:lineRule="auto" w:after="40"/>
        <w:ind w:left="709" w:hanging="709"/>
        <w:jc w:val="both"/>
      </w:pPr>
      <w:r>
        <w:rPr>
          <w:rFonts w:ascii="Times New Roman" w:hAnsi="Times New Roman" w:cs="Times New Roman"/>
          <w:color w:val="000000"/>
        </w:rPr>
        <w:t xml:space="preserve">Tokman, V. E. (1978). An exploration into the nature of informal-formal sector relationships. </w:t>
      </w:r>
      <w:r>
        <w:rPr>
          <w:rFonts w:ascii="Times New Roman" w:hAnsi="Times New Roman" w:cs="Times New Roman"/>
          <w:i/>
          <w:color w:val="000000"/>
        </w:rPr>
        <w:t>World Development</w:t>
      </w:r>
      <w:r>
        <w:rPr>
          <w:rFonts w:ascii="Times New Roman" w:hAnsi="Times New Roman" w:cs="Times New Roman"/>
          <w:color w:val="000000"/>
        </w:rPr>
        <w:t>, 6(9-10), 1065-1075.</w:t>
      </w:r>
    </w:p>
    <w:p>
      <w:pPr>
        <w:spacing w:line="240" w:lineRule="auto" w:after="40"/>
        <w:ind w:left="709" w:hanging="709"/>
        <w:jc w:val="both"/>
      </w:pPr>
      <w:r>
        <w:rPr>
          <w:rFonts w:ascii="Times New Roman" w:hAnsi="Times New Roman" w:cs="Times New Roman"/>
          <w:color w:val="000000"/>
        </w:rPr>
        <w:t xml:space="preserve">Uribe, J. I., Ortiz, C. H., &amp; Castro, J. A. (2006). </w:t>
      </w:r>
      <w:r>
        <w:rPr>
          <w:rFonts w:ascii="Times New Roman" w:hAnsi="Times New Roman" w:cs="Times New Roman"/>
          <w:i/>
          <w:color w:val="000000"/>
        </w:rPr>
        <w:t>Informalidad laboral en Colombia, 1988-2000: evolución, teorías y modelos</w:t>
      </w:r>
      <w:r>
        <w:rPr>
          <w:rFonts w:ascii="Times New Roman" w:hAnsi="Times New Roman" w:cs="Times New Roman"/>
          <w:color w:val="000000"/>
        </w:rPr>
        <w:t>. Universidad del Valle.</w:t>
      </w:r>
    </w:p>
    <w:p>
      <w:pPr>
        <w:spacing w:line="240" w:lineRule="auto" w:after="40"/>
        <w:ind w:left="709" w:hanging="709"/>
        <w:jc w:val="both"/>
      </w:pPr>
      <w:r>
        <w:rPr>
          <w:rFonts w:ascii="Times New Roman" w:hAnsi="Times New Roman" w:cs="Times New Roman"/>
          <w:color w:val="C00000"/>
        </w:rPr>
        <w:t xml:space="preserve">Becker, G. S. (1957). </w:t>
      </w:r>
      <w:r>
        <w:rPr>
          <w:rFonts w:ascii="Times New Roman" w:hAnsi="Times New Roman" w:cs="Times New Roman"/>
          <w:i/>
          <w:color w:val="C00000"/>
        </w:rPr>
        <w:t>The economics of discrimination</w:t>
      </w:r>
      <w:r>
        <w:rPr>
          <w:rFonts w:ascii="Times New Roman" w:hAnsi="Times New Roman" w:cs="Times New Roman"/>
          <w:color w:val="C00000"/>
        </w:rPr>
        <w:t>. University of Chicago Press.</w:t>
      </w:r>
    </w:p>
    <w:p>
      <w:pPr>
        <w:spacing w:line="240" w:lineRule="auto" w:after="40"/>
        <w:ind w:left="709" w:hanging="709"/>
        <w:jc w:val="both"/>
      </w:pPr>
      <w:r>
        <w:rPr>
          <w:rFonts w:ascii="Times New Roman" w:hAnsi="Times New Roman" w:cs="Times New Roman"/>
          <w:color w:val="C00000"/>
        </w:rPr>
        <w:t xml:space="preserve">Becker, G. S. (1981). </w:t>
      </w:r>
      <w:r>
        <w:rPr>
          <w:rFonts w:ascii="Times New Roman" w:hAnsi="Times New Roman" w:cs="Times New Roman"/>
          <w:i/>
          <w:color w:val="C00000"/>
        </w:rPr>
        <w:t>A treatise on the family</w:t>
      </w:r>
      <w:r>
        <w:rPr>
          <w:rFonts w:ascii="Times New Roman" w:hAnsi="Times New Roman" w:cs="Times New Roman"/>
          <w:color w:val="C00000"/>
        </w:rPr>
        <w:t>. Harvard University Press.</w:t>
      </w:r>
    </w:p>
    <w:p>
      <w:pPr>
        <w:spacing w:line="240" w:lineRule="auto" w:after="40"/>
        <w:ind w:left="709" w:hanging="709"/>
        <w:jc w:val="both"/>
      </w:pPr>
      <w:r>
        <w:rPr>
          <w:rFonts w:ascii="Times New Roman" w:hAnsi="Times New Roman" w:cs="Times New Roman"/>
          <w:color w:val="C00000"/>
        </w:rPr>
        <w:t xml:space="preserve">La Porta, R., &amp; Shleifer, A. (2014). Informality and development. </w:t>
      </w:r>
      <w:r>
        <w:rPr>
          <w:rFonts w:ascii="Times New Roman" w:hAnsi="Times New Roman" w:cs="Times New Roman"/>
          <w:i/>
          <w:color w:val="C00000"/>
        </w:rPr>
        <w:t>Journal of Economic Perspectives</w:t>
      </w:r>
      <w:r>
        <w:rPr>
          <w:rFonts w:ascii="Times New Roman" w:hAnsi="Times New Roman" w:cs="Times New Roman"/>
          <w:color w:val="C00000"/>
        </w:rPr>
        <w:t>, 28(3), 109-126. https:</w:t>
      </w:r>
      <w:r>
        <w:rPr>
          <w:rFonts w:ascii="Times New Roman" w:hAnsi="Times New Roman" w:cs="Times New Roman"/>
          <w:i/>
          <w:color w:val="C00000"/>
        </w:rPr>
        <w:t>doi.org/10.1257/jep.28.3.109</w:t>
      </w:r>
    </w:p>
    <w:p>
      <w:pPr>
        <w:spacing w:line="240" w:lineRule="auto" w:after="40"/>
        <w:ind w:left="709" w:hanging="709"/>
        <w:jc w:val="both"/>
      </w:pPr>
      <w:r>
        <w:rPr>
          <w:rFonts w:ascii="Times New Roman" w:hAnsi="Times New Roman" w:cs="Times New Roman"/>
          <w:color w:val="C00000"/>
        </w:rPr>
        <w:t xml:space="preserve">Lewis, W. A. (1954). Economic development with unlimited supplies of labour. </w:t>
      </w:r>
      <w:r>
        <w:rPr>
          <w:rFonts w:ascii="Times New Roman" w:hAnsi="Times New Roman" w:cs="Times New Roman"/>
          <w:i/>
          <w:color w:val="C00000"/>
        </w:rPr>
        <w:t>The Manchester School</w:t>
      </w:r>
      <w:r>
        <w:rPr>
          <w:rFonts w:ascii="Times New Roman" w:hAnsi="Times New Roman" w:cs="Times New Roman"/>
          <w:color w:val="C00000"/>
        </w:rPr>
        <w:t>, 22(2), 139-191.</w:t>
      </w:r>
    </w:p>
    <w:p>
      <w:pPr>
        <w:spacing w:line="240" w:lineRule="auto" w:after="40"/>
        <w:ind w:left="709" w:hanging="709"/>
        <w:jc w:val="both"/>
      </w:pPr>
      <w:r>
        <w:rPr>
          <w:rFonts w:ascii="Times New Roman" w:hAnsi="Times New Roman" w:cs="Times New Roman"/>
          <w:color w:val="C00000"/>
        </w:rPr>
        <w:t xml:space="preserve">Maloney, W. F. (2004). Informality revisited. </w:t>
      </w:r>
      <w:r>
        <w:rPr>
          <w:rFonts w:ascii="Times New Roman" w:hAnsi="Times New Roman" w:cs="Times New Roman"/>
          <w:i/>
          <w:color w:val="C00000"/>
        </w:rPr>
        <w:t>World Development</w:t>
      </w:r>
      <w:r>
        <w:rPr>
          <w:rFonts w:ascii="Times New Roman" w:hAnsi="Times New Roman" w:cs="Times New Roman"/>
          <w:color w:val="C00000"/>
        </w:rPr>
        <w:t>, 32(7), 1159-1178. https:</w:t>
      </w:r>
      <w:r>
        <w:rPr>
          <w:rFonts w:ascii="Times New Roman" w:hAnsi="Times New Roman" w:cs="Times New Roman"/>
          <w:i/>
          <w:color w:val="C00000"/>
        </w:rPr>
        <w:t>doi.org/10.1016/j.worlddev.2004.01.008</w:t>
      </w:r>
    </w:p>
    <w:p>
      <w:pPr>
        <w:spacing w:line="240" w:lineRule="auto" w:after="40"/>
        <w:ind w:left="709" w:hanging="709"/>
        <w:jc w:val="both"/>
      </w:pPr>
      <w:r>
        <w:rPr>
          <w:rFonts w:ascii="Times New Roman" w:hAnsi="Times New Roman" w:cs="Times New Roman"/>
          <w:color w:val="C00000"/>
        </w:rPr>
        <w:t xml:space="preserve">Mincer, J. (1974). </w:t>
      </w:r>
      <w:r>
        <w:rPr>
          <w:rFonts w:ascii="Times New Roman" w:hAnsi="Times New Roman" w:cs="Times New Roman"/>
          <w:i/>
          <w:color w:val="C00000"/>
        </w:rPr>
        <w:t>Schooling, experience, and earnings</w:t>
      </w:r>
      <w:r>
        <w:rPr>
          <w:rFonts w:ascii="Times New Roman" w:hAnsi="Times New Roman" w:cs="Times New Roman"/>
          <w:color w:val="C00000"/>
        </w:rPr>
        <w:t>. National Bureau of Economic Research.</w:t>
      </w:r>
    </w:p>
    <w:p>
      <w:pPr>
        <w:spacing w:line="240" w:lineRule="auto" w:after="40"/>
        <w:ind w:left="709" w:hanging="709"/>
        <w:jc w:val="both"/>
      </w:pPr>
      <w:r>
        <w:rPr>
          <w:rFonts w:ascii="Times New Roman" w:hAnsi="Times New Roman" w:cs="Times New Roman"/>
          <w:color w:val="C00000"/>
        </w:rPr>
        <w:t xml:space="preserve">Organización Internacional del Trabajo. (2024). </w:t>
      </w:r>
      <w:r>
        <w:rPr>
          <w:rFonts w:ascii="Times New Roman" w:hAnsi="Times New Roman" w:cs="Times New Roman"/>
          <w:i/>
          <w:color w:val="C00000"/>
        </w:rPr>
        <w:t>Perspectivas sociales y del empleo en el mundo: Tendencias 2024</w:t>
      </w:r>
      <w:r>
        <w:rPr>
          <w:rFonts w:ascii="Times New Roman" w:hAnsi="Times New Roman" w:cs="Times New Roman"/>
          <w:color w:val="C00000"/>
        </w:rPr>
        <w:t>. OIT.</w:t>
      </w:r>
    </w:p>
    <w:p>
      <w:pPr>
        <w:spacing w:line="240" w:lineRule="auto" w:after="40"/>
        <w:ind w:left="709" w:hanging="709"/>
        <w:jc w:val="both"/>
      </w:pPr>
      <w:r>
        <w:rPr>
          <w:rFonts w:ascii="Times New Roman" w:hAnsi="Times New Roman" w:cs="Times New Roman"/>
          <w:color w:val="C00000"/>
        </w:rPr>
        <w:t xml:space="preserve">Telles, E. (1992). Who gets formal sector jobs? Determinants of formal-informal participation in Brazilian metropolitan areas. </w:t>
      </w:r>
      <w:r>
        <w:rPr>
          <w:rFonts w:ascii="Times New Roman" w:hAnsi="Times New Roman" w:cs="Times New Roman"/>
          <w:i/>
          <w:color w:val="C00000"/>
        </w:rPr>
        <w:t>Work and Occupations</w:t>
      </w:r>
      <w:r>
        <w:rPr>
          <w:rFonts w:ascii="Times New Roman" w:hAnsi="Times New Roman" w:cs="Times New Roman"/>
          <w:color w:val="C00000"/>
        </w:rPr>
        <w:t>, 19(2), 108-127.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