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Times New Roman" w:hAnsi="Times New Roman" w:cs="Times New Roman"/>
          <w:b/>
          <w:color w:val="1F4E79"/>
          <w:sz w:val="30"/>
        </w:rPr>
        <w:t>Capítulo III. Metodología de la Investigación</w:t>
      </w:r>
    </w:p>
    <w:p>
      <w:pPr>
        <w:spacing w:after="120"/>
        <w:ind w:firstLine="709"/>
        <w:jc w:val="both"/>
      </w:pPr>
      <w:r>
        <w:rPr>
          <w:rFonts w:ascii="Times New Roman" w:hAnsi="Times New Roman" w:cs="Times New Roman"/>
        </w:rPr>
        <w:t>El presente capítulo describe la estrategia metodológica adoptada para identificar y cuantificar el efecto de los factores socioeconómicos sobre la probabilidad de informalidad laboral en el departamento de Lima durante el periodo 2024-2025. La ruta metodológica replica, adaptándola al ámbito limeño, la aproximación empleada por la literatura econométrica reciente sobre los determinantes de la informalidad en el Perú, que combina datos secundarios de la Encuesta Nacional de Hogares (ENAHO) del Instituto Nacional de Estadística e Informática (INEI) con modelos de elección discreta de tipo Logit y Probit (Semestre Económico, 2025). El capítulo se organiza en diez secciones: tipo, enfoque y diseño de la investigación; población, muestra y unidad de análisis; operacionalización de las variables; fuentes y técnicas de recolección de datos; especificación del modelo econométrico; pruebas de validación y diagnóstico; procedimiento de análisis; y consideraciones éticas.</w:t>
      </w:r>
    </w:p>
    <w:p>
      <w:pPr>
        <w:spacing w:after="120"/>
        <w:ind w:firstLine="709"/>
        <w:jc w:val="both"/>
      </w:pPr>
      <w:r>
        <w:rPr>
          <w:rFonts w:ascii="Times New Roman" w:hAnsi="Times New Roman" w:cs="Times New Roman"/>
        </w:rPr>
        <w:t xml:space="preserve">Como </w:t>
      </w:r>
      <w:r>
        <w:rPr>
          <w:rFonts w:ascii="Times New Roman" w:hAnsi="Times New Roman" w:cs="Times New Roman"/>
          <w:b/>
        </w:rPr>
        <w:t>antecedente metodológico de referencia</w:t>
      </w:r>
      <w:r>
        <w:rPr>
          <w:rFonts w:ascii="Times New Roman" w:hAnsi="Times New Roman" w:cs="Times New Roman"/>
        </w:rPr>
        <w:t xml:space="preserve"> se toma el estudio de la revista Semestre Económico (2025), titulado «Determinantes de la informalidad laboral: un análisis para el Perú, 2019 y 2022», cuya ruta metodológica resulta directamente trasladable al presente trabajo. Dicho estudio adopta un nivel explicativo con diseño no experimental de corte transversal, emplea como fuente secundaria los microdatos de la ENAHO y estima un modelo econométrico Logit binomial para identificar los determinantes de la informalidad, alcanzando un ajuste predictivo elevado (área bajo la curva ROC de 0,934 y 0,933). Entre los determinantes significativos, el estudio identifica el nivel educativo, el ingreso, la edad, el sexo, el estado civil, el tamaño de empresa y el área de residencia, hallazgos que orientan la selección de variables y la especificación del modelo de la presente investigación, circunscrita al departamento de Lima y al periodo 2024-2025.</w:t>
      </w:r>
    </w:p>
    <w:p>
      <w:pPr>
        <w:spacing w:before="240" w:after="160"/>
      </w:pPr>
      <w:r>
        <w:rPr>
          <w:rFonts w:ascii="Times New Roman" w:hAnsi="Times New Roman" w:cs="Times New Roman"/>
          <w:b/>
          <w:color w:val="1F4E79"/>
          <w:sz w:val="28"/>
        </w:rPr>
        <w:t>3.1. Tipo de investigación</w:t>
      </w:r>
    </w:p>
    <w:p>
      <w:pPr>
        <w:spacing w:after="120"/>
        <w:ind w:firstLine="709"/>
        <w:jc w:val="both"/>
      </w:pPr>
      <w:r>
        <w:rPr>
          <w:rFonts w:ascii="Times New Roman" w:hAnsi="Times New Roman" w:cs="Times New Roman"/>
        </w:rPr>
        <w:t xml:space="preserve">La presente investigación es de </w:t>
      </w:r>
      <w:r>
        <w:rPr>
          <w:rFonts w:ascii="Times New Roman" w:hAnsi="Times New Roman" w:cs="Times New Roman"/>
          <w:b/>
        </w:rPr>
        <w:t>tipo aplicada</w:t>
      </w:r>
      <w:r>
        <w:rPr>
          <w:rFonts w:ascii="Times New Roman" w:hAnsi="Times New Roman" w:cs="Times New Roman"/>
        </w:rPr>
        <w:t>, dado que su finalidad no es generar teoría nueva, sino utilizar el conocimiento económico existente para resolver un problema concreto y socialmente relevante del mercado de trabajo peruano: la elevada y persistente informalidad laboral en el departamento de Lima. El conocimiento derivado busca aportar evidencia empírica útil para el diseño de políticas públicas de formalización laboral orientadas a este territorio.</w:t>
      </w:r>
    </w:p>
    <w:p>
      <w:pPr>
        <w:spacing w:after="120"/>
        <w:ind w:firstLine="709"/>
        <w:jc w:val="both"/>
      </w:pPr>
      <w:r>
        <w:rPr>
          <w:rFonts w:ascii="Times New Roman" w:hAnsi="Times New Roman" w:cs="Times New Roman"/>
        </w:rPr>
        <w:t xml:space="preserve">Desde el punto de vista del </w:t>
      </w:r>
      <w:r>
        <w:rPr>
          <w:rFonts w:ascii="Times New Roman" w:hAnsi="Times New Roman" w:cs="Times New Roman"/>
          <w:b/>
        </w:rPr>
        <w:t>enfoque</w:t>
      </w:r>
      <w:r>
        <w:rPr>
          <w:rFonts w:ascii="Times New Roman" w:hAnsi="Times New Roman" w:cs="Times New Roman"/>
        </w:rPr>
        <w:t xml:space="preserve">, la investigación es </w:t>
      </w:r>
      <w:r>
        <w:rPr>
          <w:rFonts w:ascii="Times New Roman" w:hAnsi="Times New Roman" w:cs="Times New Roman"/>
          <w:b/>
        </w:rPr>
        <w:t>cuantitativa</w:t>
      </w:r>
      <w:r>
        <w:rPr>
          <w:rFonts w:ascii="Times New Roman" w:hAnsi="Times New Roman" w:cs="Times New Roman"/>
        </w:rPr>
        <w:t>, puesto que el análisis se sustenta íntegramente en datos numéricos provenientes de una encuesta de hogares oficial, procesados mediante técnicas estadísticas y econométricas. El enfoque cuantitativo permite contrastar de manera objetiva las hipótesis planteadas a partir de la medición de variables y de la estimación de relaciones de probabilidad entre ellas (Hernández-Sampieri y Mendoza, 2018).</w:t>
      </w:r>
    </w:p>
    <w:p>
      <w:pPr>
        <w:spacing w:after="120"/>
        <w:ind w:firstLine="709"/>
        <w:jc w:val="both"/>
      </w:pPr>
      <w:r>
        <w:rPr>
          <w:rFonts w:ascii="Times New Roman" w:hAnsi="Times New Roman" w:cs="Times New Roman"/>
        </w:rPr>
        <w:t xml:space="preserve">En cuanto al </w:t>
      </w:r>
      <w:r>
        <w:rPr>
          <w:rFonts w:ascii="Times New Roman" w:hAnsi="Times New Roman" w:cs="Times New Roman"/>
          <w:b/>
        </w:rPr>
        <w:t>nivel o alcance</w:t>
      </w:r>
      <w:r>
        <w:rPr>
          <w:rFonts w:ascii="Times New Roman" w:hAnsi="Times New Roman" w:cs="Times New Roman"/>
        </w:rPr>
        <w:t xml:space="preserve">, la investigación es </w:t>
      </w:r>
      <w:r>
        <w:rPr>
          <w:rFonts w:ascii="Times New Roman" w:hAnsi="Times New Roman" w:cs="Times New Roman"/>
          <w:b/>
        </w:rPr>
        <w:t>explicativa</w:t>
      </w:r>
      <w:r>
        <w:rPr>
          <w:rFonts w:ascii="Times New Roman" w:hAnsi="Times New Roman" w:cs="Times New Roman"/>
        </w:rPr>
        <w:t xml:space="preserve"> (o correlacional-causal). El estudio no se limita a describir la magnitud de la informalidad ni a establecer asociaciones simples entre variables, sino que busca estimar la </w:t>
      </w:r>
      <w:r>
        <w:rPr>
          <w:rFonts w:ascii="Times New Roman" w:hAnsi="Times New Roman" w:cs="Times New Roman"/>
          <w:b/>
        </w:rPr>
        <w:t>dirección y la magnitud del efecto</w:t>
      </w:r>
      <w:r>
        <w:rPr>
          <w:rFonts w:ascii="Times New Roman" w:hAnsi="Times New Roman" w:cs="Times New Roman"/>
        </w:rPr>
        <w:t xml:space="preserve"> que ejercen los factores socioeconómicos —el nivel de ingresos, el nivel educativo y los determinantes demográficos— sobre la probabilidad de que un trabajador se encuentre en condición de informalidad, controlando por el resto de características observables. Este nivel explicativo es coherente con la ruta metodológica del estudio de referencia, que adopta igualmente un nivel explicativo con datos de la ENAHO (Semestre Económico, 2025).</w:t>
      </w:r>
    </w:p>
    <w:p>
      <w:pPr>
        <w:spacing w:after="120"/>
        <w:ind w:firstLine="709"/>
        <w:jc w:val="both"/>
      </w:pPr>
      <w:r>
        <w:rPr>
          <w:rFonts w:ascii="Times New Roman" w:hAnsi="Times New Roman" w:cs="Times New Roman"/>
        </w:rPr>
        <w:t xml:space="preserve">Finalmente, por su finalidad temporal y su relación con la práctica, la investigación se inscribe en el paradigma </w:t>
      </w:r>
      <w:r>
        <w:rPr>
          <w:rFonts w:ascii="Times New Roman" w:hAnsi="Times New Roman" w:cs="Times New Roman"/>
          <w:b/>
        </w:rPr>
        <w:t>positivista</w:t>
      </w:r>
      <w:r>
        <w:rPr>
          <w:rFonts w:ascii="Times New Roman" w:hAnsi="Times New Roman" w:cs="Times New Roman"/>
        </w:rPr>
        <w:t xml:space="preserve"> y emplea el método </w:t>
      </w:r>
      <w:r>
        <w:rPr>
          <w:rFonts w:ascii="Times New Roman" w:hAnsi="Times New Roman" w:cs="Times New Roman"/>
          <w:b/>
        </w:rPr>
        <w:t>hipotético-deductivo</w:t>
      </w:r>
      <w:r>
        <w:rPr>
          <w:rFonts w:ascii="Times New Roman" w:hAnsi="Times New Roman" w:cs="Times New Roman"/>
        </w:rPr>
        <w:t>: a partir de un marco teórico —las teorías dualista, de la segmentación del mercado laboral y del capital humano— se derivan hipótesis contrastables que se someten a prueba empírica mediante la estimación de un modelo econométrico. El paradigma positivista resulta pertinente porque el objeto de estudio —la condición de informalidad y sus determinantes— es susceptible de medición objetiva y de cuantificación, y porque el propósito de la investigación es explicar relaciones de causalidad probabilística entre variables observables, antes que interpretar significados subjetivos.</w:t>
      </w:r>
    </w:p>
    <w:p>
      <w:pPr>
        <w:spacing w:after="120"/>
        <w:ind w:firstLine="709"/>
        <w:jc w:val="both"/>
      </w:pPr>
      <w:r>
        <w:rPr>
          <w:rFonts w:ascii="Times New Roman" w:hAnsi="Times New Roman" w:cs="Times New Roman"/>
        </w:rPr>
        <w:t>La elección de este tipo de investigación se justifica, además, por la naturaleza del problema y la disponibilidad de información. El estudio de los determinantes de la informalidad requiere trabajar con un gran número de observaciones individuales y con una variable de resultado de naturaleza cualitativa (formal/informal), condiciones que el enfoque cuantitativo y las técnicas econométricas de elección discreta satisfacen plenamente. La aproximación cualitativa, en cambio, no permitiría estimar la magnitud del efecto de cada factor ni generalizar los hallazgos a la población de trabajadores del departamento de Lima.</w:t>
      </w:r>
    </w:p>
    <w:p>
      <w:pPr>
        <w:spacing w:before="240" w:after="160"/>
      </w:pPr>
      <w:r>
        <w:rPr>
          <w:rFonts w:ascii="Times New Roman" w:hAnsi="Times New Roman" w:cs="Times New Roman"/>
          <w:b/>
          <w:color w:val="1F4E79"/>
          <w:sz w:val="28"/>
        </w:rPr>
        <w:t>3.2. Diseño de investigación</w:t>
      </w:r>
    </w:p>
    <w:p>
      <w:pPr>
        <w:spacing w:after="120"/>
        <w:ind w:firstLine="709"/>
        <w:jc w:val="both"/>
      </w:pPr>
      <w:r>
        <w:rPr>
          <w:rFonts w:ascii="Times New Roman" w:hAnsi="Times New Roman" w:cs="Times New Roman"/>
        </w:rPr>
        <w:t xml:space="preserve">El diseño de la investigación es </w:t>
      </w:r>
      <w:r>
        <w:rPr>
          <w:rFonts w:ascii="Times New Roman" w:hAnsi="Times New Roman" w:cs="Times New Roman"/>
          <w:b/>
        </w:rPr>
        <w:t>no experimental, de corte transversal y de alcance explicativo o causal</w:t>
      </w:r>
      <w:r>
        <w:rPr>
          <w:rFonts w:ascii="Times New Roman" w:hAnsi="Times New Roman" w:cs="Times New Roman"/>
        </w:rPr>
        <w:t>. Es no experimental porque las variables de estudio no son manipuladas por el investigador, sino observadas tal como ocurren en la realidad a partir de los registros de una encuesta de hogares; el investigador no asigna tratamientos ni interviene sobre las condiciones laborales de los trabajadores (Hernández-Sampieri y Mendoza, 2018).</w:t>
      </w:r>
    </w:p>
    <w:p>
      <w:pPr>
        <w:spacing w:after="120"/>
        <w:ind w:firstLine="709"/>
        <w:jc w:val="both"/>
      </w:pPr>
      <w:r>
        <w:rPr>
          <w:rFonts w:ascii="Times New Roman" w:hAnsi="Times New Roman" w:cs="Times New Roman"/>
        </w:rPr>
        <w:t xml:space="preserve">Es de </w:t>
      </w:r>
      <w:r>
        <w:rPr>
          <w:rFonts w:ascii="Times New Roman" w:hAnsi="Times New Roman" w:cs="Times New Roman"/>
          <w:b/>
        </w:rPr>
        <w:t>corte transversal</w:t>
      </w:r>
      <w:r>
        <w:rPr>
          <w:rFonts w:ascii="Times New Roman" w:hAnsi="Times New Roman" w:cs="Times New Roman"/>
        </w:rPr>
        <w:t xml:space="preserve"> porque la información se recolecta y analiza para un momento o periodo determinado —los años 2024 y 2025— sin seguimiento longitudinal de los mismos individuos en el tiempo. La unidad de análisis se observa una sola vez, lo que resulta adecuado para los objetivos del estudio, centrados en identificar los factores asociados a la informalidad en una coyuntura específica y no en analizar su evolución dinámica.</w:t>
      </w:r>
    </w:p>
    <w:p>
      <w:pPr>
        <w:spacing w:after="120"/>
        <w:ind w:firstLine="709"/>
        <w:jc w:val="both"/>
      </w:pPr>
      <w:r>
        <w:rPr>
          <w:rFonts w:ascii="Times New Roman" w:hAnsi="Times New Roman" w:cs="Times New Roman"/>
        </w:rPr>
        <w:t xml:space="preserve">Es de </w:t>
      </w:r>
      <w:r>
        <w:rPr>
          <w:rFonts w:ascii="Times New Roman" w:hAnsi="Times New Roman" w:cs="Times New Roman"/>
          <w:b/>
        </w:rPr>
        <w:t>alcance causal</w:t>
      </w:r>
      <w:r>
        <w:rPr>
          <w:rFonts w:ascii="Times New Roman" w:hAnsi="Times New Roman" w:cs="Times New Roman"/>
        </w:rPr>
        <w:t xml:space="preserve"> porque, mediante la especificación de un modelo de elección binaria, se busca estimar el efecto parcial de cada factor socioeconómico sobre la probabilidad de informalidad, manteniendo constantes las demás variables. El diseño se complementa con la naturaleza de </w:t>
      </w:r>
      <w:r>
        <w:rPr>
          <w:rFonts w:ascii="Times New Roman" w:hAnsi="Times New Roman" w:cs="Times New Roman"/>
          <w:b/>
        </w:rPr>
        <w:t>fuente secundaria</w:t>
      </w:r>
      <w:r>
        <w:rPr>
          <w:rFonts w:ascii="Times New Roman" w:hAnsi="Times New Roman" w:cs="Times New Roman"/>
        </w:rPr>
        <w:t xml:space="preserve"> de los datos: la investigación utiliza microdatos ya recolectados y procesados por el INEI a través de la ENAHO, lo que garantiza la representatividad estadística y la validez de la medición (INEI, 2025).</w:t>
      </w:r>
    </w:p>
    <w:p>
      <w:pPr>
        <w:spacing w:before="160" w:after="80"/>
      </w:pPr>
      <w:r>
        <w:rPr>
          <w:rFonts w:ascii="Times New Roman" w:hAnsi="Times New Roman" w:cs="Times New Roman"/>
          <w:b/>
          <w:i/>
          <w:color w:val="1F4E79"/>
          <w:sz w:val="24"/>
        </w:rPr>
        <w:t>Esquema del diseño</w:t>
      </w:r>
    </w:p>
    <w:p>
      <w:pPr>
        <w:spacing w:after="120"/>
        <w:ind w:firstLine="709"/>
        <w:jc w:val="both"/>
      </w:pPr>
      <w:r>
        <w:rPr>
          <w:rFonts w:ascii="Times New Roman" w:hAnsi="Times New Roman" w:cs="Times New Roman"/>
        </w:rPr>
        <w:t>El diseño puede esquematizarse como la observación, en un mismo corte temporal, de la variable dependiente dicotómica (condición de informalidad) y de un conjunto de variables explicativas socioeconómicas, sobre las cuales se estima una función de probabilidad. Formalmente, el diseño responde al esquema M → O(X, Y), donde M es la muestra de trabajadores de la PEA ocupada del departamento de Lima, X es el vector de factores socioeconómicos y Y es la condición de informalidad observada en el periodo 2024-2025.</w:t>
      </w:r>
    </w:p>
    <w:p>
      <w:pPr>
        <w:spacing w:before="160" w:after="80"/>
      </w:pPr>
      <w:r>
        <w:rPr>
          <w:rFonts w:ascii="Times New Roman" w:hAnsi="Times New Roman" w:cs="Times New Roman"/>
          <w:b/>
          <w:i/>
          <w:color w:val="1F4E79"/>
          <w:sz w:val="24"/>
        </w:rPr>
        <w:t>Ventajas y limitaciones del diseño transversal</w:t>
      </w:r>
    </w:p>
    <w:p>
      <w:pPr>
        <w:spacing w:after="120"/>
        <w:ind w:firstLine="709"/>
        <w:jc w:val="both"/>
      </w:pPr>
      <w:r>
        <w:rPr>
          <w:rFonts w:ascii="Times New Roman" w:hAnsi="Times New Roman" w:cs="Times New Roman"/>
        </w:rPr>
        <w:t>El diseño transversal ofrece ventajas relevantes para los objetivos de la investigación. En primer lugar, permite trabajar con una muestra de gran tamaño y representativa de la población, lo que confiere potencia estadística a las pruebas de hipótesis y precisión a la estimación de los efectos. En segundo lugar, evita los problemas de atrición y de pérdida de seguimiento característicos de los diseños longitudinales. En tercer lugar, resulta económico y oportuno, al aprovechar información oficial ya recolectada y procesada.</w:t>
      </w:r>
    </w:p>
    <w:p>
      <w:pPr>
        <w:spacing w:after="160"/>
        <w:ind w:firstLine="709"/>
        <w:jc w:val="both"/>
      </w:pPr>
      <w:r>
        <w:rPr>
          <w:rFonts w:ascii="Times New Roman" w:hAnsi="Times New Roman" w:cs="Times New Roman"/>
        </w:rPr>
        <w:t>No obstante, el diseño transversal presenta limitaciones que se reconocen explícitamente. Al observar a los individuos en un único momento, no permite establecer relaciones de causalidad en sentido estricto, sino asociaciones de probabilidad condicional interpretables como efectos parciales bajo el supuesto de exogeneidad de los regresores. Asimismo, no captura la dinámica temporal de la informalidad ni las transiciones de los trabajadores entre el sector formal y el informal. Estas limitaciones se mitigan controlando por un conjunto amplio de variables observables y se discuten en la sección de limitaciones metodológicas.</w:t>
      </w:r>
    </w:p>
    <w:p>
      <w:pPr>
        <w:spacing w:before="240" w:after="160"/>
      </w:pPr>
      <w:r>
        <w:rPr>
          <w:rFonts w:ascii="Times New Roman" w:hAnsi="Times New Roman" w:cs="Times New Roman"/>
          <w:b/>
          <w:color w:val="1F4E79"/>
          <w:sz w:val="28"/>
        </w:rPr>
        <w:t>3.3. Población y muestra</w:t>
      </w:r>
    </w:p>
    <w:p>
      <w:pPr>
        <w:spacing w:before="200" w:after="120"/>
      </w:pPr>
      <w:r>
        <w:rPr>
          <w:rFonts w:ascii="Times New Roman" w:hAnsi="Times New Roman" w:cs="Times New Roman"/>
          <w:b/>
          <w:color w:val="1F4E79"/>
          <w:sz w:val="26"/>
        </w:rPr>
        <w:t>3.3.1. Población</w:t>
      </w:r>
    </w:p>
    <w:p>
      <w:pPr>
        <w:spacing w:after="120"/>
        <w:ind w:firstLine="709"/>
        <w:jc w:val="both"/>
      </w:pPr>
      <w:r>
        <w:rPr>
          <w:rFonts w:ascii="Times New Roman" w:hAnsi="Times New Roman" w:cs="Times New Roman"/>
        </w:rPr>
        <w:t xml:space="preserve">La </w:t>
      </w:r>
      <w:r>
        <w:rPr>
          <w:rFonts w:ascii="Times New Roman" w:hAnsi="Times New Roman" w:cs="Times New Roman"/>
          <w:b/>
        </w:rPr>
        <w:t>población</w:t>
      </w:r>
      <w:r>
        <w:rPr>
          <w:rFonts w:ascii="Times New Roman" w:hAnsi="Times New Roman" w:cs="Times New Roman"/>
        </w:rPr>
        <w:t xml:space="preserve"> objeto de estudio está constituida por toda la </w:t>
      </w:r>
      <w:r>
        <w:rPr>
          <w:rFonts w:ascii="Times New Roman" w:hAnsi="Times New Roman" w:cs="Times New Roman"/>
          <w:b/>
        </w:rPr>
        <w:t>población económicamente activa (PEA) ocupada del departamento de Lima</w:t>
      </w:r>
      <w:r>
        <w:rPr>
          <w:rFonts w:ascii="Times New Roman" w:hAnsi="Times New Roman" w:cs="Times New Roman"/>
        </w:rPr>
        <w:t xml:space="preserve"> durante los años 2024-2025; es decir, el conjunto de personas de 14 y más años de edad residentes en el departamento de Lima que, en el periodo de referencia, se encontraban ocupadas en alguna actividad económica, ya sea en condición de formalidad o de informalidad. De acuerdo con el INEI (2025), la PEA ocupada del departamento de Lima supera los cinco millones de trabajadores, lo que la convierte en el mayor mercado laboral del país y en un ámbito de especial relevancia para el estudio de la informalidad.</w:t>
      </w:r>
    </w:p>
    <w:p>
      <w:pPr>
        <w:spacing w:after="120"/>
        <w:ind w:firstLine="709"/>
        <w:jc w:val="both"/>
      </w:pPr>
      <w:r>
        <w:rPr>
          <w:rFonts w:ascii="Times New Roman" w:hAnsi="Times New Roman" w:cs="Times New Roman"/>
        </w:rPr>
        <w:t>El mercado laboral del departamento de Lima se caracteriza por la concentración del empleo en los sectores de comercio y servicios, por una elevada presencia de micro y pequeñas empresas y por una marcada heterogeneidad en las condiciones de trabajo. A pesar de presentar una de las tasas de informalidad relativamente más bajas del país, el departamento de Lima alberga el mayor volumen absoluto de trabajadores informales, lo que justifica el análisis de los factores socioeconómicos que determinan la probabilidad de informalidad en este ámbito. La población así definida constituye el universo sobre el cual se realizan las inferencias estadísticas del estudio.</w:t>
      </w:r>
    </w:p>
    <w:p>
      <w:pPr>
        <w:spacing w:before="200" w:after="120"/>
      </w:pPr>
      <w:r>
        <w:rPr>
          <w:rFonts w:ascii="Times New Roman" w:hAnsi="Times New Roman" w:cs="Times New Roman"/>
          <w:b/>
          <w:color w:val="1F4E79"/>
          <w:sz w:val="26"/>
        </w:rPr>
        <w:t>3.3.2. Muestra</w:t>
      </w:r>
    </w:p>
    <w:p>
      <w:pPr>
        <w:spacing w:after="120"/>
        <w:ind w:firstLine="709"/>
        <w:jc w:val="both"/>
      </w:pPr>
      <w:r>
        <w:rPr>
          <w:rFonts w:ascii="Times New Roman" w:hAnsi="Times New Roman" w:cs="Times New Roman"/>
        </w:rPr>
        <w:t xml:space="preserve">La </w:t>
      </w:r>
      <w:r>
        <w:rPr>
          <w:rFonts w:ascii="Times New Roman" w:hAnsi="Times New Roman" w:cs="Times New Roman"/>
          <w:b/>
        </w:rPr>
        <w:t>muestra</w:t>
      </w:r>
      <w:r>
        <w:rPr>
          <w:rFonts w:ascii="Times New Roman" w:hAnsi="Times New Roman" w:cs="Times New Roman"/>
        </w:rPr>
        <w:t xml:space="preserve"> está conformada por el subconjunto de registros de la ENAHO correspondientes a la PEA ocupada del departamento de Lima en los años 2024 y 2025. La ENAHO es una encuesta de carácter </w:t>
      </w:r>
      <w:r>
        <w:rPr>
          <w:rFonts w:ascii="Times New Roman" w:hAnsi="Times New Roman" w:cs="Times New Roman"/>
          <w:b/>
        </w:rPr>
        <w:t>probabilístico, de áreas, estratificada, multietápica e independiente en cada departamento</w:t>
      </w:r>
      <w:r>
        <w:rPr>
          <w:rFonts w:ascii="Times New Roman" w:hAnsi="Times New Roman" w:cs="Times New Roman"/>
        </w:rPr>
        <w:t>, cuyo marco muestral se construye a partir de la información cartográfica y de los Censos Nacionales de Población y Vivienda, así como del material estadístico de la actualización del Sistema de Focalización de Hogares (INEI, 2025). En consecuencia, la muestra empleada hereda las propiedades de representatividad y de inferencia estadística del diseño muestral oficial del INEI, y los resultados pueden expandirse a la población mediante los factores de ponderación correspondientes.</w:t>
      </w:r>
    </w:p>
    <w:p>
      <w:pPr>
        <w:spacing w:after="120"/>
        <w:ind w:firstLine="709"/>
        <w:jc w:val="both"/>
      </w:pPr>
      <w:r>
        <w:rPr>
          <w:rFonts w:ascii="Times New Roman" w:hAnsi="Times New Roman" w:cs="Times New Roman"/>
        </w:rPr>
        <w:t xml:space="preserve">A partir del marco muestral nacional, se extrae la </w:t>
      </w:r>
      <w:r>
        <w:rPr>
          <w:rFonts w:ascii="Times New Roman" w:hAnsi="Times New Roman" w:cs="Times New Roman"/>
          <w:b/>
        </w:rPr>
        <w:t>submuestra de trabajadores ocupados del departamento de Lima</w:t>
      </w:r>
      <w:r>
        <w:rPr>
          <w:rFonts w:ascii="Times New Roman" w:hAnsi="Times New Roman" w:cs="Times New Roman"/>
        </w:rPr>
        <w:t>, a la que se aplican los siguientes criterios de inclusión y exclusión, en línea con la práctica de la literatura econométrica sobre informalidad (Semestre Económico, 2025):</w:t>
      </w:r>
    </w:p>
    <w:p>
      <w:pPr>
        <w:pStyle w:val="ListBullet"/>
        <w:spacing w:after="60"/>
        <w:jc w:val="both"/>
      </w:pPr>
      <w:r>
        <w:rPr>
          <w:rFonts w:ascii="Times New Roman" w:hAnsi="Times New Roman" w:cs="Times New Roman"/>
        </w:rPr>
      </w:r>
      <w:r>
        <w:rPr>
          <w:rFonts w:ascii="Times New Roman" w:hAnsi="Times New Roman" w:cs="Times New Roman"/>
          <w:b/>
        </w:rPr>
        <w:t>Criterio de inclusión 1.</w:t>
      </w:r>
      <w:r>
        <w:rPr>
          <w:rFonts w:ascii="Times New Roman" w:hAnsi="Times New Roman" w:cs="Times New Roman"/>
        </w:rPr>
        <w:t xml:space="preserve"> Personas pertenecientes a la PEA ocupada, es decir, que declararon haber trabajado al menos una hora en la semana de referencia o que, teniendo empleo, no trabajaron por razones circunstanciales.</w:t>
      </w:r>
    </w:p>
    <w:p>
      <w:pPr>
        <w:pStyle w:val="ListBullet"/>
        <w:spacing w:after="60"/>
        <w:jc w:val="both"/>
      </w:pPr>
      <w:r>
        <w:rPr>
          <w:rFonts w:ascii="Times New Roman" w:hAnsi="Times New Roman" w:cs="Times New Roman"/>
        </w:rPr>
      </w:r>
      <w:r>
        <w:rPr>
          <w:rFonts w:ascii="Times New Roman" w:hAnsi="Times New Roman" w:cs="Times New Roman"/>
          <w:b/>
        </w:rPr>
        <w:t>Criterio de inclusión 2.</w:t>
      </w:r>
      <w:r>
        <w:rPr>
          <w:rFonts w:ascii="Times New Roman" w:hAnsi="Times New Roman" w:cs="Times New Roman"/>
        </w:rPr>
        <w:t xml:space="preserve"> Personas de 14 y más años de edad, límite inferior de la edad de trabajar según la normativa nacional.</w:t>
      </w:r>
    </w:p>
    <w:p>
      <w:pPr>
        <w:pStyle w:val="ListBullet"/>
        <w:spacing w:after="60"/>
        <w:jc w:val="both"/>
      </w:pPr>
      <w:r>
        <w:rPr>
          <w:rFonts w:ascii="Times New Roman" w:hAnsi="Times New Roman" w:cs="Times New Roman"/>
        </w:rPr>
      </w:r>
      <w:r>
        <w:rPr>
          <w:rFonts w:ascii="Times New Roman" w:hAnsi="Times New Roman" w:cs="Times New Roman"/>
          <w:b/>
        </w:rPr>
        <w:t>Criterio de inclusión 3.</w:t>
      </w:r>
      <w:r>
        <w:rPr>
          <w:rFonts w:ascii="Times New Roman" w:hAnsi="Times New Roman" w:cs="Times New Roman"/>
        </w:rPr>
        <w:t xml:space="preserve"> Residentes habituales del departamento de Lima, identificados a través del código de ubicación geográfica (ubigeo) de la vivienda.</w:t>
      </w:r>
    </w:p>
    <w:p>
      <w:pPr>
        <w:pStyle w:val="ListBullet"/>
        <w:spacing w:after="60"/>
        <w:jc w:val="both"/>
      </w:pPr>
      <w:r>
        <w:rPr>
          <w:rFonts w:ascii="Times New Roman" w:hAnsi="Times New Roman" w:cs="Times New Roman"/>
        </w:rPr>
      </w:r>
      <w:r>
        <w:rPr>
          <w:rFonts w:ascii="Times New Roman" w:hAnsi="Times New Roman" w:cs="Times New Roman"/>
          <w:b/>
        </w:rPr>
        <w:t>Criterio de exclusión.</w:t>
      </w:r>
      <w:r>
        <w:rPr>
          <w:rFonts w:ascii="Times New Roman" w:hAnsi="Times New Roman" w:cs="Times New Roman"/>
        </w:rPr>
        <w:t xml:space="preserve"> Se excluyen los registros con información incompleta o inconsistente en las variables relevantes del modelo (condición de informalidad, ingreso, nivel educativo, edad, sexo y estado civil), así como la población económicamente inactiva y los desocupados.</w:t>
      </w:r>
    </w:p>
    <w:p>
      <w:pPr>
        <w:spacing w:after="120"/>
        <w:ind w:firstLine="709"/>
        <w:jc w:val="both"/>
      </w:pPr>
      <w:r>
        <w:rPr>
          <w:rFonts w:ascii="Times New Roman" w:hAnsi="Times New Roman" w:cs="Times New Roman"/>
        </w:rPr>
        <w:t xml:space="preserve">El </w:t>
      </w:r>
      <w:r>
        <w:rPr>
          <w:rFonts w:ascii="Times New Roman" w:hAnsi="Times New Roman" w:cs="Times New Roman"/>
          <w:b/>
        </w:rPr>
        <w:t>tamaño muestral final</w:t>
      </w:r>
      <w:r>
        <w:rPr>
          <w:rFonts w:ascii="Times New Roman" w:hAnsi="Times New Roman" w:cs="Times New Roman"/>
        </w:rPr>
        <w:t xml:space="preserve"> corresponde al número de observaciones válidas de la PEA ocupada de Lima que resultan tras la aplicación de los criterios anteriores sobre los módulos de empleo e ingresos (módulo 500) y las características de los miembros del hogar (módulo 200) de la ENAHO 2024 y 2025. Dado que la ENAHO es una encuesta con muestra anual superior a 36 mil viviendas a nivel nacional, la submuestra de Lima garantiza un número de observaciones suficiente para la estimación robusta de un modelo de elección binaria. Como referencia metodológica, el estudio guía trabajó con muestras nacionales de 64 954 y 61 181 personas para los años analizados (Semestre Económico, 2025).</w:t>
      </w:r>
    </w:p>
    <w:p>
      <w:pPr>
        <w:spacing w:before="160" w:after="80"/>
      </w:pPr>
      <w:r>
        <w:rPr>
          <w:rFonts w:ascii="Times New Roman" w:hAnsi="Times New Roman" w:cs="Times New Roman"/>
          <w:b/>
          <w:i/>
          <w:color w:val="1F4E79"/>
          <w:sz w:val="24"/>
        </w:rPr>
        <w:t>Diseño muestral de la ENAHO</w:t>
      </w:r>
    </w:p>
    <w:p>
      <w:pPr>
        <w:spacing w:after="120"/>
        <w:ind w:firstLine="709"/>
        <w:jc w:val="both"/>
      </w:pPr>
      <w:r>
        <w:rPr>
          <w:rFonts w:ascii="Times New Roman" w:hAnsi="Times New Roman" w:cs="Times New Roman"/>
        </w:rPr>
        <w:t xml:space="preserve">El diseño muestral de la ENAHO es </w:t>
      </w:r>
      <w:r>
        <w:rPr>
          <w:rFonts w:ascii="Times New Roman" w:hAnsi="Times New Roman" w:cs="Times New Roman"/>
          <w:b/>
        </w:rPr>
        <w:t>probabilístico</w:t>
      </w:r>
      <w:r>
        <w:rPr>
          <w:rFonts w:ascii="Times New Roman" w:hAnsi="Times New Roman" w:cs="Times New Roman"/>
        </w:rPr>
        <w:t xml:space="preserve">, de modo que cada unidad de la población tiene una probabilidad conocida y distinta de cero de ser seleccionada; </w:t>
      </w:r>
      <w:r>
        <w:rPr>
          <w:rFonts w:ascii="Times New Roman" w:hAnsi="Times New Roman" w:cs="Times New Roman"/>
          <w:b/>
        </w:rPr>
        <w:t>estratificado</w:t>
      </w:r>
      <w:r>
        <w:rPr>
          <w:rFonts w:ascii="Times New Roman" w:hAnsi="Times New Roman" w:cs="Times New Roman"/>
        </w:rPr>
        <w:t xml:space="preserve">, pues la población se divide en estratos socioeconómica y geográficamente homogéneos antes de la selección; </w:t>
      </w:r>
      <w:r>
        <w:rPr>
          <w:rFonts w:ascii="Times New Roman" w:hAnsi="Times New Roman" w:cs="Times New Roman"/>
          <w:b/>
        </w:rPr>
        <w:t>multietápico</w:t>
      </w:r>
      <w:r>
        <w:rPr>
          <w:rFonts w:ascii="Times New Roman" w:hAnsi="Times New Roman" w:cs="Times New Roman"/>
        </w:rPr>
        <w:t xml:space="preserve">, dado que la selección se realiza en etapas sucesivas; y </w:t>
      </w:r>
      <w:r>
        <w:rPr>
          <w:rFonts w:ascii="Times New Roman" w:hAnsi="Times New Roman" w:cs="Times New Roman"/>
          <w:b/>
        </w:rPr>
        <w:t>de áreas</w:t>
      </w:r>
      <w:r>
        <w:rPr>
          <w:rFonts w:ascii="Times New Roman" w:hAnsi="Times New Roman" w:cs="Times New Roman"/>
        </w:rPr>
        <w:t>, porque las unidades primarias de muestreo corresponden a conglomerados geográficos. En el ámbito urbano, la unidad primaria de muestreo es el conglomerado (aproximadamente 120 viviendas particulares) y la unidad secundaria es la vivienda particular; en el ámbito rural se consideran conglomerados y áreas de empadronamiento rural (INEI, 2025).</w:t>
      </w:r>
    </w:p>
    <w:p>
      <w:pPr>
        <w:spacing w:after="120"/>
        <w:ind w:firstLine="709"/>
        <w:jc w:val="both"/>
      </w:pPr>
      <w:r>
        <w:rPr>
          <w:rFonts w:ascii="Times New Roman" w:hAnsi="Times New Roman" w:cs="Times New Roman"/>
        </w:rPr>
        <w:t xml:space="preserve">La condición probabilística del diseño implica que, para producir estimaciones representativas de la población, cada observación debe ponderarse por su </w:t>
      </w:r>
      <w:r>
        <w:rPr>
          <w:rFonts w:ascii="Times New Roman" w:hAnsi="Times New Roman" w:cs="Times New Roman"/>
          <w:b/>
        </w:rPr>
        <w:t>factor de expansión</w:t>
      </w:r>
      <w:r>
        <w:rPr>
          <w:rFonts w:ascii="Times New Roman" w:hAnsi="Times New Roman" w:cs="Times New Roman"/>
        </w:rPr>
        <w:t>, el cual recoge la probabilidad de selección de la unidad y los ajustes por no respuesta y por proyección de población. En consecuencia, tanto los estadísticos descriptivos como las estimaciones econométricas se calculan incorporando los factores de expansión y el diseño complejo de la muestra, a fin de obtener errores estándar correctos y resultados expandibles a la PEA ocupada del departamento de Lima.</w:t>
      </w:r>
    </w:p>
    <w:p>
      <w:pPr>
        <w:spacing w:after="120"/>
        <w:ind w:firstLine="709"/>
        <w:jc w:val="both"/>
      </w:pPr>
      <w:r>
        <w:rPr>
          <w:rFonts w:ascii="Times New Roman" w:hAnsi="Times New Roman" w:cs="Times New Roman"/>
        </w:rPr>
        <w:t>Aunque la ENAHO proporciona una muestra probabilística cuyo tamaño es suficiente para la inferencia, a título ilustrativo el tamaño muestral mínimo requerido para estimar una proporción poblacional puede aproximarse mediante la expresión para poblaciones grandes:</w:t>
      </w:r>
    </w:p>
    <w:p>
      <w:pPr>
        <w:spacing w:before="80" w:after="120"/>
        <w:jc w:val="center"/>
      </w:pPr>
      <w:r>
        <w:rPr>
          <w:rFonts w:ascii="Times New Roman" w:hAnsi="Times New Roman" w:cs="Times New Roman"/>
          <w:i/>
          <w:sz w:val="24"/>
        </w:rPr>
        <w:t>n = [Z²·p·(1 − p)] / e²</w:t>
      </w:r>
      <w:r>
        <w:rPr>
          <w:rFonts w:ascii="Times New Roman" w:hAnsi="Times New Roman" w:cs="Times New Roman"/>
          <w:i w:val="0"/>
        </w:rPr>
        <w:tab/>
        <w:tab/>
        <w:t>(3.1)</w:t>
      </w:r>
    </w:p>
    <w:p>
      <w:pPr>
        <w:spacing w:after="120"/>
        <w:ind w:firstLine="709"/>
        <w:jc w:val="both"/>
      </w:pPr>
      <w:r>
        <w:rPr>
          <w:rFonts w:ascii="Times New Roman" w:hAnsi="Times New Roman" w:cs="Times New Roman"/>
        </w:rPr>
        <w:t>donde n es el tamaño muestral, Z es el valor de la distribución normal estándar asociado al nivel de confianza (1,96 para el 95 %), p es la proporción esperada de informalidad (que puede fijarse en 0,5 para maximizar el tamaño) y e es el margen de error admisible. Con un nivel de confianza del 95 % y un margen de error del 2 %, el tamaño muestral mínimo resultaría de aproximadamente 2 401 observaciones, ampliamente superado por la submuestra de la PEA ocupada de Lima en la ENAHO, lo que confirma la suficiencia de la muestra para la estimación del modelo.</w:t>
      </w:r>
    </w:p>
    <w:p>
      <w:pPr>
        <w:spacing w:before="200" w:after="120"/>
      </w:pPr>
      <w:r>
        <w:rPr>
          <w:rFonts w:ascii="Times New Roman" w:hAnsi="Times New Roman" w:cs="Times New Roman"/>
          <w:b/>
          <w:color w:val="1F4E79"/>
          <w:sz w:val="26"/>
        </w:rPr>
        <w:t>3.3.3. Unidad de análisis</w:t>
      </w:r>
    </w:p>
    <w:p>
      <w:pPr>
        <w:spacing w:after="120"/>
        <w:ind w:firstLine="709"/>
        <w:jc w:val="both"/>
      </w:pPr>
      <w:r>
        <w:rPr>
          <w:rFonts w:ascii="Times New Roman" w:hAnsi="Times New Roman" w:cs="Times New Roman"/>
        </w:rPr>
        <w:t xml:space="preserve">La </w:t>
      </w:r>
      <w:r>
        <w:rPr>
          <w:rFonts w:ascii="Times New Roman" w:hAnsi="Times New Roman" w:cs="Times New Roman"/>
          <w:b/>
        </w:rPr>
        <w:t>unidad de análisis</w:t>
      </w:r>
      <w:r>
        <w:rPr>
          <w:rFonts w:ascii="Times New Roman" w:hAnsi="Times New Roman" w:cs="Times New Roman"/>
        </w:rPr>
        <w:t xml:space="preserve"> es el </w:t>
      </w:r>
      <w:r>
        <w:rPr>
          <w:rFonts w:ascii="Times New Roman" w:hAnsi="Times New Roman" w:cs="Times New Roman"/>
          <w:b/>
        </w:rPr>
        <w:t>trabajador individual</w:t>
      </w:r>
      <w:r>
        <w:rPr>
          <w:rFonts w:ascii="Times New Roman" w:hAnsi="Times New Roman" w:cs="Times New Roman"/>
        </w:rPr>
        <w:t xml:space="preserve"> perteneciente a la PEA ocupada del departamento de Lima en el periodo 2024-2025. Sobre cada individuo se observa su condición de informalidad laboral y el conjunto de características socioeconómicas y demográficas que constituyen las variables explicativas del modelo.</w:t>
      </w:r>
    </w:p>
    <w:p>
      <w:pPr>
        <w:spacing w:before="200" w:after="120"/>
      </w:pPr>
      <w:r>
        <w:rPr>
          <w:rFonts w:ascii="Times New Roman" w:hAnsi="Times New Roman" w:cs="Times New Roman"/>
          <w:b/>
          <w:color w:val="1F4E79"/>
          <w:sz w:val="26"/>
        </w:rPr>
        <w:t>3.3.4. Ámbito de estudio</w:t>
      </w:r>
    </w:p>
    <w:p>
      <w:pPr>
        <w:spacing w:after="120"/>
        <w:ind w:firstLine="709"/>
        <w:jc w:val="both"/>
      </w:pPr>
      <w:r>
        <w:rPr>
          <w:rFonts w:ascii="Times New Roman" w:hAnsi="Times New Roman" w:cs="Times New Roman"/>
        </w:rPr>
        <w:t xml:space="preserve">El </w:t>
      </w:r>
      <w:r>
        <w:rPr>
          <w:rFonts w:ascii="Times New Roman" w:hAnsi="Times New Roman" w:cs="Times New Roman"/>
          <w:b/>
        </w:rPr>
        <w:t>ámbito de estudio</w:t>
      </w:r>
      <w:r>
        <w:rPr>
          <w:rFonts w:ascii="Times New Roman" w:hAnsi="Times New Roman" w:cs="Times New Roman"/>
        </w:rPr>
        <w:t xml:space="preserve"> es el </w:t>
      </w:r>
      <w:r>
        <w:rPr>
          <w:rFonts w:ascii="Times New Roman" w:hAnsi="Times New Roman" w:cs="Times New Roman"/>
          <w:b/>
        </w:rPr>
        <w:t>departamento de Lima</w:t>
      </w:r>
      <w:r>
        <w:rPr>
          <w:rFonts w:ascii="Times New Roman" w:hAnsi="Times New Roman" w:cs="Times New Roman"/>
        </w:rPr>
        <w:t>, ubicado en la costa central del Perú. Su elección obedece a su relevancia económica y demográfica: concentra alrededor de un tercio de la población nacional y aporta cerca de la mitad del producto bruto interno del país, además de albergar la mayor parte de la actividad empresarial formal, de la oferta de educación superior y de los servicios modernos (INEI, 2025). El departamento de Lima comprende tanto a Lima Metropolitana —área predominantemente urbana y de elevada densidad empresarial— como a las provincias de Lima, de carácter más rural y agrario, lo que configura un territorio heterogéneo en el que coexisten realidades laborales diversas.</w:t>
      </w:r>
    </w:p>
    <w:p>
      <w:pPr>
        <w:spacing w:after="160"/>
        <w:ind w:firstLine="709"/>
        <w:jc w:val="both"/>
      </w:pPr>
      <w:r>
        <w:rPr>
          <w:rFonts w:ascii="Times New Roman" w:hAnsi="Times New Roman" w:cs="Times New Roman"/>
        </w:rPr>
        <w:t>Esta heterogeneidad interna hace del departamento de Lima un ámbito particularmente idóneo para el estudio de los determinantes individuales de la informalidad: a diferencia de las regiones predominantemente rurales, donde la informalidad se explica en gran medida por la estructura productiva agraria, en Lima la informalidad convive con un tejido económico moderno, de modo que sus determinantes deben buscarse en mayor medida en las características socioeconómicas de los trabajadores —ingreso, educación y atributos demográficos—, que son precisamente las variables del presente modelo.</w:t>
      </w:r>
    </w:p>
    <w:p>
      <w:pPr>
        <w:spacing w:before="240" w:after="160"/>
      </w:pPr>
      <w:r>
        <w:rPr>
          <w:rFonts w:ascii="Times New Roman" w:hAnsi="Times New Roman" w:cs="Times New Roman"/>
          <w:b/>
          <w:color w:val="1F4E79"/>
          <w:sz w:val="28"/>
        </w:rPr>
        <w:t>3.4. Operacionalización de las variables</w:t>
      </w:r>
    </w:p>
    <w:p>
      <w:pPr>
        <w:spacing w:after="120"/>
        <w:ind w:firstLine="709"/>
        <w:jc w:val="both"/>
      </w:pPr>
      <w:r>
        <w:rPr>
          <w:rFonts w:ascii="Times New Roman" w:hAnsi="Times New Roman" w:cs="Times New Roman"/>
        </w:rPr>
        <w:t>El estudio considera una variable dependiente dicotómica (la condición de empleo informal), dos variables independientes asociadas directamente a las hipótesis principales (el nivel de ingresos y el nivel educativo) y un conjunto de variables de control de naturaleza demográfica (edad, sexo y estado civil). La operacionalización de cada variable se detalla a continuación y se sintetiza en la Tabla 1.</w:t>
      </w:r>
    </w:p>
    <w:p>
      <w:pPr>
        <w:spacing w:before="200" w:after="120"/>
      </w:pPr>
      <w:r>
        <w:rPr>
          <w:rFonts w:ascii="Times New Roman" w:hAnsi="Times New Roman" w:cs="Times New Roman"/>
          <w:b/>
          <w:color w:val="1F4E79"/>
          <w:sz w:val="26"/>
        </w:rPr>
        <w:t>3.4.1. Variable dependiente: empleo informal</w:t>
      </w:r>
    </w:p>
    <w:p>
      <w:pPr>
        <w:spacing w:after="120"/>
        <w:ind w:firstLine="709"/>
        <w:jc w:val="both"/>
      </w:pPr>
      <w:r>
        <w:rPr>
          <w:rFonts w:ascii="Times New Roman" w:hAnsi="Times New Roman" w:cs="Times New Roman"/>
        </w:rPr>
        <w:t xml:space="preserve">La variable dependiente es la </w:t>
      </w:r>
      <w:r>
        <w:rPr>
          <w:rFonts w:ascii="Times New Roman" w:hAnsi="Times New Roman" w:cs="Times New Roman"/>
          <w:b/>
        </w:rPr>
        <w:t>condición de empleo informal</w:t>
      </w:r>
      <w:r>
        <w:rPr>
          <w:rFonts w:ascii="Times New Roman" w:hAnsi="Times New Roman" w:cs="Times New Roman"/>
        </w:rPr>
        <w:t xml:space="preserve"> del trabajador, definida conforme a los criterios de la Organización Internacional del Trabajo y del INEI: se considera informal al ocupado cuyo puesto de trabajo no se encuentra sujeto a la legislación laboral nacional y, por tanto, carece de protección social y de beneficios laborales (INEI, 2025). Operativamente, se construye como una </w:t>
      </w:r>
      <w:r>
        <w:rPr>
          <w:rFonts w:ascii="Times New Roman" w:hAnsi="Times New Roman" w:cs="Times New Roman"/>
          <w:b/>
        </w:rPr>
        <w:t>variable dicotómica (binaria)</w:t>
      </w:r>
      <w:r>
        <w:rPr>
          <w:rFonts w:ascii="Times New Roman" w:hAnsi="Times New Roman" w:cs="Times New Roman"/>
        </w:rPr>
        <w:t xml:space="preserve"> que toma el valor de 1 cuando el trabajador es informal —no cuenta con un contrato laboral ni con acceso a la seguridad social— y el valor de 0 cuando es formal:</w:t>
      </w:r>
    </w:p>
    <w:p>
      <w:pPr>
        <w:spacing w:before="80" w:after="120"/>
        <w:jc w:val="center"/>
      </w:pPr>
      <w:r>
        <w:rPr>
          <w:rFonts w:ascii="Times New Roman" w:hAnsi="Times New Roman" w:cs="Times New Roman"/>
          <w:i/>
          <w:sz w:val="24"/>
        </w:rPr>
        <w:t>Informalᵢ = 1  si el trabajador i es informal;   Informalᵢ = 0  si es formal</w:t>
      </w:r>
      <w:r>
        <w:rPr>
          <w:rFonts w:ascii="Times New Roman" w:hAnsi="Times New Roman" w:cs="Times New Roman"/>
          <w:i w:val="0"/>
        </w:rPr>
        <w:tab/>
        <w:tab/>
        <w:t>(3.2)</w:t>
      </w:r>
    </w:p>
    <w:p>
      <w:pPr>
        <w:spacing w:before="200" w:after="120"/>
      </w:pPr>
      <w:r>
        <w:rPr>
          <w:rFonts w:ascii="Times New Roman" w:hAnsi="Times New Roman" w:cs="Times New Roman"/>
          <w:b/>
          <w:color w:val="1F4E79"/>
          <w:sz w:val="26"/>
        </w:rPr>
        <w:t>3.4.2. Variables independientes</w:t>
      </w:r>
    </w:p>
    <w:p>
      <w:pPr>
        <w:spacing w:after="120"/>
        <w:ind w:firstLine="709"/>
        <w:jc w:val="both"/>
      </w:pPr>
      <w:r>
        <w:rPr>
          <w:rFonts w:ascii="Times New Roman" w:hAnsi="Times New Roman" w:cs="Times New Roman"/>
        </w:rPr>
      </w:r>
      <w:r>
        <w:rPr>
          <w:rFonts w:ascii="Times New Roman" w:hAnsi="Times New Roman" w:cs="Times New Roman"/>
          <w:b/>
        </w:rPr>
        <w:t>a) Nivel de ingresos.</w:t>
      </w:r>
      <w:r>
        <w:rPr>
          <w:rFonts w:ascii="Times New Roman" w:hAnsi="Times New Roman" w:cs="Times New Roman"/>
        </w:rPr>
        <w:t xml:space="preserve"> Recoge el nivel de ingreso laboral del trabajador. Siguiendo la matriz de consistencia del estudio, se operacionaliza como una variable dicotómica construida con relación a la </w:t>
      </w:r>
      <w:r>
        <w:rPr>
          <w:rFonts w:ascii="Times New Roman" w:hAnsi="Times New Roman" w:cs="Times New Roman"/>
          <w:b/>
        </w:rPr>
        <w:t>Remuneración Mínima Vital (RMV)</w:t>
      </w:r>
      <w:r>
        <w:rPr>
          <w:rFonts w:ascii="Times New Roman" w:hAnsi="Times New Roman" w:cs="Times New Roman"/>
        </w:rPr>
        <w:t xml:space="preserve">: toma el valor de 0 cuando el ingreso del trabajador es menor a la RMV y el valor de 1 cuando es mayor o igual a la RMV. Esta variable permite contrastar la hipótesis de que un mayor nivel de ingresos reduce la probabilidad de informalidad; por ello, se espera que su coeficiente presente </w:t>
      </w:r>
      <w:r>
        <w:rPr>
          <w:rFonts w:ascii="Times New Roman" w:hAnsi="Times New Roman" w:cs="Times New Roman"/>
          <w:b/>
        </w:rPr>
        <w:t>signo negativo</w:t>
      </w:r>
      <w:r>
        <w:rPr>
          <w:rFonts w:ascii="Times New Roman" w:hAnsi="Times New Roman" w:cs="Times New Roman"/>
        </w:rPr>
        <w:t>.</w:t>
      </w:r>
    </w:p>
    <w:p>
      <w:pPr>
        <w:spacing w:after="120"/>
        <w:ind w:firstLine="709"/>
        <w:jc w:val="both"/>
      </w:pPr>
      <w:r>
        <w:rPr>
          <w:rFonts w:ascii="Times New Roman" w:hAnsi="Times New Roman" w:cs="Times New Roman"/>
        </w:rPr>
      </w:r>
      <w:r>
        <w:rPr>
          <w:rFonts w:ascii="Times New Roman" w:hAnsi="Times New Roman" w:cs="Times New Roman"/>
          <w:b/>
        </w:rPr>
        <w:t>b) Nivel educativo.</w:t>
      </w:r>
      <w:r>
        <w:rPr>
          <w:rFonts w:ascii="Times New Roman" w:hAnsi="Times New Roman" w:cs="Times New Roman"/>
        </w:rPr>
        <w:t xml:space="preserve"> Mide el máximo nivel educativo alcanzado por el trabajador. Se operacionaliza como una variable </w:t>
      </w:r>
      <w:r>
        <w:rPr>
          <w:rFonts w:ascii="Times New Roman" w:hAnsi="Times New Roman" w:cs="Times New Roman"/>
          <w:b/>
        </w:rPr>
        <w:t>categórica</w:t>
      </w:r>
      <w:r>
        <w:rPr>
          <w:rFonts w:ascii="Times New Roman" w:hAnsi="Times New Roman" w:cs="Times New Roman"/>
        </w:rPr>
        <w:t xml:space="preserve"> con cuatro niveles —primaria, secundaria, superior no universitaria y superior universitaria—, que en la estimación se introduce mediante variables dicotómicas (dummies), tomando la categoría de menor nivel como referencia. De acuerdo con la teoría del capital humano, se espera que a mayor nivel educativo disminuya la probabilidad de informalidad; por ello, el coeficiente esperado es de </w:t>
      </w:r>
      <w:r>
        <w:rPr>
          <w:rFonts w:ascii="Times New Roman" w:hAnsi="Times New Roman" w:cs="Times New Roman"/>
          <w:b/>
        </w:rPr>
        <w:t>signo negativo</w:t>
      </w:r>
      <w:r>
        <w:rPr>
          <w:rFonts w:ascii="Times New Roman" w:hAnsi="Times New Roman" w:cs="Times New Roman"/>
        </w:rPr>
        <w:t>.</w:t>
      </w:r>
    </w:p>
    <w:p>
      <w:pPr>
        <w:spacing w:after="120"/>
        <w:ind w:firstLine="709"/>
        <w:jc w:val="both"/>
      </w:pPr>
      <w:r>
        <w:rPr>
          <w:rFonts w:ascii="Times New Roman" w:hAnsi="Times New Roman" w:cs="Times New Roman"/>
        </w:rPr>
        <w:t xml:space="preserve">En términos operativos, a partir de la variable categórica de nivel educativo se construyen tres variables dicotómicas —secundaria, superior no universitaria y superior universitaria—, dejando la categoría «primaria o menos» como </w:t>
      </w:r>
      <w:r>
        <w:rPr>
          <w:rFonts w:ascii="Times New Roman" w:hAnsi="Times New Roman" w:cs="Times New Roman"/>
          <w:b/>
        </w:rPr>
        <w:t>categoría de referencia (base)</w:t>
      </w:r>
      <w:r>
        <w:rPr>
          <w:rFonts w:ascii="Times New Roman" w:hAnsi="Times New Roman" w:cs="Times New Roman"/>
        </w:rPr>
        <w:t>. De este modo, cada coeficiente estimado mide el efecto de alcanzar el nivel educativo correspondiente respecto de contar únicamente con educación primaria, lo que permite una interpretación directa del gradiente educativo de la informalidad. La omisión de una categoría es necesaria para evitar la trampa de las variables dicotómicas (multicolinealidad perfecta).</w:t>
      </w:r>
    </w:p>
    <w:p>
      <w:pPr>
        <w:spacing w:before="200" w:after="120"/>
      </w:pPr>
      <w:r>
        <w:rPr>
          <w:rFonts w:ascii="Times New Roman" w:hAnsi="Times New Roman" w:cs="Times New Roman"/>
          <w:b/>
          <w:color w:val="1F4E79"/>
          <w:sz w:val="26"/>
        </w:rPr>
        <w:t>3.4.3. Variables de control</w:t>
      </w:r>
    </w:p>
    <w:p>
      <w:pPr>
        <w:spacing w:after="120"/>
        <w:ind w:firstLine="709"/>
        <w:jc w:val="both"/>
      </w:pPr>
      <w:r>
        <w:rPr>
          <w:rFonts w:ascii="Times New Roman" w:hAnsi="Times New Roman" w:cs="Times New Roman"/>
        </w:rPr>
        <w:t xml:space="preserve">Para aislar el efecto de las variables de interés y reducir el sesgo por variables omitidas, el modelo incorpora un conjunto de </w:t>
      </w:r>
      <w:r>
        <w:rPr>
          <w:rFonts w:ascii="Times New Roman" w:hAnsi="Times New Roman" w:cs="Times New Roman"/>
          <w:b/>
        </w:rPr>
        <w:t>variables de control</w:t>
      </w:r>
      <w:r>
        <w:rPr>
          <w:rFonts w:ascii="Times New Roman" w:hAnsi="Times New Roman" w:cs="Times New Roman"/>
        </w:rPr>
        <w:t xml:space="preserve"> de carácter demográfico, que la literatura identifica como determinantes relevantes de la informalidad (Semestre Económico, 2025):</w:t>
      </w:r>
    </w:p>
    <w:p>
      <w:pPr>
        <w:pStyle w:val="ListBullet"/>
        <w:spacing w:after="60"/>
        <w:jc w:val="both"/>
      </w:pPr>
      <w:r>
        <w:rPr>
          <w:rFonts w:ascii="Times New Roman" w:hAnsi="Times New Roman" w:cs="Times New Roman"/>
        </w:rPr>
      </w:r>
      <w:r>
        <w:rPr>
          <w:rFonts w:ascii="Times New Roman" w:hAnsi="Times New Roman" w:cs="Times New Roman"/>
          <w:b/>
        </w:rPr>
        <w:t>Edad.</w:t>
      </w:r>
      <w:r>
        <w:rPr>
          <w:rFonts w:ascii="Times New Roman" w:hAnsi="Times New Roman" w:cs="Times New Roman"/>
        </w:rPr>
        <w:t xml:space="preserve"> Medida en número de años cumplidos. Para capturar la relación no lineal (en forma de U) entre edad e informalidad documentada por la evidencia, se incluye adicionalmente el término cuadrático de la edad (edad²).</w:t>
      </w:r>
    </w:p>
    <w:p>
      <w:pPr>
        <w:pStyle w:val="ListBullet"/>
        <w:spacing w:after="60"/>
        <w:jc w:val="both"/>
      </w:pPr>
      <w:r>
        <w:rPr>
          <w:rFonts w:ascii="Times New Roman" w:hAnsi="Times New Roman" w:cs="Times New Roman"/>
        </w:rPr>
      </w:r>
      <w:r>
        <w:rPr>
          <w:rFonts w:ascii="Times New Roman" w:hAnsi="Times New Roman" w:cs="Times New Roman"/>
          <w:b/>
        </w:rPr>
        <w:t>Sexo (género).</w:t>
      </w:r>
      <w:r>
        <w:rPr>
          <w:rFonts w:ascii="Times New Roman" w:hAnsi="Times New Roman" w:cs="Times New Roman"/>
        </w:rPr>
        <w:t xml:space="preserve"> Variable dicotómica que toma el valor de 0 para los hombres y de 1 para las mujeres.</w:t>
      </w:r>
    </w:p>
    <w:p>
      <w:pPr>
        <w:pStyle w:val="ListBullet"/>
        <w:spacing w:after="60"/>
        <w:jc w:val="both"/>
      </w:pPr>
      <w:r>
        <w:rPr>
          <w:rFonts w:ascii="Times New Roman" w:hAnsi="Times New Roman" w:cs="Times New Roman"/>
        </w:rPr>
      </w:r>
      <w:r>
        <w:rPr>
          <w:rFonts w:ascii="Times New Roman" w:hAnsi="Times New Roman" w:cs="Times New Roman"/>
          <w:b/>
        </w:rPr>
        <w:t>Estado civil.</w:t>
      </w:r>
      <w:r>
        <w:rPr>
          <w:rFonts w:ascii="Times New Roman" w:hAnsi="Times New Roman" w:cs="Times New Roman"/>
        </w:rPr>
        <w:t xml:space="preserve"> Variable dicotómica que toma el valor de 1 para las personas casadas y de 0 para las no casadas (convivientes, viudas, divorciadas, separadas y solteras).</w:t>
      </w:r>
    </w:p>
    <w:p>
      <w:pPr>
        <w:spacing w:after="120"/>
        <w:ind w:firstLine="709"/>
        <w:jc w:val="both"/>
      </w:pPr>
      <w:r>
        <w:rPr>
          <w:rFonts w:ascii="Times New Roman" w:hAnsi="Times New Roman" w:cs="Times New Roman"/>
        </w:rPr>
        <w:t xml:space="preserve">La elección y el signo esperado de cada variable se fundamentan en el marco teórico. Conforme a la </w:t>
      </w:r>
      <w:r>
        <w:rPr>
          <w:rFonts w:ascii="Times New Roman" w:hAnsi="Times New Roman" w:cs="Times New Roman"/>
          <w:b/>
        </w:rPr>
        <w:t>teoría del capital humano</w:t>
      </w:r>
      <w:r>
        <w:rPr>
          <w:rFonts w:ascii="Times New Roman" w:hAnsi="Times New Roman" w:cs="Times New Roman"/>
        </w:rPr>
        <w:t xml:space="preserve"> (Becker, 1964), una mayor inversión en educación incrementa la productividad del trabajador y su acceso a empleos formales, por lo que el nivel educativo debe asociarse negativamente con la informalidad. La </w:t>
      </w:r>
      <w:r>
        <w:rPr>
          <w:rFonts w:ascii="Times New Roman" w:hAnsi="Times New Roman" w:cs="Times New Roman"/>
          <w:b/>
        </w:rPr>
        <w:t>teoría de la segmentación del mercado laboral</w:t>
      </w:r>
      <w:r>
        <w:rPr>
          <w:rFonts w:ascii="Times New Roman" w:hAnsi="Times New Roman" w:cs="Times New Roman"/>
        </w:rPr>
        <w:t xml:space="preserve"> (Doeringer y Piore, 1971) sostiene que las barreras de capital humano e ingreso impiden el tránsito hacia el sector formal, de modo que un mayor nivel de ingresos reduce la probabilidad de informalidad. Finalmente, la misma teoría reconoce que el acceso al empleo formal depende también de factores demográficos: se espera que las mujeres presenten mayor probabilidad de informalidad (signo positivo del sexo), que la edad describa una relación no lineal en forma de U y que el estado civil ejerza un efecto ambiguo, según predomine la mayor necesidad de estabilidad de ingresos de las personas casadas o su mayor dedicación al trabajo no remunerado del hogar.</w:t>
      </w:r>
    </w:p>
    <w:p>
      <w:pPr>
        <w:spacing w:before="200" w:after="40"/>
      </w:pPr>
      <w:r>
        <w:rPr>
          <w:rFonts w:ascii="Times New Roman" w:hAnsi="Times New Roman" w:cs="Times New Roman"/>
          <w:b/>
          <w:sz w:val="22"/>
        </w:rPr>
        <w:t>Tabla 1</w:t>
      </w:r>
    </w:p>
    <w:p>
      <w:pPr>
        <w:spacing w:after="80"/>
      </w:pPr>
      <w:r>
        <w:rPr>
          <w:rFonts w:ascii="Times New Roman" w:hAnsi="Times New Roman" w:cs="Times New Roman"/>
          <w:i/>
          <w:sz w:val="22"/>
        </w:rPr>
        <w:t>Operacionalización de las variables del estudio</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928"/>
            <w:shd w:val="clear" w:fill="1F4E79"/>
          </w:tcPr>
          <w:p>
            <w:pPr>
              <w:spacing w:line="240" w:lineRule="auto"/>
              <w:jc w:val="center"/>
            </w:pPr>
            <w:r>
              <w:rPr>
                <w:rFonts w:ascii="Times New Roman" w:hAnsi="Times New Roman" w:cs="Times New Roman"/>
                <w:b/>
                <w:color w:val="FFFFFF"/>
                <w:sz w:val="18"/>
              </w:rPr>
              <w:t>Variable</w:t>
            </w:r>
          </w:p>
        </w:tc>
        <w:tc>
          <w:tcPr>
            <w:tcW w:type="dxa" w:w="1134"/>
            <w:shd w:val="clear" w:fill="1F4E79"/>
          </w:tcPr>
          <w:p>
            <w:pPr>
              <w:spacing w:line="240" w:lineRule="auto"/>
              <w:jc w:val="center"/>
            </w:pPr>
            <w:r>
              <w:rPr>
                <w:rFonts w:ascii="Times New Roman" w:hAnsi="Times New Roman" w:cs="Times New Roman"/>
                <w:b/>
                <w:color w:val="FFFFFF"/>
                <w:sz w:val="18"/>
              </w:rPr>
              <w:t>Tipo</w:t>
            </w:r>
          </w:p>
        </w:tc>
        <w:tc>
          <w:tcPr>
            <w:tcW w:type="dxa" w:w="2268"/>
            <w:shd w:val="clear" w:fill="1F4E79"/>
          </w:tcPr>
          <w:p>
            <w:pPr>
              <w:spacing w:line="240" w:lineRule="auto"/>
              <w:jc w:val="center"/>
            </w:pPr>
            <w:r>
              <w:rPr>
                <w:rFonts w:ascii="Times New Roman" w:hAnsi="Times New Roman" w:cs="Times New Roman"/>
                <w:b/>
                <w:color w:val="FFFFFF"/>
                <w:sz w:val="18"/>
              </w:rPr>
              <w:t>Indicador / medición</w:t>
            </w:r>
          </w:p>
        </w:tc>
        <w:tc>
          <w:tcPr>
            <w:tcW w:type="dxa" w:w="2608"/>
            <w:shd w:val="clear" w:fill="1F4E79"/>
          </w:tcPr>
          <w:p>
            <w:pPr>
              <w:spacing w:line="240" w:lineRule="auto"/>
              <w:jc w:val="center"/>
            </w:pPr>
            <w:r>
              <w:rPr>
                <w:rFonts w:ascii="Times New Roman" w:hAnsi="Times New Roman" w:cs="Times New Roman"/>
                <w:b/>
                <w:color w:val="FFFFFF"/>
                <w:sz w:val="18"/>
              </w:rPr>
              <w:t>Codificación</w:t>
            </w:r>
          </w:p>
        </w:tc>
        <w:tc>
          <w:tcPr>
            <w:tcW w:type="dxa" w:w="907"/>
            <w:shd w:val="clear" w:fill="1F4E79"/>
          </w:tcPr>
          <w:p>
            <w:pPr>
              <w:spacing w:line="240" w:lineRule="auto"/>
              <w:jc w:val="center"/>
            </w:pPr>
            <w:r>
              <w:rPr>
                <w:rFonts w:ascii="Times New Roman" w:hAnsi="Times New Roman" w:cs="Times New Roman"/>
                <w:b/>
                <w:color w:val="FFFFFF"/>
                <w:sz w:val="18"/>
              </w:rPr>
              <w:t>Signo esp.</w:t>
            </w:r>
          </w:p>
        </w:tc>
      </w:tr>
      <w:tr>
        <w:tc>
          <w:tcPr>
            <w:tcW w:type="dxa" w:w="1928"/>
          </w:tcPr>
          <w:p>
            <w:pPr>
              <w:spacing w:line="240" w:lineRule="auto"/>
              <w:jc w:val="left"/>
            </w:pPr>
            <w:r>
              <w:rPr>
                <w:rFonts w:ascii="Times New Roman" w:hAnsi="Times New Roman" w:cs="Times New Roman"/>
                <w:sz w:val="18"/>
              </w:rPr>
              <w:t>Empleo informal (dependiente)</w:t>
            </w:r>
          </w:p>
        </w:tc>
        <w:tc>
          <w:tcPr>
            <w:tcW w:type="dxa" w:w="1134"/>
          </w:tcPr>
          <w:p>
            <w:pPr>
              <w:spacing w:line="240" w:lineRule="auto"/>
              <w:jc w:val="left"/>
            </w:pPr>
            <w:r>
              <w:rPr>
                <w:rFonts w:ascii="Times New Roman" w:hAnsi="Times New Roman" w:cs="Times New Roman"/>
                <w:sz w:val="18"/>
              </w:rPr>
              <w:t>Dicotómica</w:t>
            </w:r>
          </w:p>
        </w:tc>
        <w:tc>
          <w:tcPr>
            <w:tcW w:type="dxa" w:w="2268"/>
          </w:tcPr>
          <w:p>
            <w:pPr>
              <w:spacing w:line="240" w:lineRule="auto"/>
              <w:jc w:val="left"/>
            </w:pPr>
            <w:r>
              <w:rPr>
                <w:rFonts w:ascii="Times New Roman" w:hAnsi="Times New Roman" w:cs="Times New Roman"/>
                <w:sz w:val="18"/>
              </w:rPr>
              <w:t>Condición de informalidad del puesto de trabajo</w:t>
            </w:r>
          </w:p>
        </w:tc>
        <w:tc>
          <w:tcPr>
            <w:tcW w:type="dxa" w:w="2608"/>
          </w:tcPr>
          <w:p>
            <w:pPr>
              <w:spacing w:line="240" w:lineRule="auto"/>
              <w:jc w:val="left"/>
            </w:pPr>
            <w:r>
              <w:rPr>
                <w:rFonts w:ascii="Times New Roman" w:hAnsi="Times New Roman" w:cs="Times New Roman"/>
                <w:sz w:val="18"/>
              </w:rPr>
              <w:t>1 = informal; 0 = formal</w:t>
            </w:r>
          </w:p>
        </w:tc>
        <w:tc>
          <w:tcPr>
            <w:tcW w:type="dxa" w:w="907"/>
          </w:tcPr>
          <w:p>
            <w:pPr>
              <w:spacing w:line="240" w:lineRule="auto"/>
              <w:jc w:val="left"/>
            </w:pPr>
            <w:r>
              <w:rPr>
                <w:rFonts w:ascii="Times New Roman" w:hAnsi="Times New Roman" w:cs="Times New Roman"/>
                <w:sz w:val="18"/>
              </w:rPr>
              <w:t>—</w:t>
            </w:r>
          </w:p>
        </w:tc>
      </w:tr>
      <w:tr>
        <w:tc>
          <w:tcPr>
            <w:tcW w:type="dxa" w:w="1928"/>
            <w:shd w:val="clear" w:fill="EAF1F8"/>
          </w:tcPr>
          <w:p>
            <w:pPr>
              <w:spacing w:line="240" w:lineRule="auto"/>
              <w:jc w:val="left"/>
            </w:pPr>
            <w:r>
              <w:rPr>
                <w:rFonts w:ascii="Times New Roman" w:hAnsi="Times New Roman" w:cs="Times New Roman"/>
                <w:sz w:val="18"/>
              </w:rPr>
              <w:t>Nivel de ingresos (independiente)</w:t>
            </w:r>
          </w:p>
        </w:tc>
        <w:tc>
          <w:tcPr>
            <w:tcW w:type="dxa" w:w="1134"/>
            <w:shd w:val="clear" w:fill="EAF1F8"/>
          </w:tcPr>
          <w:p>
            <w:pPr>
              <w:spacing w:line="240" w:lineRule="auto"/>
              <w:jc w:val="left"/>
            </w:pPr>
            <w:r>
              <w:rPr>
                <w:rFonts w:ascii="Times New Roman" w:hAnsi="Times New Roman" w:cs="Times New Roman"/>
                <w:sz w:val="18"/>
              </w:rPr>
              <w:t>Dicotómica</w:t>
            </w:r>
          </w:p>
        </w:tc>
        <w:tc>
          <w:tcPr>
            <w:tcW w:type="dxa" w:w="2268"/>
            <w:shd w:val="clear" w:fill="EAF1F8"/>
          </w:tcPr>
          <w:p>
            <w:pPr>
              <w:spacing w:line="240" w:lineRule="auto"/>
              <w:jc w:val="left"/>
            </w:pPr>
            <w:r>
              <w:rPr>
                <w:rFonts w:ascii="Times New Roman" w:hAnsi="Times New Roman" w:cs="Times New Roman"/>
                <w:sz w:val="18"/>
              </w:rPr>
              <w:t>Ingreso laboral respecto de la RMV</w:t>
            </w:r>
          </w:p>
        </w:tc>
        <w:tc>
          <w:tcPr>
            <w:tcW w:type="dxa" w:w="2608"/>
            <w:shd w:val="clear" w:fill="EAF1F8"/>
          </w:tcPr>
          <w:p>
            <w:pPr>
              <w:spacing w:line="240" w:lineRule="auto"/>
              <w:jc w:val="left"/>
            </w:pPr>
            <w:r>
              <w:rPr>
                <w:rFonts w:ascii="Times New Roman" w:hAnsi="Times New Roman" w:cs="Times New Roman"/>
                <w:sz w:val="18"/>
              </w:rPr>
              <w:t>0 = menor a la RMV; 1 = mayor o igual a la RMV</w:t>
            </w:r>
          </w:p>
        </w:tc>
        <w:tc>
          <w:tcPr>
            <w:tcW w:type="dxa" w:w="907"/>
            <w:shd w:val="clear" w:fill="EAF1F8"/>
          </w:tcPr>
          <w:p>
            <w:pPr>
              <w:spacing w:line="240" w:lineRule="auto"/>
              <w:jc w:val="left"/>
            </w:pPr>
            <w:r>
              <w:rPr>
                <w:rFonts w:ascii="Times New Roman" w:hAnsi="Times New Roman" w:cs="Times New Roman"/>
                <w:sz w:val="18"/>
              </w:rPr>
              <w:t>(−)</w:t>
            </w:r>
          </w:p>
        </w:tc>
      </w:tr>
      <w:tr>
        <w:tc>
          <w:tcPr>
            <w:tcW w:type="dxa" w:w="1928"/>
          </w:tcPr>
          <w:p>
            <w:pPr>
              <w:spacing w:line="240" w:lineRule="auto"/>
              <w:jc w:val="left"/>
            </w:pPr>
            <w:r>
              <w:rPr>
                <w:rFonts w:ascii="Times New Roman" w:hAnsi="Times New Roman" w:cs="Times New Roman"/>
                <w:sz w:val="18"/>
              </w:rPr>
              <w:t>Nivel educativo (independiente)</w:t>
            </w:r>
          </w:p>
        </w:tc>
        <w:tc>
          <w:tcPr>
            <w:tcW w:type="dxa" w:w="1134"/>
          </w:tcPr>
          <w:p>
            <w:pPr>
              <w:spacing w:line="240" w:lineRule="auto"/>
              <w:jc w:val="left"/>
            </w:pPr>
            <w:r>
              <w:rPr>
                <w:rFonts w:ascii="Times New Roman" w:hAnsi="Times New Roman" w:cs="Times New Roman"/>
                <w:sz w:val="18"/>
              </w:rPr>
              <w:t>Categórica</w:t>
            </w:r>
          </w:p>
        </w:tc>
        <w:tc>
          <w:tcPr>
            <w:tcW w:type="dxa" w:w="2268"/>
          </w:tcPr>
          <w:p>
            <w:pPr>
              <w:spacing w:line="240" w:lineRule="auto"/>
              <w:jc w:val="left"/>
            </w:pPr>
            <w:r>
              <w:rPr>
                <w:rFonts w:ascii="Times New Roman" w:hAnsi="Times New Roman" w:cs="Times New Roman"/>
                <w:sz w:val="18"/>
              </w:rPr>
              <w:t>Máximo nivel educativo alcanzado</w:t>
            </w:r>
          </w:p>
        </w:tc>
        <w:tc>
          <w:tcPr>
            <w:tcW w:type="dxa" w:w="2608"/>
          </w:tcPr>
          <w:p>
            <w:pPr>
              <w:spacing w:line="240" w:lineRule="auto"/>
              <w:jc w:val="left"/>
            </w:pPr>
            <w:r>
              <w:rPr>
                <w:rFonts w:ascii="Times New Roman" w:hAnsi="Times New Roman" w:cs="Times New Roman"/>
                <w:sz w:val="18"/>
              </w:rPr>
              <w:t>Primaria / secundaria / superior no univ. / superior univ.</w:t>
            </w:r>
          </w:p>
        </w:tc>
        <w:tc>
          <w:tcPr>
            <w:tcW w:type="dxa" w:w="907"/>
          </w:tcPr>
          <w:p>
            <w:pPr>
              <w:spacing w:line="240" w:lineRule="auto"/>
              <w:jc w:val="left"/>
            </w:pPr>
            <w:r>
              <w:rPr>
                <w:rFonts w:ascii="Times New Roman" w:hAnsi="Times New Roman" w:cs="Times New Roman"/>
                <w:sz w:val="18"/>
              </w:rPr>
              <w:t>(−)</w:t>
            </w:r>
          </w:p>
        </w:tc>
      </w:tr>
      <w:tr>
        <w:tc>
          <w:tcPr>
            <w:tcW w:type="dxa" w:w="1928"/>
            <w:shd w:val="clear" w:fill="EAF1F8"/>
          </w:tcPr>
          <w:p>
            <w:pPr>
              <w:spacing w:line="240" w:lineRule="auto"/>
              <w:jc w:val="left"/>
            </w:pPr>
            <w:r>
              <w:rPr>
                <w:rFonts w:ascii="Times New Roman" w:hAnsi="Times New Roman" w:cs="Times New Roman"/>
                <w:sz w:val="18"/>
              </w:rPr>
              <w:t>Edad (control)</w:t>
            </w:r>
          </w:p>
        </w:tc>
        <w:tc>
          <w:tcPr>
            <w:tcW w:type="dxa" w:w="1134"/>
            <w:shd w:val="clear" w:fill="EAF1F8"/>
          </w:tcPr>
          <w:p>
            <w:pPr>
              <w:spacing w:line="240" w:lineRule="auto"/>
              <w:jc w:val="left"/>
            </w:pPr>
            <w:r>
              <w:rPr>
                <w:rFonts w:ascii="Times New Roman" w:hAnsi="Times New Roman" w:cs="Times New Roman"/>
                <w:sz w:val="18"/>
              </w:rPr>
              <w:t>Continua</w:t>
            </w:r>
          </w:p>
        </w:tc>
        <w:tc>
          <w:tcPr>
            <w:tcW w:type="dxa" w:w="2268"/>
            <w:shd w:val="clear" w:fill="EAF1F8"/>
          </w:tcPr>
          <w:p>
            <w:pPr>
              <w:spacing w:line="240" w:lineRule="auto"/>
              <w:jc w:val="left"/>
            </w:pPr>
            <w:r>
              <w:rPr>
                <w:rFonts w:ascii="Times New Roman" w:hAnsi="Times New Roman" w:cs="Times New Roman"/>
                <w:sz w:val="18"/>
              </w:rPr>
              <w:t>Años cumplidos (y edad²)</w:t>
            </w:r>
          </w:p>
        </w:tc>
        <w:tc>
          <w:tcPr>
            <w:tcW w:type="dxa" w:w="2608"/>
            <w:shd w:val="clear" w:fill="EAF1F8"/>
          </w:tcPr>
          <w:p>
            <w:pPr>
              <w:spacing w:line="240" w:lineRule="auto"/>
              <w:jc w:val="left"/>
            </w:pPr>
            <w:r>
              <w:rPr>
                <w:rFonts w:ascii="Times New Roman" w:hAnsi="Times New Roman" w:cs="Times New Roman"/>
                <w:sz w:val="18"/>
              </w:rPr>
              <w:t>Número de años</w:t>
            </w:r>
          </w:p>
        </w:tc>
        <w:tc>
          <w:tcPr>
            <w:tcW w:type="dxa" w:w="907"/>
            <w:shd w:val="clear" w:fill="EAF1F8"/>
          </w:tcPr>
          <w:p>
            <w:pPr>
              <w:spacing w:line="240" w:lineRule="auto"/>
              <w:jc w:val="left"/>
            </w:pPr>
            <w:r>
              <w:rPr>
                <w:rFonts w:ascii="Times New Roman" w:hAnsi="Times New Roman" w:cs="Times New Roman"/>
                <w:sz w:val="18"/>
              </w:rPr>
              <w:t>(U)</w:t>
            </w:r>
          </w:p>
        </w:tc>
      </w:tr>
      <w:tr>
        <w:tc>
          <w:tcPr>
            <w:tcW w:type="dxa" w:w="1928"/>
          </w:tcPr>
          <w:p>
            <w:pPr>
              <w:spacing w:line="240" w:lineRule="auto"/>
              <w:jc w:val="left"/>
            </w:pPr>
            <w:r>
              <w:rPr>
                <w:rFonts w:ascii="Times New Roman" w:hAnsi="Times New Roman" w:cs="Times New Roman"/>
                <w:sz w:val="18"/>
              </w:rPr>
              <w:t>Sexo (control)</w:t>
            </w:r>
          </w:p>
        </w:tc>
        <w:tc>
          <w:tcPr>
            <w:tcW w:type="dxa" w:w="1134"/>
          </w:tcPr>
          <w:p>
            <w:pPr>
              <w:spacing w:line="240" w:lineRule="auto"/>
              <w:jc w:val="left"/>
            </w:pPr>
            <w:r>
              <w:rPr>
                <w:rFonts w:ascii="Times New Roman" w:hAnsi="Times New Roman" w:cs="Times New Roman"/>
                <w:sz w:val="18"/>
              </w:rPr>
              <w:t>Dicotómica</w:t>
            </w:r>
          </w:p>
        </w:tc>
        <w:tc>
          <w:tcPr>
            <w:tcW w:type="dxa" w:w="2268"/>
          </w:tcPr>
          <w:p>
            <w:pPr>
              <w:spacing w:line="240" w:lineRule="auto"/>
              <w:jc w:val="left"/>
            </w:pPr>
            <w:r>
              <w:rPr>
                <w:rFonts w:ascii="Times New Roman" w:hAnsi="Times New Roman" w:cs="Times New Roman"/>
                <w:sz w:val="18"/>
              </w:rPr>
              <w:t>Sexo del trabajador</w:t>
            </w:r>
          </w:p>
        </w:tc>
        <w:tc>
          <w:tcPr>
            <w:tcW w:type="dxa" w:w="2608"/>
          </w:tcPr>
          <w:p>
            <w:pPr>
              <w:spacing w:line="240" w:lineRule="auto"/>
              <w:jc w:val="left"/>
            </w:pPr>
            <w:r>
              <w:rPr>
                <w:rFonts w:ascii="Times New Roman" w:hAnsi="Times New Roman" w:cs="Times New Roman"/>
                <w:sz w:val="18"/>
              </w:rPr>
              <w:t>0 = hombre; 1 = mujer</w:t>
            </w:r>
          </w:p>
        </w:tc>
        <w:tc>
          <w:tcPr>
            <w:tcW w:type="dxa" w:w="907"/>
          </w:tcPr>
          <w:p>
            <w:pPr>
              <w:spacing w:line="240" w:lineRule="auto"/>
              <w:jc w:val="left"/>
            </w:pPr>
            <w:r>
              <w:rPr>
                <w:rFonts w:ascii="Times New Roman" w:hAnsi="Times New Roman" w:cs="Times New Roman"/>
                <w:sz w:val="18"/>
              </w:rPr>
              <w:t>(+)</w:t>
            </w:r>
          </w:p>
        </w:tc>
      </w:tr>
      <w:tr>
        <w:tc>
          <w:tcPr>
            <w:tcW w:type="dxa" w:w="1928"/>
            <w:shd w:val="clear" w:fill="EAF1F8"/>
          </w:tcPr>
          <w:p>
            <w:pPr>
              <w:spacing w:line="240" w:lineRule="auto"/>
              <w:jc w:val="left"/>
            </w:pPr>
            <w:r>
              <w:rPr>
                <w:rFonts w:ascii="Times New Roman" w:hAnsi="Times New Roman" w:cs="Times New Roman"/>
                <w:sz w:val="18"/>
              </w:rPr>
              <w:t>Estado civil (control)</w:t>
            </w:r>
          </w:p>
        </w:tc>
        <w:tc>
          <w:tcPr>
            <w:tcW w:type="dxa" w:w="1134"/>
            <w:shd w:val="clear" w:fill="EAF1F8"/>
          </w:tcPr>
          <w:p>
            <w:pPr>
              <w:spacing w:line="240" w:lineRule="auto"/>
              <w:jc w:val="left"/>
            </w:pPr>
            <w:r>
              <w:rPr>
                <w:rFonts w:ascii="Times New Roman" w:hAnsi="Times New Roman" w:cs="Times New Roman"/>
                <w:sz w:val="18"/>
              </w:rPr>
              <w:t>Dicotómica</w:t>
            </w:r>
          </w:p>
        </w:tc>
        <w:tc>
          <w:tcPr>
            <w:tcW w:type="dxa" w:w="2268"/>
            <w:shd w:val="clear" w:fill="EAF1F8"/>
          </w:tcPr>
          <w:p>
            <w:pPr>
              <w:spacing w:line="240" w:lineRule="auto"/>
              <w:jc w:val="left"/>
            </w:pPr>
            <w:r>
              <w:rPr>
                <w:rFonts w:ascii="Times New Roman" w:hAnsi="Times New Roman" w:cs="Times New Roman"/>
                <w:sz w:val="18"/>
              </w:rPr>
              <w:t>Situación conyugal</w:t>
            </w:r>
          </w:p>
        </w:tc>
        <w:tc>
          <w:tcPr>
            <w:tcW w:type="dxa" w:w="2608"/>
            <w:shd w:val="clear" w:fill="EAF1F8"/>
          </w:tcPr>
          <w:p>
            <w:pPr>
              <w:spacing w:line="240" w:lineRule="auto"/>
              <w:jc w:val="left"/>
            </w:pPr>
            <w:r>
              <w:rPr>
                <w:rFonts w:ascii="Times New Roman" w:hAnsi="Times New Roman" w:cs="Times New Roman"/>
                <w:sz w:val="18"/>
              </w:rPr>
              <w:t>1 = casado; 0 = no casado</w:t>
            </w:r>
          </w:p>
        </w:tc>
        <w:tc>
          <w:tcPr>
            <w:tcW w:type="dxa" w:w="907"/>
            <w:shd w:val="clear" w:fill="EAF1F8"/>
          </w:tcPr>
          <w:p>
            <w:pPr>
              <w:spacing w:line="240" w:lineRule="auto"/>
              <w:jc w:val="left"/>
            </w:pPr>
            <w:r>
              <w:rPr>
                <w:rFonts w:ascii="Times New Roman" w:hAnsi="Times New Roman" w:cs="Times New Roman"/>
                <w:sz w:val="18"/>
              </w:rPr>
              <w:t>(±)</w:t>
            </w:r>
          </w:p>
        </w:tc>
      </w:tr>
    </w:tbl>
    <w:p>
      <w:pPr>
        <w:spacing w:after="160" w:before="40"/>
      </w:pPr>
      <w:r>
        <w:rPr>
          <w:rFonts w:ascii="Times New Roman" w:hAnsi="Times New Roman" w:cs="Times New Roman"/>
          <w:i/>
          <w:color w:val="404040"/>
          <w:sz w:val="18"/>
        </w:rPr>
        <w:t>Nota. Elaboración propia a partir de la matriz de consistencia metodológica del proyecto y de la ENAHO (INEI, 2025). RMV = Remuneración Mínima Vital. El signo esperado se refiere al efecto sobre la probabilidad de informalidad.</w:t>
      </w:r>
    </w:p>
    <w:p>
      <w:pPr>
        <w:spacing w:before="200" w:after="120"/>
      </w:pPr>
      <w:r>
        <w:rPr>
          <w:rFonts w:ascii="Times New Roman" w:hAnsi="Times New Roman" w:cs="Times New Roman"/>
          <w:b/>
          <w:color w:val="1F4E79"/>
          <w:sz w:val="26"/>
        </w:rPr>
        <w:t>3.4.4. Definiciones conceptuales y operacionales</w:t>
      </w:r>
    </w:p>
    <w:p>
      <w:pPr>
        <w:spacing w:after="120"/>
        <w:ind w:firstLine="709"/>
        <w:jc w:val="both"/>
      </w:pPr>
      <w:r>
        <w:rPr>
          <w:rFonts w:ascii="Times New Roman" w:hAnsi="Times New Roman" w:cs="Times New Roman"/>
        </w:rPr>
        <w:t>Para garantizar la precisión de la medición, se distinguen las definiciones conceptuales (el significado teórico de cada constructo) de las definiciones operacionales (la forma concreta en que se mide a partir de la ENAHO):</w:t>
      </w:r>
    </w:p>
    <w:p>
      <w:pPr>
        <w:spacing w:after="120"/>
        <w:ind w:firstLine="709"/>
        <w:jc w:val="both"/>
      </w:pPr>
      <w:r>
        <w:rPr>
          <w:rFonts w:ascii="Times New Roman" w:hAnsi="Times New Roman" w:cs="Times New Roman"/>
        </w:rPr>
      </w:r>
      <w:r>
        <w:rPr>
          <w:rFonts w:ascii="Times New Roman" w:hAnsi="Times New Roman" w:cs="Times New Roman"/>
          <w:b/>
        </w:rPr>
        <w:t>Empleo informal.</w:t>
      </w:r>
      <w:r>
        <w:rPr>
          <w:rFonts w:ascii="Times New Roman" w:hAnsi="Times New Roman" w:cs="Times New Roman"/>
        </w:rPr>
        <w:t xml:space="preserve"> Conceptualmente, es el conjunto de empleos que no están sujetos a la legislación laboral nacional ni al pago de impuestos sobre la renta, y que no otorgan protección social ni beneficios laborales (OIT, 2024; INEI, 2025). Operacionalmente, se mide como una variable dicotómica que identifica al trabajador informal por la ausencia de afiliación a un sistema de pensiones o de seguro de salud vinculado al empleo y por la inexistencia de un contrato laboral registrado.</w:t>
      </w:r>
    </w:p>
    <w:p>
      <w:pPr>
        <w:spacing w:after="120"/>
        <w:ind w:firstLine="709"/>
        <w:jc w:val="both"/>
      </w:pPr>
      <w:r>
        <w:rPr>
          <w:rFonts w:ascii="Times New Roman" w:hAnsi="Times New Roman" w:cs="Times New Roman"/>
        </w:rPr>
      </w:r>
      <w:r>
        <w:rPr>
          <w:rFonts w:ascii="Times New Roman" w:hAnsi="Times New Roman" w:cs="Times New Roman"/>
          <w:b/>
        </w:rPr>
        <w:t>Sector informal.</w:t>
      </w:r>
      <w:r>
        <w:rPr>
          <w:rFonts w:ascii="Times New Roman" w:hAnsi="Times New Roman" w:cs="Times New Roman"/>
        </w:rPr>
        <w:t xml:space="preserve"> Conceptualmente, comprende las unidades productivas de los hogares no constituidas en sociedad y no registradas ante la administración tributaria. Su distinción respecto del empleo informal es relevante, pues una persona puede tener un empleo informal dentro de una empresa del sector formal, y viceversa (INEI, 2025).</w:t>
      </w:r>
    </w:p>
    <w:p>
      <w:pPr>
        <w:spacing w:after="120"/>
        <w:ind w:firstLine="709"/>
        <w:jc w:val="both"/>
      </w:pPr>
      <w:r>
        <w:rPr>
          <w:rFonts w:ascii="Times New Roman" w:hAnsi="Times New Roman" w:cs="Times New Roman"/>
        </w:rPr>
      </w:r>
      <w:r>
        <w:rPr>
          <w:rFonts w:ascii="Times New Roman" w:hAnsi="Times New Roman" w:cs="Times New Roman"/>
          <w:b/>
        </w:rPr>
        <w:t>Población económicamente activa (PEA) ocupada.</w:t>
      </w:r>
      <w:r>
        <w:rPr>
          <w:rFonts w:ascii="Times New Roman" w:hAnsi="Times New Roman" w:cs="Times New Roman"/>
        </w:rPr>
        <w:t xml:space="preserve"> Conjunto de personas de 14 y más años que, en el periodo de referencia, participaron en la producción de bienes y servicios y se encontraban trabajando. </w:t>
      </w:r>
      <w:r>
        <w:rPr>
          <w:rFonts w:ascii="Times New Roman" w:hAnsi="Times New Roman" w:cs="Times New Roman"/>
          <w:b/>
        </w:rPr>
        <w:t>Remuneración Mínima Vital (RMV).</w:t>
      </w:r>
      <w:r>
        <w:rPr>
          <w:rFonts w:ascii="Times New Roman" w:hAnsi="Times New Roman" w:cs="Times New Roman"/>
        </w:rPr>
        <w:t xml:space="preserve"> Ingreso mínimo legal que debe percibir un trabajador del régimen laboral de la actividad privada, utilizado en este estudio como umbral para clasificar el nivel de ingresos. </w:t>
      </w:r>
      <w:r>
        <w:rPr>
          <w:rFonts w:ascii="Times New Roman" w:hAnsi="Times New Roman" w:cs="Times New Roman"/>
          <w:b/>
        </w:rPr>
        <w:t>Nivel educativo.</w:t>
      </w:r>
      <w:r>
        <w:rPr>
          <w:rFonts w:ascii="Times New Roman" w:hAnsi="Times New Roman" w:cs="Times New Roman"/>
        </w:rPr>
        <w:t xml:space="preserve"> Máximo grado de estudios alcanzado por la persona dentro del sistema educativo formal, agrupado en las categorías de la Tabla 1.</w:t>
      </w:r>
    </w:p>
    <w:p>
      <w:pPr>
        <w:spacing w:before="240" w:after="160"/>
      </w:pPr>
      <w:r>
        <w:rPr>
          <w:rFonts w:ascii="Times New Roman" w:hAnsi="Times New Roman" w:cs="Times New Roman"/>
          <w:b/>
          <w:color w:val="1F4E79"/>
          <w:sz w:val="28"/>
        </w:rPr>
        <w:t>3.5. Fuentes y técnicas de recolección de datos</w:t>
      </w:r>
    </w:p>
    <w:p>
      <w:pPr>
        <w:spacing w:after="120"/>
        <w:ind w:firstLine="709"/>
        <w:jc w:val="both"/>
      </w:pPr>
      <w:r>
        <w:rPr>
          <w:rFonts w:ascii="Times New Roman" w:hAnsi="Times New Roman" w:cs="Times New Roman"/>
        </w:rPr>
        <w:t xml:space="preserve">La </w:t>
      </w:r>
      <w:r>
        <w:rPr>
          <w:rFonts w:ascii="Times New Roman" w:hAnsi="Times New Roman" w:cs="Times New Roman"/>
          <w:b/>
        </w:rPr>
        <w:t>fuente de información</w:t>
      </w:r>
      <w:r>
        <w:rPr>
          <w:rFonts w:ascii="Times New Roman" w:hAnsi="Times New Roman" w:cs="Times New Roman"/>
        </w:rPr>
        <w:t xml:space="preserve"> es de carácter </w:t>
      </w:r>
      <w:r>
        <w:rPr>
          <w:rFonts w:ascii="Times New Roman" w:hAnsi="Times New Roman" w:cs="Times New Roman"/>
          <w:b/>
        </w:rPr>
        <w:t>secundario</w:t>
      </w:r>
      <w:r>
        <w:rPr>
          <w:rFonts w:ascii="Times New Roman" w:hAnsi="Times New Roman" w:cs="Times New Roman"/>
        </w:rPr>
        <w:t xml:space="preserve">: se emplean los microdatos de la </w:t>
      </w:r>
      <w:r>
        <w:rPr>
          <w:rFonts w:ascii="Times New Roman" w:hAnsi="Times New Roman" w:cs="Times New Roman"/>
          <w:b/>
        </w:rPr>
        <w:t>Encuesta Nacional de Hogares sobre Condiciones de Vida y Pobreza (ENAHO)</w:t>
      </w:r>
      <w:r>
        <w:rPr>
          <w:rFonts w:ascii="Times New Roman" w:hAnsi="Times New Roman" w:cs="Times New Roman"/>
        </w:rPr>
        <w:t xml:space="preserve"> ejecutada por el INEI para los años 2024 y 2025, de acceso público a través del Sistema de Microdatos del INEI. La ENAHO constituye la principal fuente oficial para el estudio del empleo y la informalidad en el Perú, dado que recoge de manera estandarizada las características demográficas, educativas, laborales y de ingresos de los miembros del hogar (INEI, 2025).</w:t>
      </w:r>
    </w:p>
    <w:p>
      <w:pPr>
        <w:spacing w:after="120"/>
        <w:ind w:firstLine="709"/>
        <w:jc w:val="both"/>
      </w:pPr>
      <w:r>
        <w:rPr>
          <w:rFonts w:ascii="Times New Roman" w:hAnsi="Times New Roman" w:cs="Times New Roman"/>
        </w:rPr>
        <w:t xml:space="preserve">La </w:t>
      </w:r>
      <w:r>
        <w:rPr>
          <w:rFonts w:ascii="Times New Roman" w:hAnsi="Times New Roman" w:cs="Times New Roman"/>
          <w:b/>
        </w:rPr>
        <w:t>técnica de recolección</w:t>
      </w:r>
      <w:r>
        <w:rPr>
          <w:rFonts w:ascii="Times New Roman" w:hAnsi="Times New Roman" w:cs="Times New Roman"/>
        </w:rPr>
        <w:t xml:space="preserve"> es el </w:t>
      </w:r>
      <w:r>
        <w:rPr>
          <w:rFonts w:ascii="Times New Roman" w:hAnsi="Times New Roman" w:cs="Times New Roman"/>
          <w:b/>
        </w:rPr>
        <w:t>análisis documental</w:t>
      </w:r>
      <w:r>
        <w:rPr>
          <w:rFonts w:ascii="Times New Roman" w:hAnsi="Times New Roman" w:cs="Times New Roman"/>
        </w:rPr>
        <w:t xml:space="preserve"> de fuentes estadísticas secundarias. A diferencia de la encuesta o la entrevista, esta técnica no genera datos nuevos, sino que examina de manera sistemática información previamente registrada y procesada por un organismo oficial. El procedimiento de construcción de la base de datos de trabajo comprende las siguientes etapas: (i) descarga de los módulos pertinentes de la ENAHO 2024 y 2025 —módulo 200 (características de los miembros del hogar), módulo 300 (educación) y módulo 500 (empleo e ingresos)—; (ii) fusión de los módulos mediante los identificadores de conglomerado, vivienda, hogar y persona; (iii) filtrado de la PEA ocupada residente en el departamento de Lima; (iv) construcción y recodificación de las variables del modelo según la Tabla 1; y (v) depuración de valores perdidos e inconsistentes.</w:t>
      </w:r>
    </w:p>
    <w:p>
      <w:pPr>
        <w:spacing w:after="120"/>
        <w:ind w:firstLine="709"/>
        <w:jc w:val="both"/>
      </w:pPr>
      <w:r>
        <w:rPr>
          <w:rFonts w:ascii="Times New Roman" w:hAnsi="Times New Roman" w:cs="Times New Roman"/>
        </w:rPr>
        <w:t xml:space="preserve">El </w:t>
      </w:r>
      <w:r>
        <w:rPr>
          <w:rFonts w:ascii="Times New Roman" w:hAnsi="Times New Roman" w:cs="Times New Roman"/>
          <w:b/>
        </w:rPr>
        <w:t>instrumento</w:t>
      </w:r>
      <w:r>
        <w:rPr>
          <w:rFonts w:ascii="Times New Roman" w:hAnsi="Times New Roman" w:cs="Times New Roman"/>
        </w:rPr>
        <w:t xml:space="preserve">, en sentido estricto, es la </w:t>
      </w:r>
      <w:r>
        <w:rPr>
          <w:rFonts w:ascii="Times New Roman" w:hAnsi="Times New Roman" w:cs="Times New Roman"/>
          <w:b/>
        </w:rPr>
        <w:t>ficha de registro y sistematización de datos</w:t>
      </w:r>
      <w:r>
        <w:rPr>
          <w:rFonts w:ascii="Times New Roman" w:hAnsi="Times New Roman" w:cs="Times New Roman"/>
        </w:rPr>
        <w:t xml:space="preserve"> en la cual se consolidan las variables operacionalizadas para cada unidad de análisis. La validez y la confiabilidad de la medición están garantizadas por el diseño metodológico de la ENAHO, instrumento oficial sometido a controles de calidad estadística por el INEI.</w:t>
      </w:r>
    </w:p>
    <w:p>
      <w:pPr>
        <w:spacing w:after="120"/>
        <w:ind w:firstLine="709"/>
        <w:jc w:val="both"/>
      </w:pPr>
      <w:r>
        <w:rPr>
          <w:rFonts w:ascii="Times New Roman" w:hAnsi="Times New Roman" w:cs="Times New Roman"/>
        </w:rPr>
        <w:t>La Tabla 2 resume los módulos de la ENAHO empleados y las variables que de ellos se extraen para la construcción de la base de datos de trabajo.</w:t>
      </w:r>
    </w:p>
    <w:p>
      <w:pPr>
        <w:spacing w:before="200" w:after="40"/>
      </w:pPr>
      <w:r>
        <w:rPr>
          <w:rFonts w:ascii="Times New Roman" w:hAnsi="Times New Roman" w:cs="Times New Roman"/>
          <w:b/>
          <w:sz w:val="22"/>
        </w:rPr>
        <w:t>Tabla 2</w:t>
      </w:r>
    </w:p>
    <w:p>
      <w:pPr>
        <w:spacing w:after="80"/>
      </w:pPr>
      <w:r>
        <w:rPr>
          <w:rFonts w:ascii="Times New Roman" w:hAnsi="Times New Roman" w:cs="Times New Roman"/>
          <w:i/>
          <w:sz w:val="22"/>
        </w:rPr>
        <w:t>Módulos de la ENAHO utilizados y variables extraídas</w:t>
      </w:r>
    </w:p>
    <w:tbl>
      <w:tblPr>
        <w:tblStyle w:val="TableGrid"/>
        <w:tblW w:type="auto" w:w="0"/>
        <w:jc w:val="center"/>
        <w:tblLook w:firstColumn="1" w:firstRow="1" w:lastColumn="0" w:lastRow="0" w:noHBand="0" w:noVBand="1" w:val="04A0"/>
      </w:tblPr>
      <w:tblGrid>
        <w:gridCol w:w="3009"/>
        <w:gridCol w:w="3009"/>
        <w:gridCol w:w="3009"/>
      </w:tblGrid>
      <w:tr>
        <w:tc>
          <w:tcPr>
            <w:tcW w:type="dxa" w:w="2608"/>
            <w:shd w:val="clear" w:fill="1F4E79"/>
          </w:tcPr>
          <w:p>
            <w:pPr>
              <w:spacing w:line="240" w:lineRule="auto"/>
              <w:jc w:val="center"/>
            </w:pPr>
            <w:r>
              <w:rPr>
                <w:rFonts w:ascii="Times New Roman" w:hAnsi="Times New Roman" w:cs="Times New Roman"/>
                <w:b/>
                <w:color w:val="FFFFFF"/>
                <w:sz w:val="18"/>
              </w:rPr>
              <w:t>Módulo ENAHO</w:t>
            </w:r>
          </w:p>
        </w:tc>
        <w:tc>
          <w:tcPr>
            <w:tcW w:type="dxa" w:w="3061"/>
            <w:shd w:val="clear" w:fill="1F4E79"/>
          </w:tcPr>
          <w:p>
            <w:pPr>
              <w:spacing w:line="240" w:lineRule="auto"/>
              <w:jc w:val="center"/>
            </w:pPr>
            <w:r>
              <w:rPr>
                <w:rFonts w:ascii="Times New Roman" w:hAnsi="Times New Roman" w:cs="Times New Roman"/>
                <w:b/>
                <w:color w:val="FFFFFF"/>
                <w:sz w:val="18"/>
              </w:rPr>
              <w:t>Contenido</w:t>
            </w:r>
          </w:p>
        </w:tc>
        <w:tc>
          <w:tcPr>
            <w:tcW w:type="dxa" w:w="2268"/>
            <w:shd w:val="clear" w:fill="1F4E79"/>
          </w:tcPr>
          <w:p>
            <w:pPr>
              <w:spacing w:line="240" w:lineRule="auto"/>
              <w:jc w:val="center"/>
            </w:pPr>
            <w:r>
              <w:rPr>
                <w:rFonts w:ascii="Times New Roman" w:hAnsi="Times New Roman" w:cs="Times New Roman"/>
                <w:b/>
                <w:color w:val="FFFFFF"/>
                <w:sz w:val="18"/>
              </w:rPr>
              <w:t>Variables del modelo</w:t>
            </w:r>
          </w:p>
        </w:tc>
      </w:tr>
      <w:tr>
        <w:tc>
          <w:tcPr>
            <w:tcW w:type="dxa" w:w="2608"/>
          </w:tcPr>
          <w:p>
            <w:pPr>
              <w:spacing w:line="240" w:lineRule="auto"/>
              <w:jc w:val="left"/>
            </w:pPr>
            <w:r>
              <w:rPr>
                <w:rFonts w:ascii="Times New Roman" w:hAnsi="Times New Roman" w:cs="Times New Roman"/>
                <w:sz w:val="18"/>
              </w:rPr>
              <w:t>Módulo 200 — Características de los miembros del hogar</w:t>
            </w:r>
          </w:p>
        </w:tc>
        <w:tc>
          <w:tcPr>
            <w:tcW w:type="dxa" w:w="3061"/>
          </w:tcPr>
          <w:p>
            <w:pPr>
              <w:spacing w:line="240" w:lineRule="auto"/>
              <w:jc w:val="left"/>
            </w:pPr>
            <w:r>
              <w:rPr>
                <w:rFonts w:ascii="Times New Roman" w:hAnsi="Times New Roman" w:cs="Times New Roman"/>
                <w:sz w:val="18"/>
              </w:rPr>
              <w:t>Edad, sexo, estado civil, relación de parentesco</w:t>
            </w:r>
          </w:p>
        </w:tc>
        <w:tc>
          <w:tcPr>
            <w:tcW w:type="dxa" w:w="2268"/>
          </w:tcPr>
          <w:p>
            <w:pPr>
              <w:spacing w:line="240" w:lineRule="auto"/>
              <w:jc w:val="left"/>
            </w:pPr>
            <w:r>
              <w:rPr>
                <w:rFonts w:ascii="Times New Roman" w:hAnsi="Times New Roman" w:cs="Times New Roman"/>
                <w:sz w:val="18"/>
              </w:rPr>
              <w:t>Edad, sexo, estado civil</w:t>
            </w:r>
          </w:p>
        </w:tc>
      </w:tr>
      <w:tr>
        <w:tc>
          <w:tcPr>
            <w:tcW w:type="dxa" w:w="2608"/>
            <w:shd w:val="clear" w:fill="EAF1F8"/>
          </w:tcPr>
          <w:p>
            <w:pPr>
              <w:spacing w:line="240" w:lineRule="auto"/>
              <w:jc w:val="left"/>
            </w:pPr>
            <w:r>
              <w:rPr>
                <w:rFonts w:ascii="Times New Roman" w:hAnsi="Times New Roman" w:cs="Times New Roman"/>
                <w:sz w:val="18"/>
              </w:rPr>
              <w:t>Módulo 300 — Educación</w:t>
            </w:r>
          </w:p>
        </w:tc>
        <w:tc>
          <w:tcPr>
            <w:tcW w:type="dxa" w:w="3061"/>
            <w:shd w:val="clear" w:fill="EAF1F8"/>
          </w:tcPr>
          <w:p>
            <w:pPr>
              <w:spacing w:line="240" w:lineRule="auto"/>
              <w:jc w:val="left"/>
            </w:pPr>
            <w:r>
              <w:rPr>
                <w:rFonts w:ascii="Times New Roman" w:hAnsi="Times New Roman" w:cs="Times New Roman"/>
                <w:sz w:val="18"/>
              </w:rPr>
              <w:t>Nivel educativo alcanzado, años de estudio</w:t>
            </w:r>
          </w:p>
        </w:tc>
        <w:tc>
          <w:tcPr>
            <w:tcW w:type="dxa" w:w="2268"/>
            <w:shd w:val="clear" w:fill="EAF1F8"/>
          </w:tcPr>
          <w:p>
            <w:pPr>
              <w:spacing w:line="240" w:lineRule="auto"/>
              <w:jc w:val="left"/>
            </w:pPr>
            <w:r>
              <w:rPr>
                <w:rFonts w:ascii="Times New Roman" w:hAnsi="Times New Roman" w:cs="Times New Roman"/>
                <w:sz w:val="18"/>
              </w:rPr>
              <w:t>Nivel educativo</w:t>
            </w:r>
          </w:p>
        </w:tc>
      </w:tr>
      <w:tr>
        <w:tc>
          <w:tcPr>
            <w:tcW w:type="dxa" w:w="2608"/>
          </w:tcPr>
          <w:p>
            <w:pPr>
              <w:spacing w:line="240" w:lineRule="auto"/>
              <w:jc w:val="left"/>
            </w:pPr>
            <w:r>
              <w:rPr>
                <w:rFonts w:ascii="Times New Roman" w:hAnsi="Times New Roman" w:cs="Times New Roman"/>
                <w:sz w:val="18"/>
              </w:rPr>
              <w:t>Módulo 500 — Empleo e ingresos</w:t>
            </w:r>
          </w:p>
        </w:tc>
        <w:tc>
          <w:tcPr>
            <w:tcW w:type="dxa" w:w="3061"/>
          </w:tcPr>
          <w:p>
            <w:pPr>
              <w:spacing w:line="240" w:lineRule="auto"/>
              <w:jc w:val="left"/>
            </w:pPr>
            <w:r>
              <w:rPr>
                <w:rFonts w:ascii="Times New Roman" w:hAnsi="Times New Roman" w:cs="Times New Roman"/>
                <w:sz w:val="18"/>
              </w:rPr>
              <w:t>Condición de actividad, categoría ocupacional, contrato, seguridad social, ingresos</w:t>
            </w:r>
          </w:p>
        </w:tc>
        <w:tc>
          <w:tcPr>
            <w:tcW w:type="dxa" w:w="2268"/>
          </w:tcPr>
          <w:p>
            <w:pPr>
              <w:spacing w:line="240" w:lineRule="auto"/>
              <w:jc w:val="left"/>
            </w:pPr>
            <w:r>
              <w:rPr>
                <w:rFonts w:ascii="Times New Roman" w:hAnsi="Times New Roman" w:cs="Times New Roman"/>
                <w:sz w:val="18"/>
              </w:rPr>
              <w:t>Empleo informal, nivel de ingresos</w:t>
            </w:r>
          </w:p>
        </w:tc>
      </w:tr>
      <w:tr>
        <w:tc>
          <w:tcPr>
            <w:tcW w:type="dxa" w:w="2608"/>
            <w:shd w:val="clear" w:fill="EAF1F8"/>
          </w:tcPr>
          <w:p>
            <w:pPr>
              <w:spacing w:line="240" w:lineRule="auto"/>
              <w:jc w:val="left"/>
            </w:pPr>
            <w:r>
              <w:rPr>
                <w:rFonts w:ascii="Times New Roman" w:hAnsi="Times New Roman" w:cs="Times New Roman"/>
                <w:sz w:val="18"/>
              </w:rPr>
              <w:t>Sumaria — Variables calculadas</w:t>
            </w:r>
          </w:p>
        </w:tc>
        <w:tc>
          <w:tcPr>
            <w:tcW w:type="dxa" w:w="3061"/>
            <w:shd w:val="clear" w:fill="EAF1F8"/>
          </w:tcPr>
          <w:p>
            <w:pPr>
              <w:spacing w:line="240" w:lineRule="auto"/>
              <w:jc w:val="left"/>
            </w:pPr>
            <w:r>
              <w:rPr>
                <w:rFonts w:ascii="Times New Roman" w:hAnsi="Times New Roman" w:cs="Times New Roman"/>
                <w:sz w:val="18"/>
              </w:rPr>
              <w:t>Ingreso y gasto del hogar, factores de expansión, ubigeo</w:t>
            </w:r>
          </w:p>
        </w:tc>
        <w:tc>
          <w:tcPr>
            <w:tcW w:type="dxa" w:w="2268"/>
            <w:shd w:val="clear" w:fill="EAF1F8"/>
          </w:tcPr>
          <w:p>
            <w:pPr>
              <w:spacing w:line="240" w:lineRule="auto"/>
              <w:jc w:val="left"/>
            </w:pPr>
            <w:r>
              <w:rPr>
                <w:rFonts w:ascii="Times New Roman" w:hAnsi="Times New Roman" w:cs="Times New Roman"/>
                <w:sz w:val="18"/>
              </w:rPr>
              <w:t>Factor de expansión, identificación de Lima</w:t>
            </w:r>
          </w:p>
        </w:tc>
      </w:tr>
    </w:tbl>
    <w:p>
      <w:pPr>
        <w:spacing w:after="160" w:before="40"/>
      </w:pPr>
      <w:r>
        <w:rPr>
          <w:rFonts w:ascii="Times New Roman" w:hAnsi="Times New Roman" w:cs="Times New Roman"/>
          <w:i/>
          <w:color w:val="404040"/>
          <w:sz w:val="18"/>
        </w:rPr>
        <w:t>Nota. Elaboración propia a partir de la documentación de la ENAHO (INEI, 2025). El ubigeo permite identificar a los residentes del departamento de Lima.</w:t>
      </w:r>
    </w:p>
    <w:p>
      <w:pPr>
        <w:spacing w:before="200" w:after="120"/>
      </w:pPr>
      <w:r>
        <w:rPr>
          <w:rFonts w:ascii="Times New Roman" w:hAnsi="Times New Roman" w:cs="Times New Roman"/>
          <w:b/>
          <w:color w:val="1F4E79"/>
          <w:sz w:val="26"/>
        </w:rPr>
        <w:t>3.5.1. Justificación de la fuente de datos</w:t>
      </w:r>
    </w:p>
    <w:p>
      <w:pPr>
        <w:spacing w:after="120"/>
        <w:ind w:firstLine="709"/>
        <w:jc w:val="both"/>
      </w:pPr>
      <w:r>
        <w:rPr>
          <w:rFonts w:ascii="Times New Roman" w:hAnsi="Times New Roman" w:cs="Times New Roman"/>
        </w:rPr>
        <w:t>La ENAHO se elige como fuente principal por cuatro razones. Primero, es la encuesta oficial de mayor cobertura temática sobre las condiciones de empleo, educación e ingresos de los hogares peruanos, y constituye la base sobre la cual el INEI calcula los indicadores oficiales de informalidad. Segundo, su carácter probabilístico y su representatividad a nivel departamental permiten realizar inferencias válidas sobre la PEA ocupada del departamento de Lima. Tercero, su periodicidad anual y su continuidad metodológica facilitan el análisis para el periodo 2024-2025. Cuarto, el acceso público y gratuito a los microdatos garantiza la transparencia y la replicabilidad de la investigación.</w:t>
      </w:r>
    </w:p>
    <w:p>
      <w:pPr>
        <w:spacing w:after="120"/>
        <w:ind w:firstLine="709"/>
        <w:jc w:val="both"/>
      </w:pPr>
      <w:r>
        <w:rPr>
          <w:rFonts w:ascii="Times New Roman" w:hAnsi="Times New Roman" w:cs="Times New Roman"/>
        </w:rPr>
        <w:t>La ENAHO se ejecuta de manera continua a lo largo del año, con una muestra anual superior a 36 mil viviendas a nivel nacional, distribuidas en los ámbitos urbano y rural de los veinticuatro departamentos y la Provincia Constitucional del Callao. Su marco muestral se actualiza a partir de los censos de población y vivienda, lo que asegura la cobertura adecuada del departamento de Lima, el más poblado del país.</w:t>
      </w:r>
    </w:p>
    <w:p>
      <w:pPr>
        <w:spacing w:before="200" w:after="120"/>
      </w:pPr>
      <w:r>
        <w:rPr>
          <w:rFonts w:ascii="Times New Roman" w:hAnsi="Times New Roman" w:cs="Times New Roman"/>
          <w:b/>
          <w:color w:val="1F4E79"/>
          <w:sz w:val="26"/>
        </w:rPr>
        <w:t>3.5.2. Validez y confiabilidad</w:t>
      </w:r>
    </w:p>
    <w:p>
      <w:pPr>
        <w:spacing w:after="120"/>
        <w:ind w:firstLine="709"/>
        <w:jc w:val="both"/>
      </w:pPr>
      <w:r>
        <w:rPr>
          <w:rFonts w:ascii="Times New Roman" w:hAnsi="Times New Roman" w:cs="Times New Roman"/>
        </w:rPr>
        <w:t xml:space="preserve">La </w:t>
      </w:r>
      <w:r>
        <w:rPr>
          <w:rFonts w:ascii="Times New Roman" w:hAnsi="Times New Roman" w:cs="Times New Roman"/>
          <w:b/>
        </w:rPr>
        <w:t>validez</w:t>
      </w:r>
      <w:r>
        <w:rPr>
          <w:rFonts w:ascii="Times New Roman" w:hAnsi="Times New Roman" w:cs="Times New Roman"/>
        </w:rPr>
        <w:t xml:space="preserve"> de la medición se sustenta en que las variables se construyen a partir de los criterios oficiales del INEI y de la OIT para la medición de la informalidad, lo que asegura la validez de contenido y de constructo. La </w:t>
      </w:r>
      <w:r>
        <w:rPr>
          <w:rFonts w:ascii="Times New Roman" w:hAnsi="Times New Roman" w:cs="Times New Roman"/>
          <w:b/>
        </w:rPr>
        <w:t>confiabilidad</w:t>
      </w:r>
      <w:r>
        <w:rPr>
          <w:rFonts w:ascii="Times New Roman" w:hAnsi="Times New Roman" w:cs="Times New Roman"/>
        </w:rPr>
        <w:t xml:space="preserve"> se garantiza por el riguroso proceso de diseño, capacitación, supervisión y control de calidad que el INEI aplica a la ENAHO, así como por la estandarización de los instrumentos a lo largo del tiempo. Al tratarse de una fuente secundaria oficial, no se requiere una prueba piloto ni el cálculo de coeficientes de confiabilidad como el alfa de Cronbach, propios de instrumentos elaborados por el investigador; la confiabilidad descansa en la solidez metodológica de la encuesta nacional (INEI, 2025).</w:t>
      </w:r>
    </w:p>
    <w:p>
      <w:pPr>
        <w:spacing w:before="240" w:after="160"/>
      </w:pPr>
      <w:r>
        <w:rPr>
          <w:rFonts w:ascii="Times New Roman" w:hAnsi="Times New Roman" w:cs="Times New Roman"/>
          <w:b/>
          <w:color w:val="1F4E79"/>
          <w:sz w:val="28"/>
        </w:rPr>
        <w:t>3.6. Especificación del modelo econométrico</w:t>
      </w:r>
    </w:p>
    <w:p>
      <w:pPr>
        <w:spacing w:after="120"/>
        <w:ind w:firstLine="709"/>
        <w:jc w:val="both"/>
      </w:pPr>
      <w:r>
        <w:rPr>
          <w:rFonts w:ascii="Times New Roman" w:hAnsi="Times New Roman" w:cs="Times New Roman"/>
        </w:rPr>
        <w:t xml:space="preserve">Dado que la variable dependiente es </w:t>
      </w:r>
      <w:r>
        <w:rPr>
          <w:rFonts w:ascii="Times New Roman" w:hAnsi="Times New Roman" w:cs="Times New Roman"/>
          <w:b/>
        </w:rPr>
        <w:t>dicotómica</w:t>
      </w:r>
      <w:r>
        <w:rPr>
          <w:rFonts w:ascii="Times New Roman" w:hAnsi="Times New Roman" w:cs="Times New Roman"/>
        </w:rPr>
        <w:t xml:space="preserve"> —el trabajador es informal o no lo es—, la estimación por mínimos cuadrados ordinarios (MCO) resulta inadecuada. El análisis se realiza, por tanto, mediante </w:t>
      </w:r>
      <w:r>
        <w:rPr>
          <w:rFonts w:ascii="Times New Roman" w:hAnsi="Times New Roman" w:cs="Times New Roman"/>
          <w:b/>
        </w:rPr>
        <w:t>modelos de elección binaria de tipo Logit y Probit</w:t>
      </w:r>
      <w:r>
        <w:rPr>
          <w:rFonts w:ascii="Times New Roman" w:hAnsi="Times New Roman" w:cs="Times New Roman"/>
        </w:rPr>
        <w:t>, idóneos para modelar la probabilidad de ocurrencia de un evento dicotómico (Gujarati y Porter, 2010; Wooldridge, 2010).</w:t>
      </w:r>
    </w:p>
    <w:p>
      <w:pPr>
        <w:spacing w:before="200" w:after="120"/>
      </w:pPr>
      <w:r>
        <w:rPr>
          <w:rFonts w:ascii="Times New Roman" w:hAnsi="Times New Roman" w:cs="Times New Roman"/>
          <w:b/>
          <w:color w:val="1F4E79"/>
          <w:sz w:val="26"/>
        </w:rPr>
        <w:t>3.6.1. Limitaciones del modelo de probabilidad lineal</w:t>
      </w:r>
    </w:p>
    <w:p>
      <w:pPr>
        <w:spacing w:after="120"/>
        <w:ind w:firstLine="709"/>
        <w:jc w:val="both"/>
      </w:pPr>
      <w:r>
        <w:rPr>
          <w:rFonts w:ascii="Times New Roman" w:hAnsi="Times New Roman" w:cs="Times New Roman"/>
        </w:rPr>
        <w:t>Si la condición de informalidad se modelara mediante un modelo de probabilidad lineal estimado por MCO de la forma:</w:t>
      </w:r>
    </w:p>
    <w:p>
      <w:pPr>
        <w:spacing w:before="80" w:after="120"/>
        <w:jc w:val="center"/>
      </w:pPr>
      <w:r>
        <w:rPr>
          <w:rFonts w:ascii="Times New Roman" w:hAnsi="Times New Roman" w:cs="Times New Roman"/>
          <w:i/>
          <w:sz w:val="24"/>
        </w:rPr>
        <w:t>Informalᵢ = β₀ + β₁X₁ᵢ + β₂X₂ᵢ + … + βₖXₖᵢ + uᵢ</w:t>
      </w:r>
      <w:r>
        <w:rPr>
          <w:rFonts w:ascii="Times New Roman" w:hAnsi="Times New Roman" w:cs="Times New Roman"/>
          <w:i w:val="0"/>
        </w:rPr>
        <w:tab/>
        <w:tab/>
        <w:t>(3.3)</w:t>
      </w:r>
    </w:p>
    <w:p>
      <w:pPr>
        <w:spacing w:after="120"/>
        <w:ind w:firstLine="709"/>
        <w:jc w:val="both"/>
      </w:pPr>
      <w:r>
        <w:rPr>
          <w:rFonts w:ascii="Times New Roman" w:hAnsi="Times New Roman" w:cs="Times New Roman"/>
        </w:rPr>
        <w:t>se incurriría en tres problemas conocidos: (i) las probabilidades predichas pueden situarse fuera del intervalo [0, 1], careciendo de sentido; (ii) el término de error es heterocedástico por construcción; y (iii) se impone una relación lineal entre los regresores y la probabilidad, supuesto poco plausible. Por ello, se recurre a modelos no lineales que restringen la probabilidad estimada al intervalo [0, 1] mediante una función de distribución acumulada (Maddala, 1983; Greene, 2012).</w:t>
      </w:r>
    </w:p>
    <w:p>
      <w:pPr>
        <w:spacing w:before="200" w:after="120"/>
      </w:pPr>
      <w:r>
        <w:rPr>
          <w:rFonts w:ascii="Times New Roman" w:hAnsi="Times New Roman" w:cs="Times New Roman"/>
          <w:b/>
          <w:color w:val="1F4E79"/>
          <w:sz w:val="26"/>
        </w:rPr>
        <w:t>3.6.2. Modelos Logit y Probit</w:t>
      </w:r>
    </w:p>
    <w:p>
      <w:pPr>
        <w:spacing w:after="120"/>
        <w:ind w:firstLine="709"/>
        <w:jc w:val="both"/>
      </w:pPr>
      <w:r>
        <w:rPr>
          <w:rFonts w:ascii="Times New Roman" w:hAnsi="Times New Roman" w:cs="Times New Roman"/>
        </w:rPr>
        <w:t xml:space="preserve">Los modelos Logit y Probit expresan la probabilidad de que el trabajador sea informal como una función no lineal de un índice latente Zᵢ = Xᵢ′β, donde Xᵢ es el vector de variables explicativas y β el vector de parámetros. En el </w:t>
      </w:r>
      <w:r>
        <w:rPr>
          <w:rFonts w:ascii="Times New Roman" w:hAnsi="Times New Roman" w:cs="Times New Roman"/>
          <w:b/>
        </w:rPr>
        <w:t>modelo Logit</w:t>
      </w:r>
      <w:r>
        <w:rPr>
          <w:rFonts w:ascii="Times New Roman" w:hAnsi="Times New Roman" w:cs="Times New Roman"/>
        </w:rPr>
        <w:t>, la probabilidad se modela mediante la función de distribución logística acumulada:</w:t>
      </w:r>
    </w:p>
    <w:p>
      <w:pPr>
        <w:spacing w:before="80" w:after="120"/>
        <w:jc w:val="center"/>
      </w:pPr>
      <w:r>
        <w:rPr>
          <w:rFonts w:ascii="Times New Roman" w:hAnsi="Times New Roman" w:cs="Times New Roman"/>
          <w:i/>
          <w:sz w:val="24"/>
        </w:rPr>
        <w:t>P(Informalᵢ = 1 | Xᵢ) = Λ(Xᵢ′β) = e^(Xᵢ′β) / [1 + e^(Xᵢ′β)] = 1 / [1 + e^(−Xᵢ′β)]</w:t>
      </w:r>
      <w:r>
        <w:rPr>
          <w:rFonts w:ascii="Times New Roman" w:hAnsi="Times New Roman" w:cs="Times New Roman"/>
          <w:i w:val="0"/>
        </w:rPr>
        <w:tab/>
        <w:tab/>
        <w:t>(3.4)</w:t>
      </w:r>
    </w:p>
    <w:p>
      <w:pPr>
        <w:spacing w:after="120"/>
        <w:ind w:firstLine="709"/>
        <w:jc w:val="both"/>
      </w:pPr>
      <w:r>
        <w:rPr>
          <w:rFonts w:ascii="Times New Roman" w:hAnsi="Times New Roman" w:cs="Times New Roman"/>
        </w:rPr>
        <w:t xml:space="preserve">En el </w:t>
      </w:r>
      <w:r>
        <w:rPr>
          <w:rFonts w:ascii="Times New Roman" w:hAnsi="Times New Roman" w:cs="Times New Roman"/>
          <w:b/>
        </w:rPr>
        <w:t>modelo Probit</w:t>
      </w:r>
      <w:r>
        <w:rPr>
          <w:rFonts w:ascii="Times New Roman" w:hAnsi="Times New Roman" w:cs="Times New Roman"/>
        </w:rPr>
        <w:t>, la probabilidad se modela mediante la función de distribución normal estándar acumulada Φ(·):</w:t>
      </w:r>
    </w:p>
    <w:p>
      <w:pPr>
        <w:spacing w:before="80" w:after="120"/>
        <w:jc w:val="center"/>
      </w:pPr>
      <w:r>
        <w:rPr>
          <w:rFonts w:ascii="Times New Roman" w:hAnsi="Times New Roman" w:cs="Times New Roman"/>
          <w:i/>
          <w:sz w:val="24"/>
        </w:rPr>
        <w:t>P(Informalᵢ = 1 | Xᵢ) = Φ(Xᵢ′β) = ∫_{−∞}^{Xᵢ′β} φ(z) dz</w:t>
      </w:r>
      <w:r>
        <w:rPr>
          <w:rFonts w:ascii="Times New Roman" w:hAnsi="Times New Roman" w:cs="Times New Roman"/>
          <w:i w:val="0"/>
        </w:rPr>
        <w:tab/>
        <w:tab/>
        <w:t>(3.5)</w:t>
      </w:r>
    </w:p>
    <w:p>
      <w:pPr>
        <w:spacing w:after="120"/>
        <w:ind w:firstLine="709"/>
        <w:jc w:val="both"/>
      </w:pPr>
      <w:r>
        <w:rPr>
          <w:rFonts w:ascii="Times New Roman" w:hAnsi="Times New Roman" w:cs="Times New Roman"/>
        </w:rPr>
        <w:t xml:space="preserve">Ambas funciones garantizan que la probabilidad estimada se mantenga acotada entre 0 y 1 y que la relación entre los regresores y la probabilidad adopte la forma de una curva sigmoide. La diferencia entre ambos radica en la función de distribución supuesta para el término de error: logística en el Logit y normal en el Probit. En la práctica —y salvo en las colas de la distribución, donde la función logística asigna una probabilidad ligeramente mayor a los eventos extremos que la normal—, ambos modelos producen resultados muy similares en términos de signos y significancia, aunque el modelo Logit es predominante en los estudios de informalidad por la facilidad de interpretación de sus coeficientes en términos de </w:t>
      </w:r>
      <w:r>
        <w:rPr>
          <w:rFonts w:ascii="Times New Roman" w:hAnsi="Times New Roman" w:cs="Times New Roman"/>
          <w:b/>
        </w:rPr>
        <w:t>razón de momios (odds ratio)</w:t>
      </w:r>
      <w:r>
        <w:rPr>
          <w:rFonts w:ascii="Times New Roman" w:hAnsi="Times New Roman" w:cs="Times New Roman"/>
        </w:rPr>
        <w:t xml:space="preserve"> (Semestre Económico, 2025).</w:t>
      </w:r>
    </w:p>
    <w:p>
      <w:pPr>
        <w:spacing w:after="120"/>
        <w:ind w:firstLine="709"/>
        <w:jc w:val="both"/>
      </w:pPr>
      <w:r>
        <w:rPr>
          <w:rFonts w:ascii="Times New Roman" w:hAnsi="Times New Roman" w:cs="Times New Roman"/>
        </w:rPr>
        <w:t xml:space="preserve">Ambos modelos admiten una interpretación a partir de una </w:t>
      </w:r>
      <w:r>
        <w:rPr>
          <w:rFonts w:ascii="Times New Roman" w:hAnsi="Times New Roman" w:cs="Times New Roman"/>
          <w:b/>
        </w:rPr>
        <w:t>variable latente</w:t>
      </w:r>
      <w:r>
        <w:rPr>
          <w:rFonts w:ascii="Times New Roman" w:hAnsi="Times New Roman" w:cs="Times New Roman"/>
        </w:rPr>
        <w:t>. Sea Y*ᵢ una variable continua no observable que representa la propensión o utilidad neta de la informalidad para el trabajador i, determinada por Y*ᵢ = Xᵢ′β + uᵢ. El investigador no observa Y*ᵢ, sino únicamente su manifestación dicotómica, de modo que el trabajador es informal cuando su propensión supera un umbral, convencionalmente fijado en cero:</w:t>
      </w:r>
    </w:p>
    <w:p>
      <w:pPr>
        <w:spacing w:before="80" w:after="120"/>
        <w:jc w:val="center"/>
      </w:pPr>
      <w:r>
        <w:rPr>
          <w:rFonts w:ascii="Times New Roman" w:hAnsi="Times New Roman" w:cs="Times New Roman"/>
          <w:i/>
          <w:sz w:val="24"/>
        </w:rPr>
        <w:t>Informalᵢ = 1 si Y*ᵢ &gt; 0;   Informalᵢ = 0 si Y*ᵢ ≤ 0</w:t>
      </w:r>
      <w:r>
        <w:rPr>
          <w:rFonts w:ascii="Times New Roman" w:hAnsi="Times New Roman" w:cs="Times New Roman"/>
          <w:i w:val="0"/>
        </w:rPr>
        <w:tab/>
        <w:tab/>
        <w:t>(3.6)</w:t>
      </w:r>
    </w:p>
    <w:p>
      <w:pPr>
        <w:spacing w:after="120"/>
        <w:ind w:firstLine="709"/>
        <w:jc w:val="both"/>
      </w:pPr>
      <w:r>
        <w:rPr>
          <w:rFonts w:ascii="Times New Roman" w:hAnsi="Times New Roman" w:cs="Times New Roman"/>
        </w:rPr>
        <w:t>Bajo este enfoque, la probabilidad de informalidad es P(Informalᵢ = 1) = P(uᵢ &gt; −Xᵢ′β) = F(Xᵢ′β), donde F(·) es la función de distribución acumulada del término de error. Si se supone que uᵢ sigue una distribución logística se obtiene el modelo Logit; si se supone normal estándar, el Probit. Esta derivación dota de fundamento teórico a la especificación y vincula el modelo con la teoría de la utilidad aleatoria de la elección discreta.</w:t>
      </w:r>
    </w:p>
    <w:p>
      <w:pPr>
        <w:spacing w:before="160" w:after="80"/>
      </w:pPr>
      <w:r>
        <w:rPr>
          <w:rFonts w:ascii="Times New Roman" w:hAnsi="Times New Roman" w:cs="Times New Roman"/>
          <w:b/>
          <w:i/>
          <w:color w:val="1F4E79"/>
          <w:sz w:val="24"/>
        </w:rPr>
        <w:t>Supuestos del modelo</w:t>
      </w:r>
    </w:p>
    <w:p>
      <w:pPr>
        <w:spacing w:after="120"/>
        <w:ind w:firstLine="709"/>
        <w:jc w:val="both"/>
      </w:pPr>
      <w:r>
        <w:rPr>
          <w:rFonts w:ascii="Times New Roman" w:hAnsi="Times New Roman" w:cs="Times New Roman"/>
        </w:rPr>
        <w:t xml:space="preserve">La estimación válida de los modelos de elección binaria descansa en los siguientes supuestos: (i) </w:t>
      </w:r>
      <w:r>
        <w:rPr>
          <w:rFonts w:ascii="Times New Roman" w:hAnsi="Times New Roman" w:cs="Times New Roman"/>
          <w:b/>
        </w:rPr>
        <w:t>correcta especificación</w:t>
      </w:r>
      <w:r>
        <w:rPr>
          <w:rFonts w:ascii="Times New Roman" w:hAnsi="Times New Roman" w:cs="Times New Roman"/>
        </w:rPr>
        <w:t xml:space="preserve"> de la forma funcional de la probabilidad y de los regresores incluidos; (ii) </w:t>
      </w:r>
      <w:r>
        <w:rPr>
          <w:rFonts w:ascii="Times New Roman" w:hAnsi="Times New Roman" w:cs="Times New Roman"/>
          <w:b/>
        </w:rPr>
        <w:t>ausencia de multicolinealidad perfecta</w:t>
      </w:r>
      <w:r>
        <w:rPr>
          <w:rFonts w:ascii="Times New Roman" w:hAnsi="Times New Roman" w:cs="Times New Roman"/>
        </w:rPr>
        <w:t xml:space="preserve"> entre las variables explicativas; (iii) </w:t>
      </w:r>
      <w:r>
        <w:rPr>
          <w:rFonts w:ascii="Times New Roman" w:hAnsi="Times New Roman" w:cs="Times New Roman"/>
          <w:b/>
        </w:rPr>
        <w:t>exogeneidad</w:t>
      </w:r>
      <w:r>
        <w:rPr>
          <w:rFonts w:ascii="Times New Roman" w:hAnsi="Times New Roman" w:cs="Times New Roman"/>
        </w:rPr>
        <w:t xml:space="preserve"> de los regresores, es decir, independencia entre las variables explicativas y el término de error; (iv) </w:t>
      </w:r>
      <w:r>
        <w:rPr>
          <w:rFonts w:ascii="Times New Roman" w:hAnsi="Times New Roman" w:cs="Times New Roman"/>
          <w:b/>
        </w:rPr>
        <w:t>observaciones independientes</w:t>
      </w:r>
      <w:r>
        <w:rPr>
          <w:rFonts w:ascii="Times New Roman" w:hAnsi="Times New Roman" w:cs="Times New Roman"/>
        </w:rPr>
        <w:t xml:space="preserve">, garantizada por el diseño muestral; y (v) </w:t>
      </w:r>
      <w:r>
        <w:rPr>
          <w:rFonts w:ascii="Times New Roman" w:hAnsi="Times New Roman" w:cs="Times New Roman"/>
          <w:b/>
        </w:rPr>
        <w:t>tamaño muestral suficiente</w:t>
      </w:r>
      <w:r>
        <w:rPr>
          <w:rFonts w:ascii="Times New Roman" w:hAnsi="Times New Roman" w:cs="Times New Roman"/>
        </w:rPr>
        <w:t>, requerido por las propiedades asintóticas del estimador de máxima verosimilitud. El cumplimiento de estos supuestos se verifica mediante las pruebas de diagnóstico descritas en la sección 3.7.</w:t>
      </w:r>
    </w:p>
    <w:p>
      <w:pPr>
        <w:spacing w:before="200" w:after="120"/>
      </w:pPr>
      <w:r>
        <w:rPr>
          <w:rFonts w:ascii="Times New Roman" w:hAnsi="Times New Roman" w:cs="Times New Roman"/>
          <w:b/>
          <w:color w:val="1F4E79"/>
          <w:sz w:val="26"/>
        </w:rPr>
        <w:t>3.6.3. Especificación empírica del modelo</w:t>
      </w:r>
    </w:p>
    <w:p>
      <w:pPr>
        <w:spacing w:after="120"/>
        <w:ind w:firstLine="709"/>
        <w:jc w:val="both"/>
      </w:pPr>
      <w:r>
        <w:rPr>
          <w:rFonts w:ascii="Times New Roman" w:hAnsi="Times New Roman" w:cs="Times New Roman"/>
        </w:rPr>
        <w:t>El modelo econométrico que se estima para contrastar la hipótesis general, expresándolo a través del índice latente Zᵢ, adopta la siguiente forma:</w:t>
      </w:r>
    </w:p>
    <w:p>
      <w:pPr>
        <w:spacing w:before="80" w:after="120"/>
        <w:jc w:val="center"/>
      </w:pPr>
      <w:r>
        <w:rPr>
          <w:rFonts w:ascii="Times New Roman" w:hAnsi="Times New Roman" w:cs="Times New Roman"/>
          <w:i/>
          <w:sz w:val="24"/>
        </w:rPr>
        <w:t>Zᵢ = β₀ + β₁Ingresoᵢ + β₂Educᵢ + β₃Edadᵢ + β₄Edadᵢ² + β₅Sexoᵢ + β₆EstCivilᵢ + uᵢ</w:t>
      </w:r>
      <w:r>
        <w:rPr>
          <w:rFonts w:ascii="Times New Roman" w:hAnsi="Times New Roman" w:cs="Times New Roman"/>
          <w:i w:val="0"/>
        </w:rPr>
        <w:tab/>
        <w:tab/>
        <w:t>(3.7)</w:t>
      </w:r>
    </w:p>
    <w:p>
      <w:pPr>
        <w:spacing w:after="120"/>
        <w:ind w:firstLine="709"/>
        <w:jc w:val="both"/>
      </w:pPr>
      <w:r>
        <w:rPr>
          <w:rFonts w:ascii="Times New Roman" w:hAnsi="Times New Roman" w:cs="Times New Roman"/>
        </w:rPr>
        <w:t>donde Informalᵢ es la condición de informalidad del trabajador i; Ingresoᵢ es la variable dicotómica de nivel de ingresos respecto de la RMV; Educᵢ representa el conjunto de variables dicotómicas de nivel educativo; Edadᵢ y Edadᵢ² son la edad y su término cuadrático; Sexoᵢ es la variable de género; EstCivilᵢ es el estado civil; y uᵢ es el término de error. Los parámetros β₁ a β₆ miden el efecto de cada factor sobre el índice latente de informalidad.</w:t>
      </w:r>
    </w:p>
    <w:p>
      <w:pPr>
        <w:spacing w:after="120"/>
        <w:ind w:firstLine="709"/>
        <w:jc w:val="both"/>
      </w:pPr>
      <w:r>
        <w:rPr>
          <w:rFonts w:ascii="Times New Roman" w:hAnsi="Times New Roman" w:cs="Times New Roman"/>
        </w:rPr>
        <w:t xml:space="preserve">A partir de esta especificación general se derivan los modelos correspondientes a cada hipótesis específica. Para la </w:t>
      </w:r>
      <w:r>
        <w:rPr>
          <w:rFonts w:ascii="Times New Roman" w:hAnsi="Times New Roman" w:cs="Times New Roman"/>
          <w:b/>
        </w:rPr>
        <w:t>hipótesis específica 1</w:t>
      </w:r>
      <w:r>
        <w:rPr>
          <w:rFonts w:ascii="Times New Roman" w:hAnsi="Times New Roman" w:cs="Times New Roman"/>
        </w:rPr>
        <w:t xml:space="preserve">, el parámetro de interés es β₁, que mide el efecto del nivel de ingresos sobre la probabilidad de informalidad; la hipótesis se confirma si β₁ es </w:t>
      </w:r>
      <w:r>
        <w:rPr>
          <w:rFonts w:ascii="Times New Roman" w:hAnsi="Times New Roman" w:cs="Times New Roman"/>
          <w:b/>
        </w:rPr>
        <w:t>negativo y estadísticamente significativo</w:t>
      </w:r>
      <w:r>
        <w:rPr>
          <w:rFonts w:ascii="Times New Roman" w:hAnsi="Times New Roman" w:cs="Times New Roman"/>
        </w:rPr>
        <w:t xml:space="preserve">. Para la </w:t>
      </w:r>
      <w:r>
        <w:rPr>
          <w:rFonts w:ascii="Times New Roman" w:hAnsi="Times New Roman" w:cs="Times New Roman"/>
          <w:b/>
        </w:rPr>
        <w:t>hipótesis específica 2</w:t>
      </w:r>
      <w:r>
        <w:rPr>
          <w:rFonts w:ascii="Times New Roman" w:hAnsi="Times New Roman" w:cs="Times New Roman"/>
        </w:rPr>
        <w:t xml:space="preserve">, los parámetros de interés son los asociados al nivel educativo (β₂), que se espera sean </w:t>
      </w:r>
      <w:r>
        <w:rPr>
          <w:rFonts w:ascii="Times New Roman" w:hAnsi="Times New Roman" w:cs="Times New Roman"/>
          <w:b/>
        </w:rPr>
        <w:t>negativos y significativos</w:t>
      </w:r>
      <w:r>
        <w:rPr>
          <w:rFonts w:ascii="Times New Roman" w:hAnsi="Times New Roman" w:cs="Times New Roman"/>
        </w:rPr>
        <w:t xml:space="preserve">. Para la </w:t>
      </w:r>
      <w:r>
        <w:rPr>
          <w:rFonts w:ascii="Times New Roman" w:hAnsi="Times New Roman" w:cs="Times New Roman"/>
          <w:b/>
        </w:rPr>
        <w:t>hipótesis específica 3</w:t>
      </w:r>
      <w:r>
        <w:rPr>
          <w:rFonts w:ascii="Times New Roman" w:hAnsi="Times New Roman" w:cs="Times New Roman"/>
        </w:rPr>
        <w:t>, se evalúa la significancia conjunta e individual de los parámetros demográficos (β₃ a β₆) correspondientes a la edad, el sexo y el estado civil.</w:t>
      </w:r>
    </w:p>
    <w:p>
      <w:pPr>
        <w:spacing w:before="200" w:after="120"/>
      </w:pPr>
      <w:r>
        <w:rPr>
          <w:rFonts w:ascii="Times New Roman" w:hAnsi="Times New Roman" w:cs="Times New Roman"/>
          <w:b/>
          <w:color w:val="1F4E79"/>
          <w:sz w:val="26"/>
        </w:rPr>
        <w:t>3.6.4. Estimación por máxima verosimilitud</w:t>
      </w:r>
    </w:p>
    <w:p>
      <w:pPr>
        <w:spacing w:after="120"/>
        <w:ind w:firstLine="709"/>
        <w:jc w:val="both"/>
      </w:pPr>
      <w:r>
        <w:rPr>
          <w:rFonts w:ascii="Times New Roman" w:hAnsi="Times New Roman" w:cs="Times New Roman"/>
        </w:rPr>
        <w:t xml:space="preserve">A diferencia del modelo lineal, los modelos Logit y Probit se estiman por el método de </w:t>
      </w:r>
      <w:r>
        <w:rPr>
          <w:rFonts w:ascii="Times New Roman" w:hAnsi="Times New Roman" w:cs="Times New Roman"/>
          <w:b/>
        </w:rPr>
        <w:t>máxima verosimilitud (MV)</w:t>
      </w:r>
      <w:r>
        <w:rPr>
          <w:rFonts w:ascii="Times New Roman" w:hAnsi="Times New Roman" w:cs="Times New Roman"/>
        </w:rPr>
        <w:t>, que selecciona los valores de los parámetros que maximizan la probabilidad de observar la muestra efectivamente registrada. La función de log-verosimilitud del modelo, para una muestra de n trabajadores, es:</w:t>
      </w:r>
    </w:p>
    <w:p>
      <w:pPr>
        <w:spacing w:before="80" w:after="120"/>
        <w:jc w:val="center"/>
      </w:pPr>
      <w:r>
        <w:rPr>
          <w:rFonts w:ascii="Times New Roman" w:hAnsi="Times New Roman" w:cs="Times New Roman"/>
          <w:i/>
          <w:sz w:val="24"/>
        </w:rPr>
        <w:t>ln L(β) = Σᵢ { Informalᵢ · ln[F(Xᵢ′β)] + (1 − Informalᵢ) · ln[1 − F(Xᵢ′β)] }</w:t>
      </w:r>
      <w:r>
        <w:rPr>
          <w:rFonts w:ascii="Times New Roman" w:hAnsi="Times New Roman" w:cs="Times New Roman"/>
          <w:i w:val="0"/>
        </w:rPr>
        <w:tab/>
        <w:tab/>
        <w:t>(3.8)</w:t>
      </w:r>
    </w:p>
    <w:p>
      <w:pPr>
        <w:spacing w:after="120"/>
        <w:ind w:firstLine="709"/>
        <w:jc w:val="both"/>
      </w:pPr>
      <w:r>
        <w:rPr>
          <w:rFonts w:ascii="Times New Roman" w:hAnsi="Times New Roman" w:cs="Times New Roman"/>
        </w:rPr>
        <w:t>donde F(·) es la función logística Λ(·) en el caso Logit o la normal estándar Φ(·) en el caso Probit. Los estimadores de máxima verosimilitud se obtienen mediante procedimientos iterativos de optimización numérica (por ejemplo, el algoritmo de Newton-Raphson) y son consistentes, asintóticamente eficientes y asintóticamente normales (Greene, 2012).</w:t>
      </w:r>
    </w:p>
    <w:p>
      <w:pPr>
        <w:spacing w:before="200" w:after="120"/>
      </w:pPr>
      <w:r>
        <w:rPr>
          <w:rFonts w:ascii="Times New Roman" w:hAnsi="Times New Roman" w:cs="Times New Roman"/>
          <w:b/>
          <w:color w:val="1F4E79"/>
          <w:sz w:val="26"/>
        </w:rPr>
        <w:t>3.6.5. Efectos marginales y razón de momios</w:t>
      </w:r>
    </w:p>
    <w:p>
      <w:pPr>
        <w:spacing w:after="120"/>
        <w:ind w:firstLine="709"/>
        <w:jc w:val="both"/>
      </w:pPr>
      <w:r>
        <w:rPr>
          <w:rFonts w:ascii="Times New Roman" w:hAnsi="Times New Roman" w:cs="Times New Roman"/>
        </w:rPr>
        <w:t xml:space="preserve">Una característica esencial de los modelos no lineales es que </w:t>
      </w:r>
      <w:r>
        <w:rPr>
          <w:rFonts w:ascii="Times New Roman" w:hAnsi="Times New Roman" w:cs="Times New Roman"/>
          <w:b/>
        </w:rPr>
        <w:t>los coeficientes estimados no se interpretan directamente como en el modelo lineal</w:t>
      </w:r>
      <w:r>
        <w:rPr>
          <w:rFonts w:ascii="Times New Roman" w:hAnsi="Times New Roman" w:cs="Times New Roman"/>
        </w:rPr>
        <w:t xml:space="preserve">: el coeficiente βⱼ indica únicamente el signo del efecto, pero no su magnitud sobre la probabilidad. Para cuantificar el efecto de cada variable sobre la probabilidad de informalidad se calculan los </w:t>
      </w:r>
      <w:r>
        <w:rPr>
          <w:rFonts w:ascii="Times New Roman" w:hAnsi="Times New Roman" w:cs="Times New Roman"/>
          <w:b/>
        </w:rPr>
        <w:t>efectos marginales</w:t>
      </w:r>
      <w:r>
        <w:rPr>
          <w:rFonts w:ascii="Times New Roman" w:hAnsi="Times New Roman" w:cs="Times New Roman"/>
        </w:rPr>
        <w:t>, que en el modelo Logit se expresan como:</w:t>
      </w:r>
    </w:p>
    <w:p>
      <w:pPr>
        <w:spacing w:before="80" w:after="120"/>
        <w:jc w:val="center"/>
      </w:pPr>
      <w:r>
        <w:rPr>
          <w:rFonts w:ascii="Times New Roman" w:hAnsi="Times New Roman" w:cs="Times New Roman"/>
          <w:i/>
          <w:sz w:val="24"/>
        </w:rPr>
        <w:t>∂P(Informalᵢ = 1) / ∂Xⱼ = Λ(Xᵢ′β) · [1 − Λ(Xᵢ′β)] · βⱼ</w:t>
      </w:r>
      <w:r>
        <w:rPr>
          <w:rFonts w:ascii="Times New Roman" w:hAnsi="Times New Roman" w:cs="Times New Roman"/>
          <w:i w:val="0"/>
        </w:rPr>
        <w:tab/>
        <w:tab/>
        <w:t>(3.9)</w:t>
      </w:r>
    </w:p>
    <w:p>
      <w:pPr>
        <w:spacing w:after="120"/>
        <w:ind w:firstLine="709"/>
        <w:jc w:val="both"/>
      </w:pPr>
      <w:r>
        <w:rPr>
          <w:rFonts w:ascii="Times New Roman" w:hAnsi="Times New Roman" w:cs="Times New Roman"/>
        </w:rPr>
        <w:t xml:space="preserve">El efecto marginal mide el cambio en la probabilidad de ser informal ante un cambio unitario en la variable explicativa Xⱼ. Dado que este efecto depende del punto en que se evalúa, se reportan los </w:t>
      </w:r>
      <w:r>
        <w:rPr>
          <w:rFonts w:ascii="Times New Roman" w:hAnsi="Times New Roman" w:cs="Times New Roman"/>
          <w:b/>
        </w:rPr>
        <w:t>efectos marginales en la media</w:t>
      </w:r>
      <w:r>
        <w:rPr>
          <w:rFonts w:ascii="Times New Roman" w:hAnsi="Times New Roman" w:cs="Times New Roman"/>
        </w:rPr>
        <w:t xml:space="preserve"> de las variables y los </w:t>
      </w:r>
      <w:r>
        <w:rPr>
          <w:rFonts w:ascii="Times New Roman" w:hAnsi="Times New Roman" w:cs="Times New Roman"/>
          <w:b/>
        </w:rPr>
        <w:t>efectos marginales promedio</w:t>
      </w:r>
      <w:r>
        <w:rPr>
          <w:rFonts w:ascii="Times New Roman" w:hAnsi="Times New Roman" w:cs="Times New Roman"/>
        </w:rPr>
        <w:t xml:space="preserve"> de la muestra. Para las variables dicotómicas, el efecto marginal se calcula como la diferencia de probabilidad entre las categorías 1 y 0.</w:t>
      </w:r>
    </w:p>
    <w:p>
      <w:pPr>
        <w:spacing w:after="120"/>
        <w:ind w:firstLine="709"/>
        <w:jc w:val="both"/>
      </w:pPr>
      <w:r>
        <w:rPr>
          <w:rFonts w:ascii="Times New Roman" w:hAnsi="Times New Roman" w:cs="Times New Roman"/>
        </w:rPr>
        <w:t xml:space="preserve">Complementariamente, en el modelo Logit se interpreta la </w:t>
      </w:r>
      <w:r>
        <w:rPr>
          <w:rFonts w:ascii="Times New Roman" w:hAnsi="Times New Roman" w:cs="Times New Roman"/>
          <w:b/>
        </w:rPr>
        <w:t>razón de momios (odds ratio)</w:t>
      </w:r>
      <w:r>
        <w:rPr>
          <w:rFonts w:ascii="Times New Roman" w:hAnsi="Times New Roman" w:cs="Times New Roman"/>
        </w:rPr>
        <w:t>, definida como el cociente entre la probabilidad de ser informal y la de no serlo:</w:t>
      </w:r>
    </w:p>
    <w:p>
      <w:pPr>
        <w:spacing w:before="80" w:after="120"/>
        <w:jc w:val="center"/>
      </w:pPr>
      <w:r>
        <w:rPr>
          <w:rFonts w:ascii="Times New Roman" w:hAnsi="Times New Roman" w:cs="Times New Roman"/>
          <w:i/>
          <w:sz w:val="24"/>
        </w:rPr>
        <w:t>P(Informalᵢ = 1) / P(Informalᵢ = 0) = e^(Xᵢ′β)</w:t>
      </w:r>
      <w:r>
        <w:rPr>
          <w:rFonts w:ascii="Times New Roman" w:hAnsi="Times New Roman" w:cs="Times New Roman"/>
          <w:i w:val="0"/>
        </w:rPr>
        <w:tab/>
        <w:tab/>
        <w:t>(3.10)</w:t>
      </w:r>
    </w:p>
    <w:p>
      <w:pPr>
        <w:spacing w:after="120"/>
        <w:ind w:firstLine="709"/>
        <w:jc w:val="both"/>
      </w:pPr>
      <w:r>
        <w:rPr>
          <w:rFonts w:ascii="Times New Roman" w:hAnsi="Times New Roman" w:cs="Times New Roman"/>
        </w:rPr>
        <w:t>El exponencial de cada coeficiente, e^(βⱼ), expresa cuántas veces se modifica la razón de momios de informalidad ante un cambio unitario en la variable correspondiente, manteniendo constantes las demás. Un valor superior a la unidad indica que la variable aumenta la probabilidad relativa de informalidad, mientras que un valor inferior a la unidad indica que la reduce.</w:t>
      </w:r>
    </w:p>
    <w:p>
      <w:pPr>
        <w:spacing w:after="120"/>
        <w:ind w:firstLine="709"/>
        <w:jc w:val="both"/>
      </w:pPr>
      <w:r>
        <w:rPr>
          <w:rFonts w:ascii="Times New Roman" w:hAnsi="Times New Roman" w:cs="Times New Roman"/>
        </w:rPr>
        <w:t>A modo ilustrativo, si el exponencial del coeficiente del nivel educativo superior universitario resultara, por ejemplo, igual a 0,35, ello significaría que la razón de momios de informalidad de un trabajador con educación universitaria equivale a 0,35 veces la de un trabajador con educación primaria, es decir, una reducción del 65 % en la razón de probabilidades de ser informal, manteniendo constantes las demás variables. De manera análoga, un efecto marginal de -0,30 indicaría que, en promedio, contar con educación universitaria reduce en 30 puntos porcentuales la probabilidad de informalidad respecto de la categoría de referencia. Esta forma de interpretación, en términos de efectos marginales y razones de momios, es la que se adopta en la presentación de los resultados.</w:t>
      </w:r>
    </w:p>
    <w:p>
      <w:pPr>
        <w:spacing w:before="200" w:after="120"/>
      </w:pPr>
      <w:r>
        <w:rPr>
          <w:rFonts w:ascii="Times New Roman" w:hAnsi="Times New Roman" w:cs="Times New Roman"/>
          <w:b/>
          <w:color w:val="1F4E79"/>
          <w:sz w:val="26"/>
        </w:rPr>
        <w:t>3.6.6. Selección entre Logit y Probit</w:t>
      </w:r>
    </w:p>
    <w:p>
      <w:pPr>
        <w:spacing w:after="120"/>
        <w:ind w:firstLine="709"/>
        <w:jc w:val="both"/>
      </w:pPr>
      <w:r>
        <w:rPr>
          <w:rFonts w:ascii="Times New Roman" w:hAnsi="Times New Roman" w:cs="Times New Roman"/>
        </w:rPr>
        <w:t xml:space="preserve">Dado que ambos modelos son apropiados para la variable dependiente dicotómica, se estiman las dos especificaciones y se selecciona la de mejor desempeño con base en los </w:t>
      </w:r>
      <w:r>
        <w:rPr>
          <w:rFonts w:ascii="Times New Roman" w:hAnsi="Times New Roman" w:cs="Times New Roman"/>
          <w:b/>
        </w:rPr>
        <w:t>criterios de información de Akaike (AIC) y Bayesiano (BIC)</w:t>
      </w:r>
      <w:r>
        <w:rPr>
          <w:rFonts w:ascii="Times New Roman" w:hAnsi="Times New Roman" w:cs="Times New Roman"/>
        </w:rPr>
        <w:t xml:space="preserve"> —prefiriéndose el modelo con menores valores— y en la </w:t>
      </w:r>
      <w:r>
        <w:rPr>
          <w:rFonts w:ascii="Times New Roman" w:hAnsi="Times New Roman" w:cs="Times New Roman"/>
          <w:b/>
        </w:rPr>
        <w:t>capacidad predictiva</w:t>
      </w:r>
      <w:r>
        <w:rPr>
          <w:rFonts w:ascii="Times New Roman" w:hAnsi="Times New Roman" w:cs="Times New Roman"/>
        </w:rPr>
        <w:t xml:space="preserve"> medida por el área bajo la curva ROC. El modelo Logit se adopta como especificación principal por la interpretabilidad de sus razones de momios, y el modelo Probit se estima como </w:t>
      </w:r>
      <w:r>
        <w:rPr>
          <w:rFonts w:ascii="Times New Roman" w:hAnsi="Times New Roman" w:cs="Times New Roman"/>
          <w:b/>
        </w:rPr>
        <w:t>prueba de robustez</w:t>
      </w:r>
      <w:r>
        <w:rPr>
          <w:rFonts w:ascii="Times New Roman" w:hAnsi="Times New Roman" w:cs="Times New Roman"/>
        </w:rPr>
        <w:t>, verificándose la coincidencia de signos, magnitudes y niveles de significancia entre ambos (Semestre Económico, 2025).</w:t>
      </w:r>
    </w:p>
    <w:p>
      <w:pPr>
        <w:spacing w:after="120"/>
        <w:ind w:firstLine="709"/>
        <w:jc w:val="both"/>
      </w:pPr>
      <w:r>
        <w:rPr>
          <w:rFonts w:ascii="Times New Roman" w:hAnsi="Times New Roman" w:cs="Times New Roman"/>
        </w:rPr>
        <w:t>Los criterios de información se calculan como:</w:t>
      </w:r>
    </w:p>
    <w:p>
      <w:pPr>
        <w:spacing w:before="80" w:after="120"/>
        <w:jc w:val="center"/>
      </w:pPr>
      <w:r>
        <w:rPr>
          <w:rFonts w:ascii="Times New Roman" w:hAnsi="Times New Roman" w:cs="Times New Roman"/>
          <w:i/>
          <w:sz w:val="24"/>
        </w:rPr>
        <w:t>AIC = −2·ln L + 2k          BIC = −2·ln L + k·ln(n)</w:t>
      </w:r>
      <w:r>
        <w:rPr>
          <w:rFonts w:ascii="Times New Roman" w:hAnsi="Times New Roman" w:cs="Times New Roman"/>
          <w:i w:val="0"/>
        </w:rPr>
        <w:tab/>
        <w:tab/>
        <w:t>(3.11)</w:t>
      </w:r>
    </w:p>
    <w:p>
      <w:pPr>
        <w:spacing w:after="160"/>
        <w:ind w:firstLine="709"/>
        <w:jc w:val="both"/>
      </w:pPr>
      <w:r>
        <w:rPr>
          <w:rFonts w:ascii="Times New Roman" w:hAnsi="Times New Roman" w:cs="Times New Roman"/>
        </w:rPr>
        <w:t>donde ln L es el valor de la log-verosimilitud del modelo estimado, k es el número de parámetros y n es el tamaño de la muestra. Ambos criterios penalizan la complejidad del modelo —el BIC de manera más estricta, al ponderar por el logaritmo del tamaño muestral—, de modo que, entre dos especificaciones con ajuste similar, se prefiere la más parsimoniosa. La concordancia de los resultados entre las especificaciones Logit y Probit constituye, además, una evidencia de la solidez de los hallazgos frente a la elección de la forma funcional.</w:t>
      </w:r>
    </w:p>
    <w:p>
      <w:pPr>
        <w:spacing w:before="240" w:after="160"/>
      </w:pPr>
      <w:r>
        <w:rPr>
          <w:rFonts w:ascii="Times New Roman" w:hAnsi="Times New Roman" w:cs="Times New Roman"/>
          <w:b/>
          <w:color w:val="1F4E79"/>
          <w:sz w:val="28"/>
        </w:rPr>
        <w:t>3.7. Pruebas de validación y diagnóstico del modelo</w:t>
      </w:r>
    </w:p>
    <w:p>
      <w:pPr>
        <w:spacing w:after="120"/>
        <w:ind w:firstLine="709"/>
        <w:jc w:val="both"/>
      </w:pPr>
      <w:r>
        <w:rPr>
          <w:rFonts w:ascii="Times New Roman" w:hAnsi="Times New Roman" w:cs="Times New Roman"/>
        </w:rPr>
        <w:t>Con el fin de garantizar la validez de las estimaciones, se aplican pruebas de bondad de ajuste, de capacidad predictiva y de diagnóstico econométrico, sintetizadas en la Tabla 2.</w:t>
      </w:r>
    </w:p>
    <w:p>
      <w:pPr>
        <w:spacing w:before="200" w:after="120"/>
      </w:pPr>
      <w:r>
        <w:rPr>
          <w:rFonts w:ascii="Times New Roman" w:hAnsi="Times New Roman" w:cs="Times New Roman"/>
          <w:b/>
          <w:color w:val="1F4E79"/>
          <w:sz w:val="26"/>
        </w:rPr>
        <w:t>3.7.1. Bondad de ajuste</w:t>
      </w:r>
    </w:p>
    <w:p>
      <w:pPr>
        <w:spacing w:after="120"/>
        <w:ind w:firstLine="709"/>
        <w:jc w:val="both"/>
      </w:pPr>
      <w:r>
        <w:rPr>
          <w:rFonts w:ascii="Times New Roman" w:hAnsi="Times New Roman" w:cs="Times New Roman"/>
        </w:rPr>
        <w:t xml:space="preserve">La bondad de ajuste global del modelo se evalúa mediante el </w:t>
      </w:r>
      <w:r>
        <w:rPr>
          <w:rFonts w:ascii="Times New Roman" w:hAnsi="Times New Roman" w:cs="Times New Roman"/>
          <w:b/>
        </w:rPr>
        <w:t>pseudo-R² de McFadden</w:t>
      </w:r>
      <w:r>
        <w:rPr>
          <w:rFonts w:ascii="Times New Roman" w:hAnsi="Times New Roman" w:cs="Times New Roman"/>
        </w:rPr>
        <w:t>, definido a partir de la log-verosimilitud del modelo estimado (ln L_c) y la del modelo que solo incluye la constante (ln L_0):</w:t>
      </w:r>
    </w:p>
    <w:p>
      <w:pPr>
        <w:spacing w:before="80" w:after="120"/>
        <w:jc w:val="center"/>
      </w:pPr>
      <w:r>
        <w:rPr>
          <w:rFonts w:ascii="Times New Roman" w:hAnsi="Times New Roman" w:cs="Times New Roman"/>
          <w:i/>
          <w:sz w:val="24"/>
        </w:rPr>
        <w:t>R²_McFadden = 1 − (ln L_c / ln L₀)</w:t>
      </w:r>
      <w:r>
        <w:rPr>
          <w:rFonts w:ascii="Times New Roman" w:hAnsi="Times New Roman" w:cs="Times New Roman"/>
          <w:i w:val="0"/>
        </w:rPr>
        <w:tab/>
        <w:tab/>
        <w:t>(3.12)</w:t>
      </w:r>
    </w:p>
    <w:p>
      <w:pPr>
        <w:spacing w:after="120"/>
        <w:ind w:firstLine="709"/>
        <w:jc w:val="both"/>
      </w:pPr>
      <w:r>
        <w:rPr>
          <w:rFonts w:ascii="Times New Roman" w:hAnsi="Times New Roman" w:cs="Times New Roman"/>
        </w:rPr>
        <w:t xml:space="preserve">Asimismo, la significancia conjunta de los parámetros se contrasta mediante la </w:t>
      </w:r>
      <w:r>
        <w:rPr>
          <w:rFonts w:ascii="Times New Roman" w:hAnsi="Times New Roman" w:cs="Times New Roman"/>
          <w:b/>
        </w:rPr>
        <w:t>prueba de razón de verosimilitud (LR)</w:t>
      </w:r>
      <w:r>
        <w:rPr>
          <w:rFonts w:ascii="Times New Roman" w:hAnsi="Times New Roman" w:cs="Times New Roman"/>
        </w:rPr>
        <w:t>, que sigue una distribución ji-cuadrada con tantos grados de libertad como restricciones evaluadas, y cuya hipótesis nula plantea que todos los coeficientes de pendiente son iguales a cero.</w:t>
      </w:r>
    </w:p>
    <w:p>
      <w:pPr>
        <w:spacing w:after="120"/>
        <w:ind w:firstLine="709"/>
        <w:jc w:val="both"/>
      </w:pPr>
      <w:r>
        <w:rPr>
          <w:rFonts w:ascii="Times New Roman" w:hAnsi="Times New Roman" w:cs="Times New Roman"/>
        </w:rPr>
        <w:t>Conviene precisar que el pseudo-R² de McFadden no admite la misma interpretación que el coeficiente de determinación del modelo lineal: sus valores tienden a ser más bajos, y se considera que un valor situado entre 0,2 y 0,4 refleja un ajuste satisfactorio en modelos de elección discreta. Por ello, la evaluación de la bondad de ajuste no se sustenta en un único indicador, sino en la combinación del pseudo-R², la prueba de razón de verosimilitud, los criterios de información y, sobre todo, la capacidad predictiva del modelo.</w:t>
      </w:r>
    </w:p>
    <w:p>
      <w:pPr>
        <w:spacing w:before="200" w:after="120"/>
      </w:pPr>
      <w:r>
        <w:rPr>
          <w:rFonts w:ascii="Times New Roman" w:hAnsi="Times New Roman" w:cs="Times New Roman"/>
          <w:b/>
          <w:color w:val="1F4E79"/>
          <w:sz w:val="26"/>
        </w:rPr>
        <w:t>3.7.2. Capacidad predictiva</w:t>
      </w:r>
    </w:p>
    <w:p>
      <w:pPr>
        <w:spacing w:after="120"/>
        <w:ind w:firstLine="709"/>
        <w:jc w:val="both"/>
      </w:pPr>
      <w:r>
        <w:rPr>
          <w:rFonts w:ascii="Times New Roman" w:hAnsi="Times New Roman" w:cs="Times New Roman"/>
        </w:rPr>
        <w:t xml:space="preserve">La capacidad predictiva del modelo se evalúa mediante la </w:t>
      </w:r>
      <w:r>
        <w:rPr>
          <w:rFonts w:ascii="Times New Roman" w:hAnsi="Times New Roman" w:cs="Times New Roman"/>
          <w:b/>
        </w:rPr>
        <w:t>matriz de clasificación</w:t>
      </w:r>
      <w:r>
        <w:rPr>
          <w:rFonts w:ascii="Times New Roman" w:hAnsi="Times New Roman" w:cs="Times New Roman"/>
        </w:rPr>
        <w:t xml:space="preserve">, que contrasta los valores observados con los predichos a partir de un umbral de probabilidad (usualmente 0,5), y mediante el </w:t>
      </w:r>
      <w:r>
        <w:rPr>
          <w:rFonts w:ascii="Times New Roman" w:hAnsi="Times New Roman" w:cs="Times New Roman"/>
          <w:b/>
        </w:rPr>
        <w:t>área bajo la curva ROC (AUC)</w:t>
      </w:r>
      <w:r>
        <w:rPr>
          <w:rFonts w:ascii="Times New Roman" w:hAnsi="Times New Roman" w:cs="Times New Roman"/>
        </w:rPr>
        <w:t>, que resume la capacidad del modelo para discriminar entre trabajadores formales e informales. Un valor del AUC cercano a 1 indica un excelente poder de discriminación; como referencia, el estudio guía alcanzó valores de AUC de 0,934 y 0,933, indicativos de un ajuste predictivo muy satisfactorio (Semestre Económico, 2025).</w:t>
      </w:r>
    </w:p>
    <w:p>
      <w:pPr>
        <w:spacing w:after="120"/>
        <w:ind w:firstLine="709"/>
        <w:jc w:val="both"/>
      </w:pPr>
      <w:r>
        <w:rPr>
          <w:rFonts w:ascii="Times New Roman" w:hAnsi="Times New Roman" w:cs="Times New Roman"/>
        </w:rPr>
        <w:t xml:space="preserve">La matriz de clasificación cruza las categorías observadas con las predichas y permite calcular indicadores de desempeño como la </w:t>
      </w:r>
      <w:r>
        <w:rPr>
          <w:rFonts w:ascii="Times New Roman" w:hAnsi="Times New Roman" w:cs="Times New Roman"/>
          <w:b/>
        </w:rPr>
        <w:t>sensibilidad</w:t>
      </w:r>
      <w:r>
        <w:rPr>
          <w:rFonts w:ascii="Times New Roman" w:hAnsi="Times New Roman" w:cs="Times New Roman"/>
        </w:rPr>
        <w:t xml:space="preserve"> (proporción de informales correctamente clasificados), la </w:t>
      </w:r>
      <w:r>
        <w:rPr>
          <w:rFonts w:ascii="Times New Roman" w:hAnsi="Times New Roman" w:cs="Times New Roman"/>
          <w:b/>
        </w:rPr>
        <w:t>especificidad</w:t>
      </w:r>
      <w:r>
        <w:rPr>
          <w:rFonts w:ascii="Times New Roman" w:hAnsi="Times New Roman" w:cs="Times New Roman"/>
        </w:rPr>
        <w:t xml:space="preserve"> (proporción de formales correctamente clasificados) y el </w:t>
      </w:r>
      <w:r>
        <w:rPr>
          <w:rFonts w:ascii="Times New Roman" w:hAnsi="Times New Roman" w:cs="Times New Roman"/>
          <w:b/>
        </w:rPr>
        <w:t>porcentaje global de aciertos</w:t>
      </w:r>
      <w:r>
        <w:rPr>
          <w:rFonts w:ascii="Times New Roman" w:hAnsi="Times New Roman" w:cs="Times New Roman"/>
        </w:rPr>
        <w:t>. Su estructura se presenta en la Tabla 4.</w:t>
      </w:r>
    </w:p>
    <w:p>
      <w:pPr>
        <w:spacing w:before="200" w:after="40"/>
      </w:pPr>
      <w:r>
        <w:rPr>
          <w:rFonts w:ascii="Times New Roman" w:hAnsi="Times New Roman" w:cs="Times New Roman"/>
          <w:b/>
          <w:sz w:val="22"/>
        </w:rPr>
        <w:t>Tabla 3</w:t>
      </w:r>
    </w:p>
    <w:p>
      <w:pPr>
        <w:spacing w:after="80"/>
      </w:pPr>
      <w:r>
        <w:rPr>
          <w:rFonts w:ascii="Times New Roman" w:hAnsi="Times New Roman" w:cs="Times New Roman"/>
          <w:i/>
          <w:sz w:val="22"/>
        </w:rPr>
        <w:t>Estructura de la matriz de clasificación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68"/>
            <w:shd w:val="clear" w:fill="1F4E79"/>
          </w:tcPr>
          <w:p>
            <w:pPr>
              <w:spacing w:line="240" w:lineRule="auto"/>
              <w:jc w:val="center"/>
            </w:pPr>
            <w:r>
              <w:rPr>
                <w:rFonts w:ascii="Times New Roman" w:hAnsi="Times New Roman" w:cs="Times New Roman"/>
                <w:b/>
                <w:color w:val="FFFFFF"/>
                <w:sz w:val="18"/>
              </w:rPr>
              <w:t>Observado \ Predicho</w:t>
            </w:r>
          </w:p>
        </w:tc>
        <w:tc>
          <w:tcPr>
            <w:tcW w:type="dxa" w:w="2268"/>
            <w:shd w:val="clear" w:fill="1F4E79"/>
          </w:tcPr>
          <w:p>
            <w:pPr>
              <w:spacing w:line="240" w:lineRule="auto"/>
              <w:jc w:val="center"/>
            </w:pPr>
            <w:r>
              <w:rPr>
                <w:rFonts w:ascii="Times New Roman" w:hAnsi="Times New Roman" w:cs="Times New Roman"/>
                <w:b/>
                <w:color w:val="FFFFFF"/>
                <w:sz w:val="18"/>
              </w:rPr>
              <w:t>Informal (1)</w:t>
            </w:r>
          </w:p>
        </w:tc>
        <w:tc>
          <w:tcPr>
            <w:tcW w:type="dxa" w:w="2268"/>
            <w:shd w:val="clear" w:fill="1F4E79"/>
          </w:tcPr>
          <w:p>
            <w:pPr>
              <w:spacing w:line="240" w:lineRule="auto"/>
              <w:jc w:val="center"/>
            </w:pPr>
            <w:r>
              <w:rPr>
                <w:rFonts w:ascii="Times New Roman" w:hAnsi="Times New Roman" w:cs="Times New Roman"/>
                <w:b/>
                <w:color w:val="FFFFFF"/>
                <w:sz w:val="18"/>
              </w:rPr>
              <w:t>Formal (0)</w:t>
            </w:r>
          </w:p>
        </w:tc>
        <w:tc>
          <w:tcPr>
            <w:tcW w:type="dxa" w:w="1134"/>
            <w:shd w:val="clear" w:fill="1F4E79"/>
          </w:tcPr>
          <w:p>
            <w:pPr>
              <w:spacing w:line="240" w:lineRule="auto"/>
              <w:jc w:val="center"/>
            </w:pPr>
            <w:r>
              <w:rPr>
                <w:rFonts w:ascii="Times New Roman" w:hAnsi="Times New Roman" w:cs="Times New Roman"/>
                <w:b/>
                <w:color w:val="FFFFFF"/>
                <w:sz w:val="18"/>
              </w:rPr>
              <w:t>Total</w:t>
            </w:r>
          </w:p>
        </w:tc>
      </w:tr>
      <w:tr>
        <w:tc>
          <w:tcPr>
            <w:tcW w:type="dxa" w:w="2268"/>
          </w:tcPr>
          <w:p>
            <w:pPr>
              <w:spacing w:line="240" w:lineRule="auto"/>
              <w:jc w:val="left"/>
            </w:pPr>
            <w:r>
              <w:rPr>
                <w:rFonts w:ascii="Times New Roman" w:hAnsi="Times New Roman" w:cs="Times New Roman"/>
                <w:sz w:val="18"/>
              </w:rPr>
              <w:t>Informal (1)</w:t>
            </w:r>
          </w:p>
        </w:tc>
        <w:tc>
          <w:tcPr>
            <w:tcW w:type="dxa" w:w="2268"/>
          </w:tcPr>
          <w:p>
            <w:pPr>
              <w:spacing w:line="240" w:lineRule="auto"/>
              <w:jc w:val="left"/>
            </w:pPr>
            <w:r>
              <w:rPr>
                <w:rFonts w:ascii="Times New Roman" w:hAnsi="Times New Roman" w:cs="Times New Roman"/>
                <w:sz w:val="18"/>
              </w:rPr>
              <w:t>Verdaderos positivos (VP)</w:t>
            </w:r>
          </w:p>
        </w:tc>
        <w:tc>
          <w:tcPr>
            <w:tcW w:type="dxa" w:w="2268"/>
          </w:tcPr>
          <w:p>
            <w:pPr>
              <w:spacing w:line="240" w:lineRule="auto"/>
              <w:jc w:val="left"/>
            </w:pPr>
            <w:r>
              <w:rPr>
                <w:rFonts w:ascii="Times New Roman" w:hAnsi="Times New Roman" w:cs="Times New Roman"/>
                <w:sz w:val="18"/>
              </w:rPr>
              <w:t>Falsos negativos (FN)</w:t>
            </w:r>
          </w:p>
        </w:tc>
        <w:tc>
          <w:tcPr>
            <w:tcW w:type="dxa" w:w="1134"/>
          </w:tcPr>
          <w:p>
            <w:pPr>
              <w:spacing w:line="240" w:lineRule="auto"/>
              <w:jc w:val="left"/>
            </w:pPr>
            <w:r>
              <w:rPr>
                <w:rFonts w:ascii="Times New Roman" w:hAnsi="Times New Roman" w:cs="Times New Roman"/>
                <w:sz w:val="18"/>
              </w:rPr>
              <w:t>VP + FN</w:t>
            </w:r>
          </w:p>
        </w:tc>
      </w:tr>
      <w:tr>
        <w:tc>
          <w:tcPr>
            <w:tcW w:type="dxa" w:w="2268"/>
            <w:shd w:val="clear" w:fill="EAF1F8"/>
          </w:tcPr>
          <w:p>
            <w:pPr>
              <w:spacing w:line="240" w:lineRule="auto"/>
              <w:jc w:val="left"/>
            </w:pPr>
            <w:r>
              <w:rPr>
                <w:rFonts w:ascii="Times New Roman" w:hAnsi="Times New Roman" w:cs="Times New Roman"/>
                <w:sz w:val="18"/>
              </w:rPr>
              <w:t>Formal (0)</w:t>
            </w:r>
          </w:p>
        </w:tc>
        <w:tc>
          <w:tcPr>
            <w:tcW w:type="dxa" w:w="2268"/>
            <w:shd w:val="clear" w:fill="EAF1F8"/>
          </w:tcPr>
          <w:p>
            <w:pPr>
              <w:spacing w:line="240" w:lineRule="auto"/>
              <w:jc w:val="left"/>
            </w:pPr>
            <w:r>
              <w:rPr>
                <w:rFonts w:ascii="Times New Roman" w:hAnsi="Times New Roman" w:cs="Times New Roman"/>
                <w:sz w:val="18"/>
              </w:rPr>
              <w:t>Falsos positivos (FP)</w:t>
            </w:r>
          </w:p>
        </w:tc>
        <w:tc>
          <w:tcPr>
            <w:tcW w:type="dxa" w:w="2268"/>
            <w:shd w:val="clear" w:fill="EAF1F8"/>
          </w:tcPr>
          <w:p>
            <w:pPr>
              <w:spacing w:line="240" w:lineRule="auto"/>
              <w:jc w:val="left"/>
            </w:pPr>
            <w:r>
              <w:rPr>
                <w:rFonts w:ascii="Times New Roman" w:hAnsi="Times New Roman" w:cs="Times New Roman"/>
                <w:sz w:val="18"/>
              </w:rPr>
              <w:t>Verdaderos negativos (VN)</w:t>
            </w:r>
          </w:p>
        </w:tc>
        <w:tc>
          <w:tcPr>
            <w:tcW w:type="dxa" w:w="1134"/>
            <w:shd w:val="clear" w:fill="EAF1F8"/>
          </w:tcPr>
          <w:p>
            <w:pPr>
              <w:spacing w:line="240" w:lineRule="auto"/>
              <w:jc w:val="left"/>
            </w:pPr>
            <w:r>
              <w:rPr>
                <w:rFonts w:ascii="Times New Roman" w:hAnsi="Times New Roman" w:cs="Times New Roman"/>
                <w:sz w:val="18"/>
              </w:rPr>
              <w:t>FP + VN</w:t>
            </w:r>
          </w:p>
        </w:tc>
      </w:tr>
      <w:tr>
        <w:tc>
          <w:tcPr>
            <w:tcW w:type="dxa" w:w="2268"/>
          </w:tcPr>
          <w:p>
            <w:pPr>
              <w:spacing w:line="240" w:lineRule="auto"/>
              <w:jc w:val="left"/>
            </w:pPr>
            <w:r>
              <w:rPr>
                <w:rFonts w:ascii="Times New Roman" w:hAnsi="Times New Roman" w:cs="Times New Roman"/>
                <w:sz w:val="18"/>
              </w:rPr>
              <w:t>Total</w:t>
            </w:r>
          </w:p>
        </w:tc>
        <w:tc>
          <w:tcPr>
            <w:tcW w:type="dxa" w:w="2268"/>
          </w:tcPr>
          <w:p>
            <w:pPr>
              <w:spacing w:line="240" w:lineRule="auto"/>
              <w:jc w:val="left"/>
            </w:pPr>
            <w:r>
              <w:rPr>
                <w:rFonts w:ascii="Times New Roman" w:hAnsi="Times New Roman" w:cs="Times New Roman"/>
                <w:sz w:val="18"/>
              </w:rPr>
              <w:t>VP + FP</w:t>
            </w:r>
          </w:p>
        </w:tc>
        <w:tc>
          <w:tcPr>
            <w:tcW w:type="dxa" w:w="2268"/>
          </w:tcPr>
          <w:p>
            <w:pPr>
              <w:spacing w:line="240" w:lineRule="auto"/>
              <w:jc w:val="left"/>
            </w:pPr>
            <w:r>
              <w:rPr>
                <w:rFonts w:ascii="Times New Roman" w:hAnsi="Times New Roman" w:cs="Times New Roman"/>
                <w:sz w:val="18"/>
              </w:rPr>
              <w:t>FN + VN</w:t>
            </w:r>
          </w:p>
        </w:tc>
        <w:tc>
          <w:tcPr>
            <w:tcW w:type="dxa" w:w="1134"/>
          </w:tcPr>
          <w:p>
            <w:pPr>
              <w:spacing w:line="240" w:lineRule="auto"/>
              <w:jc w:val="left"/>
            </w:pPr>
            <w:r>
              <w:rPr>
                <w:rFonts w:ascii="Times New Roman" w:hAnsi="Times New Roman" w:cs="Times New Roman"/>
                <w:sz w:val="18"/>
              </w:rPr>
              <w:t>n</w:t>
            </w:r>
          </w:p>
        </w:tc>
      </w:tr>
    </w:tbl>
    <w:p>
      <w:pPr>
        <w:spacing w:after="160" w:before="40"/>
      </w:pPr>
      <w:r>
        <w:rPr>
          <w:rFonts w:ascii="Times New Roman" w:hAnsi="Times New Roman" w:cs="Times New Roman"/>
          <w:i/>
          <w:color w:val="404040"/>
          <w:sz w:val="18"/>
        </w:rPr>
        <w:t>Nota. Elaboración propia. Sensibilidad = VP/(VP+FN); especificidad = VN/(FP+VN); aciertos globales = (VP+VN)/n.</w:t>
      </w:r>
    </w:p>
    <w:p>
      <w:pPr>
        <w:spacing w:before="200" w:after="120"/>
      </w:pPr>
      <w:r>
        <w:rPr>
          <w:rFonts w:ascii="Times New Roman" w:hAnsi="Times New Roman" w:cs="Times New Roman"/>
          <w:b/>
          <w:color w:val="1F4E79"/>
          <w:sz w:val="26"/>
        </w:rPr>
        <w:t>3.7.3. Multicolinealidad</w:t>
      </w:r>
    </w:p>
    <w:p>
      <w:pPr>
        <w:spacing w:after="120"/>
        <w:ind w:firstLine="709"/>
        <w:jc w:val="both"/>
      </w:pPr>
      <w:r>
        <w:rPr>
          <w:rFonts w:ascii="Times New Roman" w:hAnsi="Times New Roman" w:cs="Times New Roman"/>
        </w:rPr>
        <w:t xml:space="preserve">Para descartar la presencia de multicolinealidad entre las variables explicativas se calcula el </w:t>
      </w:r>
      <w:r>
        <w:rPr>
          <w:rFonts w:ascii="Times New Roman" w:hAnsi="Times New Roman" w:cs="Times New Roman"/>
          <w:b/>
        </w:rPr>
        <w:t>factor de inflación de la varianza (VIF)</w:t>
      </w:r>
      <w:r>
        <w:rPr>
          <w:rFonts w:ascii="Times New Roman" w:hAnsi="Times New Roman" w:cs="Times New Roman"/>
        </w:rPr>
        <w:t>. Se considera que existe multicolinealidad moderada cuando el VIF supera el valor de 5 y grave cuando supera el valor de 10; en este último caso, se evalúa la transformación o eliminación de las variables afectadas.</w:t>
      </w:r>
    </w:p>
    <w:p>
      <w:pPr>
        <w:spacing w:before="200" w:after="120"/>
      </w:pPr>
      <w:r>
        <w:rPr>
          <w:rFonts w:ascii="Times New Roman" w:hAnsi="Times New Roman" w:cs="Times New Roman"/>
          <w:b/>
          <w:color w:val="1F4E79"/>
          <w:sz w:val="26"/>
        </w:rPr>
        <w:t>3.7.4. Especificación y calibración</w:t>
      </w:r>
    </w:p>
    <w:p>
      <w:pPr>
        <w:spacing w:after="120"/>
        <w:ind w:firstLine="709"/>
        <w:jc w:val="both"/>
      </w:pPr>
      <w:r>
        <w:rPr>
          <w:rFonts w:ascii="Times New Roman" w:hAnsi="Times New Roman" w:cs="Times New Roman"/>
        </w:rPr>
        <w:t xml:space="preserve">La correcta especificación del modelo se verifica mediante la </w:t>
      </w:r>
      <w:r>
        <w:rPr>
          <w:rFonts w:ascii="Times New Roman" w:hAnsi="Times New Roman" w:cs="Times New Roman"/>
          <w:b/>
        </w:rPr>
        <w:t>prueba de especificación de enlace (link test)</w:t>
      </w:r>
      <w:r>
        <w:rPr>
          <w:rFonts w:ascii="Times New Roman" w:hAnsi="Times New Roman" w:cs="Times New Roman"/>
        </w:rPr>
        <w:t xml:space="preserve"> y la </w:t>
      </w:r>
      <w:r>
        <w:rPr>
          <w:rFonts w:ascii="Times New Roman" w:hAnsi="Times New Roman" w:cs="Times New Roman"/>
          <w:b/>
        </w:rPr>
        <w:t>prueba de bondad de ajuste de Hosmer-Lemeshow</w:t>
      </w:r>
      <w:r>
        <w:rPr>
          <w:rFonts w:ascii="Times New Roman" w:hAnsi="Times New Roman" w:cs="Times New Roman"/>
        </w:rPr>
        <w:t>, que contrasta la concordancia entre las frecuencias observadas y esperadas por grupos de probabilidad. El no rechazo de la hipótesis nula en esta última prueba indica que el modelo se encuentra correctamente calibrado. El estadístico de Hosmer-Lemeshow se define como:</w:t>
      </w:r>
    </w:p>
    <w:p>
      <w:pPr>
        <w:spacing w:before="80" w:after="120"/>
        <w:jc w:val="center"/>
      </w:pPr>
      <w:r>
        <w:rPr>
          <w:rFonts w:ascii="Times New Roman" w:hAnsi="Times New Roman" w:cs="Times New Roman"/>
          <w:i/>
          <w:sz w:val="24"/>
        </w:rPr>
        <w:t>Ĥ = Σ_{g=1}^{G} [(O_g − E_g)² / (E_g · (1 − E_g/n_g))]</w:t>
      </w:r>
      <w:r>
        <w:rPr>
          <w:rFonts w:ascii="Times New Roman" w:hAnsi="Times New Roman" w:cs="Times New Roman"/>
          <w:i w:val="0"/>
        </w:rPr>
        <w:tab/>
        <w:tab/>
        <w:t>(3.13)</w:t>
      </w:r>
    </w:p>
    <w:p>
      <w:pPr>
        <w:spacing w:after="120"/>
        <w:ind w:firstLine="709"/>
        <w:jc w:val="both"/>
      </w:pPr>
      <w:r>
        <w:rPr>
          <w:rFonts w:ascii="Times New Roman" w:hAnsi="Times New Roman" w:cs="Times New Roman"/>
        </w:rPr>
        <w:t>donde G es el número de grupos (usualmente diez deciles de riesgo), O_g y E_g son las frecuencias observada y esperada de informales en el grupo g, y n_g es el número de observaciones del grupo. El estadístico se distribuye como una ji-cuadrada con G − 2 grados de libertad; un p-valor superior a 0,05 indica que no existe evidencia de mala calibración del modelo.</w:t>
      </w:r>
    </w:p>
    <w:p>
      <w:pPr>
        <w:spacing w:before="200" w:after="40"/>
      </w:pPr>
      <w:r>
        <w:rPr>
          <w:rFonts w:ascii="Times New Roman" w:hAnsi="Times New Roman" w:cs="Times New Roman"/>
          <w:b/>
          <w:sz w:val="22"/>
        </w:rPr>
        <w:t>Tabla 4</w:t>
      </w:r>
    </w:p>
    <w:p>
      <w:pPr>
        <w:spacing w:after="80"/>
      </w:pPr>
      <w:r>
        <w:rPr>
          <w:rFonts w:ascii="Times New Roman" w:hAnsi="Times New Roman" w:cs="Times New Roman"/>
          <w:i/>
          <w:sz w:val="22"/>
        </w:rPr>
        <w:t>Pruebas de validación y diagnóstico econométrico</w:t>
      </w:r>
    </w:p>
    <w:tbl>
      <w:tblPr>
        <w:tblStyle w:val="TableGrid"/>
        <w:tblW w:type="auto" w:w="0"/>
        <w:jc w:val="center"/>
        <w:tblLook w:firstColumn="1" w:firstRow="1" w:lastColumn="0" w:lastRow="0" w:noHBand="0" w:noVBand="1" w:val="04A0"/>
      </w:tblPr>
      <w:tblGrid>
        <w:gridCol w:w="3009"/>
        <w:gridCol w:w="3009"/>
        <w:gridCol w:w="3009"/>
      </w:tblGrid>
      <w:tr>
        <w:tc>
          <w:tcPr>
            <w:tcW w:type="dxa" w:w="1928"/>
            <w:shd w:val="clear" w:fill="1F4E79"/>
          </w:tcPr>
          <w:p>
            <w:pPr>
              <w:spacing w:line="240" w:lineRule="auto"/>
              <w:jc w:val="center"/>
            </w:pPr>
            <w:r>
              <w:rPr>
                <w:rFonts w:ascii="Times New Roman" w:hAnsi="Times New Roman" w:cs="Times New Roman"/>
                <w:b/>
                <w:color w:val="FFFFFF"/>
                <w:sz w:val="18"/>
              </w:rPr>
              <w:t>Dimensión</w:t>
            </w:r>
          </w:p>
        </w:tc>
        <w:tc>
          <w:tcPr>
            <w:tcW w:type="dxa" w:w="3175"/>
            <w:shd w:val="clear" w:fill="1F4E79"/>
          </w:tcPr>
          <w:p>
            <w:pPr>
              <w:spacing w:line="240" w:lineRule="auto"/>
              <w:jc w:val="center"/>
            </w:pPr>
            <w:r>
              <w:rPr>
                <w:rFonts w:ascii="Times New Roman" w:hAnsi="Times New Roman" w:cs="Times New Roman"/>
                <w:b/>
                <w:color w:val="FFFFFF"/>
                <w:sz w:val="18"/>
              </w:rPr>
              <w:t>Prueba / estadístico</w:t>
            </w:r>
          </w:p>
        </w:tc>
        <w:tc>
          <w:tcPr>
            <w:tcW w:type="dxa" w:w="3742"/>
            <w:shd w:val="clear" w:fill="1F4E79"/>
          </w:tcPr>
          <w:p>
            <w:pPr>
              <w:spacing w:line="240" w:lineRule="auto"/>
              <w:jc w:val="center"/>
            </w:pPr>
            <w:r>
              <w:rPr>
                <w:rFonts w:ascii="Times New Roman" w:hAnsi="Times New Roman" w:cs="Times New Roman"/>
                <w:b/>
                <w:color w:val="FFFFFF"/>
                <w:sz w:val="18"/>
              </w:rPr>
              <w:t>Criterio de decisión</w:t>
            </w:r>
          </w:p>
        </w:tc>
      </w:tr>
      <w:tr>
        <w:tc>
          <w:tcPr>
            <w:tcW w:type="dxa" w:w="1928"/>
          </w:tcPr>
          <w:p>
            <w:pPr>
              <w:spacing w:line="240" w:lineRule="auto"/>
              <w:jc w:val="left"/>
            </w:pPr>
            <w:r>
              <w:rPr>
                <w:rFonts w:ascii="Times New Roman" w:hAnsi="Times New Roman" w:cs="Times New Roman"/>
                <w:sz w:val="18"/>
              </w:rPr>
              <w:t>Bondad de ajuste</w:t>
            </w:r>
          </w:p>
        </w:tc>
        <w:tc>
          <w:tcPr>
            <w:tcW w:type="dxa" w:w="3175"/>
          </w:tcPr>
          <w:p>
            <w:pPr>
              <w:spacing w:line="240" w:lineRule="auto"/>
              <w:jc w:val="left"/>
            </w:pPr>
            <w:r>
              <w:rPr>
                <w:rFonts w:ascii="Times New Roman" w:hAnsi="Times New Roman" w:cs="Times New Roman"/>
                <w:sz w:val="18"/>
              </w:rPr>
              <w:t>Pseudo-R² de McFadden; razón de verosimilitud (LR)</w:t>
            </w:r>
          </w:p>
        </w:tc>
        <w:tc>
          <w:tcPr>
            <w:tcW w:type="dxa" w:w="3742"/>
          </w:tcPr>
          <w:p>
            <w:pPr>
              <w:spacing w:line="240" w:lineRule="auto"/>
              <w:jc w:val="left"/>
            </w:pPr>
            <w:r>
              <w:rPr>
                <w:rFonts w:ascii="Times New Roman" w:hAnsi="Times New Roman" w:cs="Times New Roman"/>
                <w:sz w:val="18"/>
              </w:rPr>
              <w:t>Mayor pseudo-R²; rechazo de H₀ en la prueba LR (p &lt; 0,05)</w:t>
            </w:r>
          </w:p>
        </w:tc>
      </w:tr>
      <w:tr>
        <w:tc>
          <w:tcPr>
            <w:tcW w:type="dxa" w:w="1928"/>
            <w:shd w:val="clear" w:fill="EAF1F8"/>
          </w:tcPr>
          <w:p>
            <w:pPr>
              <w:spacing w:line="240" w:lineRule="auto"/>
              <w:jc w:val="left"/>
            </w:pPr>
            <w:r>
              <w:rPr>
                <w:rFonts w:ascii="Times New Roman" w:hAnsi="Times New Roman" w:cs="Times New Roman"/>
                <w:sz w:val="18"/>
              </w:rPr>
              <w:t>Capacidad predictiva</w:t>
            </w:r>
          </w:p>
        </w:tc>
        <w:tc>
          <w:tcPr>
            <w:tcW w:type="dxa" w:w="3175"/>
            <w:shd w:val="clear" w:fill="EAF1F8"/>
          </w:tcPr>
          <w:p>
            <w:pPr>
              <w:spacing w:line="240" w:lineRule="auto"/>
              <w:jc w:val="left"/>
            </w:pPr>
            <w:r>
              <w:rPr>
                <w:rFonts w:ascii="Times New Roman" w:hAnsi="Times New Roman" w:cs="Times New Roman"/>
                <w:sz w:val="18"/>
              </w:rPr>
              <w:t>Matriz de clasificación; área bajo la curva ROC (AUC)</w:t>
            </w:r>
          </w:p>
        </w:tc>
        <w:tc>
          <w:tcPr>
            <w:tcW w:type="dxa" w:w="3742"/>
            <w:shd w:val="clear" w:fill="EAF1F8"/>
          </w:tcPr>
          <w:p>
            <w:pPr>
              <w:spacing w:line="240" w:lineRule="auto"/>
              <w:jc w:val="left"/>
            </w:pPr>
            <w:r>
              <w:rPr>
                <w:rFonts w:ascii="Times New Roman" w:hAnsi="Times New Roman" w:cs="Times New Roman"/>
                <w:sz w:val="18"/>
              </w:rPr>
              <w:t>Mayor porcentaje de aciertos; AUC cercano a 1</w:t>
            </w:r>
          </w:p>
        </w:tc>
      </w:tr>
      <w:tr>
        <w:tc>
          <w:tcPr>
            <w:tcW w:type="dxa" w:w="1928"/>
          </w:tcPr>
          <w:p>
            <w:pPr>
              <w:spacing w:line="240" w:lineRule="auto"/>
              <w:jc w:val="left"/>
            </w:pPr>
            <w:r>
              <w:rPr>
                <w:rFonts w:ascii="Times New Roman" w:hAnsi="Times New Roman" w:cs="Times New Roman"/>
                <w:sz w:val="18"/>
              </w:rPr>
              <w:t>Multicolinealidad</w:t>
            </w:r>
          </w:p>
        </w:tc>
        <w:tc>
          <w:tcPr>
            <w:tcW w:type="dxa" w:w="3175"/>
          </w:tcPr>
          <w:p>
            <w:pPr>
              <w:spacing w:line="240" w:lineRule="auto"/>
              <w:jc w:val="left"/>
            </w:pPr>
            <w:r>
              <w:rPr>
                <w:rFonts w:ascii="Times New Roman" w:hAnsi="Times New Roman" w:cs="Times New Roman"/>
                <w:sz w:val="18"/>
              </w:rPr>
              <w:t>Factor de inflación de la varianza (VIF)</w:t>
            </w:r>
          </w:p>
        </w:tc>
        <w:tc>
          <w:tcPr>
            <w:tcW w:type="dxa" w:w="3742"/>
          </w:tcPr>
          <w:p>
            <w:pPr>
              <w:spacing w:line="240" w:lineRule="auto"/>
              <w:jc w:val="left"/>
            </w:pPr>
            <w:r>
              <w:rPr>
                <w:rFonts w:ascii="Times New Roman" w:hAnsi="Times New Roman" w:cs="Times New Roman"/>
                <w:sz w:val="18"/>
              </w:rPr>
              <w:t>VIF &lt; 5 (sin problema); VIF &gt; 10 (multicolinealidad grave)</w:t>
            </w:r>
          </w:p>
        </w:tc>
      </w:tr>
      <w:tr>
        <w:tc>
          <w:tcPr>
            <w:tcW w:type="dxa" w:w="1928"/>
            <w:shd w:val="clear" w:fill="EAF1F8"/>
          </w:tcPr>
          <w:p>
            <w:pPr>
              <w:spacing w:line="240" w:lineRule="auto"/>
              <w:jc w:val="left"/>
            </w:pPr>
            <w:r>
              <w:rPr>
                <w:rFonts w:ascii="Times New Roman" w:hAnsi="Times New Roman" w:cs="Times New Roman"/>
                <w:sz w:val="18"/>
              </w:rPr>
              <w:t>Especificación</w:t>
            </w:r>
          </w:p>
        </w:tc>
        <w:tc>
          <w:tcPr>
            <w:tcW w:type="dxa" w:w="3175"/>
            <w:shd w:val="clear" w:fill="EAF1F8"/>
          </w:tcPr>
          <w:p>
            <w:pPr>
              <w:spacing w:line="240" w:lineRule="auto"/>
              <w:jc w:val="left"/>
            </w:pPr>
            <w:r>
              <w:rPr>
                <w:rFonts w:ascii="Times New Roman" w:hAnsi="Times New Roman" w:cs="Times New Roman"/>
                <w:sz w:val="18"/>
              </w:rPr>
              <w:t>Link test; prueba de Hosmer-Lemeshow</w:t>
            </w:r>
          </w:p>
        </w:tc>
        <w:tc>
          <w:tcPr>
            <w:tcW w:type="dxa" w:w="3742"/>
            <w:shd w:val="clear" w:fill="EAF1F8"/>
          </w:tcPr>
          <w:p>
            <w:pPr>
              <w:spacing w:line="240" w:lineRule="auto"/>
              <w:jc w:val="left"/>
            </w:pPr>
            <w:r>
              <w:rPr>
                <w:rFonts w:ascii="Times New Roman" w:hAnsi="Times New Roman" w:cs="Times New Roman"/>
                <w:sz w:val="18"/>
              </w:rPr>
              <w:t>No rechazo de H₀ (modelo bien especificado)</w:t>
            </w:r>
          </w:p>
        </w:tc>
      </w:tr>
      <w:tr>
        <w:tc>
          <w:tcPr>
            <w:tcW w:type="dxa" w:w="1928"/>
          </w:tcPr>
          <w:p>
            <w:pPr>
              <w:spacing w:line="240" w:lineRule="auto"/>
              <w:jc w:val="left"/>
            </w:pPr>
            <w:r>
              <w:rPr>
                <w:rFonts w:ascii="Times New Roman" w:hAnsi="Times New Roman" w:cs="Times New Roman"/>
                <w:sz w:val="18"/>
              </w:rPr>
              <w:t>Selección del modelo</w:t>
            </w:r>
          </w:p>
        </w:tc>
        <w:tc>
          <w:tcPr>
            <w:tcW w:type="dxa" w:w="3175"/>
          </w:tcPr>
          <w:p>
            <w:pPr>
              <w:spacing w:line="240" w:lineRule="auto"/>
              <w:jc w:val="left"/>
            </w:pPr>
            <w:r>
              <w:rPr>
                <w:rFonts w:ascii="Times New Roman" w:hAnsi="Times New Roman" w:cs="Times New Roman"/>
                <w:sz w:val="18"/>
              </w:rPr>
              <w:t>Criterios de información AIC y BIC</w:t>
            </w:r>
          </w:p>
        </w:tc>
        <w:tc>
          <w:tcPr>
            <w:tcW w:type="dxa" w:w="3742"/>
          </w:tcPr>
          <w:p>
            <w:pPr>
              <w:spacing w:line="240" w:lineRule="auto"/>
              <w:jc w:val="left"/>
            </w:pPr>
            <w:r>
              <w:rPr>
                <w:rFonts w:ascii="Times New Roman" w:hAnsi="Times New Roman" w:cs="Times New Roman"/>
                <w:sz w:val="18"/>
              </w:rPr>
              <w:t>Se prefiere el modelo con menores AIC y BIC</w:t>
            </w:r>
          </w:p>
        </w:tc>
      </w:tr>
    </w:tbl>
    <w:p>
      <w:pPr>
        <w:spacing w:after="160" w:before="40"/>
      </w:pPr>
      <w:r>
        <w:rPr>
          <w:rFonts w:ascii="Times New Roman" w:hAnsi="Times New Roman" w:cs="Times New Roman"/>
          <w:i/>
          <w:color w:val="404040"/>
          <w:sz w:val="18"/>
        </w:rPr>
        <w:t>Nota. Elaboración propia con base en Gujarati y Porter (2010), Greene (2012) y la ruta metodológica del estudio de referencia (Semestre Económico, 2025).</w:t>
      </w:r>
    </w:p>
    <w:p>
      <w:pPr>
        <w:spacing w:before="240" w:after="160"/>
      </w:pPr>
      <w:r>
        <w:rPr>
          <w:rFonts w:ascii="Times New Roman" w:hAnsi="Times New Roman" w:cs="Times New Roman"/>
          <w:b/>
          <w:color w:val="1F4E79"/>
          <w:sz w:val="28"/>
        </w:rPr>
        <w:t>3.8. Procedimiento de análisis e interpretación de la información</w:t>
      </w:r>
    </w:p>
    <w:p>
      <w:pPr>
        <w:spacing w:after="120"/>
        <w:ind w:firstLine="709"/>
        <w:jc w:val="both"/>
      </w:pPr>
      <w:r>
        <w:rPr>
          <w:rFonts w:ascii="Times New Roman" w:hAnsi="Times New Roman" w:cs="Times New Roman"/>
        </w:rPr>
        <w:t>El análisis de la información se estructura en tres niveles progresivos, ejecutados en un entorno estadístico especializado (Stata o R):</w:t>
      </w:r>
    </w:p>
    <w:p>
      <w:pPr>
        <w:spacing w:after="120"/>
        <w:ind w:firstLine="709"/>
        <w:jc w:val="both"/>
      </w:pPr>
      <w:r>
        <w:rPr>
          <w:rFonts w:ascii="Times New Roman" w:hAnsi="Times New Roman" w:cs="Times New Roman"/>
        </w:rPr>
      </w:r>
      <w:r>
        <w:rPr>
          <w:rFonts w:ascii="Times New Roman" w:hAnsi="Times New Roman" w:cs="Times New Roman"/>
          <w:b/>
        </w:rPr>
        <w:t>a) Análisis descriptivo.</w:t>
      </w:r>
      <w:r>
        <w:rPr>
          <w:rFonts w:ascii="Times New Roman" w:hAnsi="Times New Roman" w:cs="Times New Roman"/>
        </w:rPr>
        <w:t xml:space="preserve"> En una primera etapa se calculan las medidas de frecuencia y de tendencia central de las variables del modelo, tanto para el conjunto de la PEA ocupada de Lima como desagregadas por condición de formalidad. Se examina la distribución de la informalidad según el nivel de ingresos, el nivel educativo, la edad, el sexo y el estado civil, y se construyen tablas de contingencia que anticipan la dirección esperada de las asociaciones. La Tabla 5 detalla los estadísticos que se reportarán para cada variable según su naturaleza.</w:t>
      </w:r>
    </w:p>
    <w:p>
      <w:pPr>
        <w:spacing w:before="200" w:after="40"/>
      </w:pPr>
      <w:r>
        <w:rPr>
          <w:rFonts w:ascii="Times New Roman" w:hAnsi="Times New Roman" w:cs="Times New Roman"/>
          <w:b/>
          <w:sz w:val="22"/>
        </w:rPr>
        <w:t>Tabla 5</w:t>
      </w:r>
    </w:p>
    <w:p>
      <w:pPr>
        <w:spacing w:after="80"/>
      </w:pPr>
      <w:r>
        <w:rPr>
          <w:rFonts w:ascii="Times New Roman" w:hAnsi="Times New Roman" w:cs="Times New Roman"/>
          <w:i/>
          <w:sz w:val="22"/>
        </w:rPr>
        <w:t>Plan de análisis descriptivo según tipo de variable</w:t>
      </w:r>
    </w:p>
    <w:tbl>
      <w:tblPr>
        <w:tblStyle w:val="TableGrid"/>
        <w:tblW w:type="auto" w:w="0"/>
        <w:jc w:val="center"/>
        <w:tblLook w:firstColumn="1" w:firstRow="1" w:lastColumn="0" w:lastRow="0" w:noHBand="0" w:noVBand="1" w:val="04A0"/>
      </w:tblPr>
      <w:tblGrid>
        <w:gridCol w:w="3009"/>
        <w:gridCol w:w="3009"/>
        <w:gridCol w:w="3009"/>
      </w:tblGrid>
      <w:tr>
        <w:tc>
          <w:tcPr>
            <w:tcW w:type="dxa" w:w="1928"/>
            <w:shd w:val="clear" w:fill="1F4E79"/>
          </w:tcPr>
          <w:p>
            <w:pPr>
              <w:spacing w:line="240" w:lineRule="auto"/>
              <w:jc w:val="center"/>
            </w:pPr>
            <w:r>
              <w:rPr>
                <w:rFonts w:ascii="Times New Roman" w:hAnsi="Times New Roman" w:cs="Times New Roman"/>
                <w:b/>
                <w:color w:val="FFFFFF"/>
                <w:sz w:val="18"/>
              </w:rPr>
              <w:t>Tipo de variable</w:t>
            </w:r>
          </w:p>
        </w:tc>
        <w:tc>
          <w:tcPr>
            <w:tcW w:type="dxa" w:w="3402"/>
            <w:shd w:val="clear" w:fill="1F4E79"/>
          </w:tcPr>
          <w:p>
            <w:pPr>
              <w:spacing w:line="240" w:lineRule="auto"/>
              <w:jc w:val="center"/>
            </w:pPr>
            <w:r>
              <w:rPr>
                <w:rFonts w:ascii="Times New Roman" w:hAnsi="Times New Roman" w:cs="Times New Roman"/>
                <w:b/>
                <w:color w:val="FFFFFF"/>
                <w:sz w:val="18"/>
              </w:rPr>
              <w:t>Variables</w:t>
            </w:r>
          </w:p>
        </w:tc>
        <w:tc>
          <w:tcPr>
            <w:tcW w:type="dxa" w:w="3175"/>
            <w:shd w:val="clear" w:fill="1F4E79"/>
          </w:tcPr>
          <w:p>
            <w:pPr>
              <w:spacing w:line="240" w:lineRule="auto"/>
              <w:jc w:val="center"/>
            </w:pPr>
            <w:r>
              <w:rPr>
                <w:rFonts w:ascii="Times New Roman" w:hAnsi="Times New Roman" w:cs="Times New Roman"/>
                <w:b/>
                <w:color w:val="FFFFFF"/>
                <w:sz w:val="18"/>
              </w:rPr>
              <w:t>Estadísticos a reportar</w:t>
            </w:r>
          </w:p>
        </w:tc>
      </w:tr>
      <w:tr>
        <w:tc>
          <w:tcPr>
            <w:tcW w:type="dxa" w:w="1928"/>
          </w:tcPr>
          <w:p>
            <w:pPr>
              <w:spacing w:line="240" w:lineRule="auto"/>
              <w:jc w:val="left"/>
            </w:pPr>
            <w:r>
              <w:rPr>
                <w:rFonts w:ascii="Times New Roman" w:hAnsi="Times New Roman" w:cs="Times New Roman"/>
                <w:sz w:val="18"/>
              </w:rPr>
              <w:t>Dicotómicas</w:t>
            </w:r>
          </w:p>
        </w:tc>
        <w:tc>
          <w:tcPr>
            <w:tcW w:type="dxa" w:w="3402"/>
          </w:tcPr>
          <w:p>
            <w:pPr>
              <w:spacing w:line="240" w:lineRule="auto"/>
              <w:jc w:val="left"/>
            </w:pPr>
            <w:r>
              <w:rPr>
                <w:rFonts w:ascii="Times New Roman" w:hAnsi="Times New Roman" w:cs="Times New Roman"/>
                <w:sz w:val="18"/>
              </w:rPr>
              <w:t>Empleo informal, nivel de ingresos, sexo, estado civil</w:t>
            </w:r>
          </w:p>
        </w:tc>
        <w:tc>
          <w:tcPr>
            <w:tcW w:type="dxa" w:w="3175"/>
          </w:tcPr>
          <w:p>
            <w:pPr>
              <w:spacing w:line="240" w:lineRule="auto"/>
              <w:jc w:val="left"/>
            </w:pPr>
            <w:r>
              <w:rPr>
                <w:rFonts w:ascii="Times New Roman" w:hAnsi="Times New Roman" w:cs="Times New Roman"/>
                <w:sz w:val="18"/>
              </w:rPr>
              <w:t>Frecuencias absolutas y relativas (%)</w:t>
            </w:r>
          </w:p>
        </w:tc>
      </w:tr>
      <w:tr>
        <w:tc>
          <w:tcPr>
            <w:tcW w:type="dxa" w:w="1928"/>
            <w:shd w:val="clear" w:fill="EAF1F8"/>
          </w:tcPr>
          <w:p>
            <w:pPr>
              <w:spacing w:line="240" w:lineRule="auto"/>
              <w:jc w:val="left"/>
            </w:pPr>
            <w:r>
              <w:rPr>
                <w:rFonts w:ascii="Times New Roman" w:hAnsi="Times New Roman" w:cs="Times New Roman"/>
                <w:sz w:val="18"/>
              </w:rPr>
              <w:t>Categóricas</w:t>
            </w:r>
          </w:p>
        </w:tc>
        <w:tc>
          <w:tcPr>
            <w:tcW w:type="dxa" w:w="3402"/>
            <w:shd w:val="clear" w:fill="EAF1F8"/>
          </w:tcPr>
          <w:p>
            <w:pPr>
              <w:spacing w:line="240" w:lineRule="auto"/>
              <w:jc w:val="left"/>
            </w:pPr>
            <w:r>
              <w:rPr>
                <w:rFonts w:ascii="Times New Roman" w:hAnsi="Times New Roman" w:cs="Times New Roman"/>
                <w:sz w:val="18"/>
              </w:rPr>
              <w:t>Nivel educativo</w:t>
            </w:r>
          </w:p>
        </w:tc>
        <w:tc>
          <w:tcPr>
            <w:tcW w:type="dxa" w:w="3175"/>
            <w:shd w:val="clear" w:fill="EAF1F8"/>
          </w:tcPr>
          <w:p>
            <w:pPr>
              <w:spacing w:line="240" w:lineRule="auto"/>
              <w:jc w:val="left"/>
            </w:pPr>
            <w:r>
              <w:rPr>
                <w:rFonts w:ascii="Times New Roman" w:hAnsi="Times New Roman" w:cs="Times New Roman"/>
                <w:sz w:val="18"/>
              </w:rPr>
              <w:t>Distribución porcentual por categoría</w:t>
            </w:r>
          </w:p>
        </w:tc>
      </w:tr>
      <w:tr>
        <w:tc>
          <w:tcPr>
            <w:tcW w:type="dxa" w:w="1928"/>
          </w:tcPr>
          <w:p>
            <w:pPr>
              <w:spacing w:line="240" w:lineRule="auto"/>
              <w:jc w:val="left"/>
            </w:pPr>
            <w:r>
              <w:rPr>
                <w:rFonts w:ascii="Times New Roman" w:hAnsi="Times New Roman" w:cs="Times New Roman"/>
                <w:sz w:val="18"/>
              </w:rPr>
              <w:t>Continuas</w:t>
            </w:r>
          </w:p>
        </w:tc>
        <w:tc>
          <w:tcPr>
            <w:tcW w:type="dxa" w:w="3402"/>
          </w:tcPr>
          <w:p>
            <w:pPr>
              <w:spacing w:line="240" w:lineRule="auto"/>
              <w:jc w:val="left"/>
            </w:pPr>
            <w:r>
              <w:rPr>
                <w:rFonts w:ascii="Times New Roman" w:hAnsi="Times New Roman" w:cs="Times New Roman"/>
                <w:sz w:val="18"/>
              </w:rPr>
              <w:t>Edad</w:t>
            </w:r>
          </w:p>
        </w:tc>
        <w:tc>
          <w:tcPr>
            <w:tcW w:type="dxa" w:w="3175"/>
          </w:tcPr>
          <w:p>
            <w:pPr>
              <w:spacing w:line="240" w:lineRule="auto"/>
              <w:jc w:val="left"/>
            </w:pPr>
            <w:r>
              <w:rPr>
                <w:rFonts w:ascii="Times New Roman" w:hAnsi="Times New Roman" w:cs="Times New Roman"/>
                <w:sz w:val="18"/>
              </w:rPr>
              <w:t>Media, mediana, desviación estándar, mínimo y máximo</w:t>
            </w:r>
          </w:p>
        </w:tc>
      </w:tr>
      <w:tr>
        <w:tc>
          <w:tcPr>
            <w:tcW w:type="dxa" w:w="1928"/>
            <w:shd w:val="clear" w:fill="EAF1F8"/>
          </w:tcPr>
          <w:p>
            <w:pPr>
              <w:spacing w:line="240" w:lineRule="auto"/>
              <w:jc w:val="left"/>
            </w:pPr>
            <w:r>
              <w:rPr>
                <w:rFonts w:ascii="Times New Roman" w:hAnsi="Times New Roman" w:cs="Times New Roman"/>
                <w:sz w:val="18"/>
              </w:rPr>
              <w:t>Cruces (bivariado)</w:t>
            </w:r>
          </w:p>
        </w:tc>
        <w:tc>
          <w:tcPr>
            <w:tcW w:type="dxa" w:w="3402"/>
            <w:shd w:val="clear" w:fill="EAF1F8"/>
          </w:tcPr>
          <w:p>
            <w:pPr>
              <w:spacing w:line="240" w:lineRule="auto"/>
              <w:jc w:val="left"/>
            </w:pPr>
            <w:r>
              <w:rPr>
                <w:rFonts w:ascii="Times New Roman" w:hAnsi="Times New Roman" w:cs="Times New Roman"/>
                <w:sz w:val="18"/>
              </w:rPr>
              <w:t>Informalidad por cada factor</w:t>
            </w:r>
          </w:p>
        </w:tc>
        <w:tc>
          <w:tcPr>
            <w:tcW w:type="dxa" w:w="3175"/>
            <w:shd w:val="clear" w:fill="EAF1F8"/>
          </w:tcPr>
          <w:p>
            <w:pPr>
              <w:spacing w:line="240" w:lineRule="auto"/>
              <w:jc w:val="left"/>
            </w:pPr>
            <w:r>
              <w:rPr>
                <w:rFonts w:ascii="Times New Roman" w:hAnsi="Times New Roman" w:cs="Times New Roman"/>
                <w:sz w:val="18"/>
              </w:rPr>
              <w:t>Tablas de contingencia y prueba ji-cuadrada</w:t>
            </w:r>
          </w:p>
        </w:tc>
      </w:tr>
    </w:tbl>
    <w:p>
      <w:pPr>
        <w:spacing w:after="160" w:before="40"/>
      </w:pPr>
      <w:r>
        <w:rPr>
          <w:rFonts w:ascii="Times New Roman" w:hAnsi="Times New Roman" w:cs="Times New Roman"/>
          <w:i/>
          <w:color w:val="404040"/>
          <w:sz w:val="18"/>
        </w:rPr>
        <w:t>Nota. Elaboración propia. Todos los estadísticos se calculan ponderando por el factor de expansión de la ENAHO.</w:t>
      </w:r>
    </w:p>
    <w:p>
      <w:pPr>
        <w:spacing w:after="120"/>
        <w:ind w:firstLine="709"/>
        <w:jc w:val="both"/>
      </w:pPr>
      <w:r>
        <w:rPr>
          <w:rFonts w:ascii="Times New Roman" w:hAnsi="Times New Roman" w:cs="Times New Roman"/>
        </w:rPr>
        <w:t>El análisis descriptivo cumple una doble función: caracterizar el perfil de la informalidad laboral en el departamento de Lima y verificar, de manera preliminar, la plausibilidad de las hipótesis antes de la estimación multivariada. Las pruebas de asociación bivariada (ji-cuadrada para variables categóricas) permiten contrastar la independencia entre la informalidad y cada factor socioeconómico.</w:t>
      </w:r>
    </w:p>
    <w:p>
      <w:pPr>
        <w:spacing w:after="120"/>
        <w:ind w:firstLine="709"/>
        <w:jc w:val="both"/>
      </w:pPr>
      <w:r>
        <w:rPr>
          <w:rFonts w:ascii="Times New Roman" w:hAnsi="Times New Roman" w:cs="Times New Roman"/>
        </w:rPr>
      </w:r>
      <w:r>
        <w:rPr>
          <w:rFonts w:ascii="Times New Roman" w:hAnsi="Times New Roman" w:cs="Times New Roman"/>
          <w:b/>
        </w:rPr>
        <w:t>b) Análisis inferencial y estimación econométrica.</w:t>
      </w:r>
      <w:r>
        <w:rPr>
          <w:rFonts w:ascii="Times New Roman" w:hAnsi="Times New Roman" w:cs="Times New Roman"/>
        </w:rPr>
        <w:t xml:space="preserve"> En una segunda etapa se estiman los modelos Logit y Probit por máxima verosimilitud, se calculan los efectos marginales y las razones de momios, y se contrastan las hipótesis a partir de la significancia estadística de los parámetros (a niveles de 1 %, 5 % y 10 %). Los resultados de la estimación se presentan en tablas que reportan, para cada variable, el coeficiente estimado, el error estándar, el estadístico z, el p-valor, el efecto marginal y la razón de momios, así como los estadísticos globales de ajuste del modelo (log-verosimilitud, pseudo-R², AIC, BIC y área bajo la curva ROC). Esta presentación estandarizada facilita la comparación entre las especificaciones Logit y Probit y la lectura de la magnitud económica de los efectos.</w:t>
      </w:r>
    </w:p>
    <w:p>
      <w:pPr>
        <w:spacing w:after="120"/>
        <w:ind w:firstLine="709"/>
        <w:jc w:val="both"/>
      </w:pPr>
      <w:r>
        <w:rPr>
          <w:rFonts w:ascii="Times New Roman" w:hAnsi="Times New Roman" w:cs="Times New Roman"/>
        </w:rPr>
      </w:r>
      <w:r>
        <w:rPr>
          <w:rFonts w:ascii="Times New Roman" w:hAnsi="Times New Roman" w:cs="Times New Roman"/>
          <w:b/>
        </w:rPr>
        <w:t>c) Validación.</w:t>
      </w:r>
      <w:r>
        <w:rPr>
          <w:rFonts w:ascii="Times New Roman" w:hAnsi="Times New Roman" w:cs="Times New Roman"/>
        </w:rPr>
        <w:t xml:space="preserve"> En una tercera etapa se aplican las pruebas de bondad de ajuste, de capacidad predictiva y de diagnóstico descritas en la sección 3.7, con el fin de garantizar la robustez de los resultados antes de su interpretación económica.</w:t>
      </w:r>
    </w:p>
    <w:p>
      <w:pPr>
        <w:spacing w:before="160" w:after="80"/>
      </w:pPr>
      <w:r>
        <w:rPr>
          <w:rFonts w:ascii="Times New Roman" w:hAnsi="Times New Roman" w:cs="Times New Roman"/>
          <w:b/>
          <w:i/>
          <w:color w:val="1F4E79"/>
          <w:sz w:val="24"/>
        </w:rPr>
        <w:t>Procesamiento, software y reproducibilidad</w:t>
      </w:r>
    </w:p>
    <w:p>
      <w:pPr>
        <w:spacing w:after="120"/>
        <w:ind w:firstLine="709"/>
        <w:jc w:val="both"/>
      </w:pPr>
      <w:r>
        <w:rPr>
          <w:rFonts w:ascii="Times New Roman" w:hAnsi="Times New Roman" w:cs="Times New Roman"/>
        </w:rPr>
        <w:t xml:space="preserve">El procesamiento de la información se realiza en un </w:t>
      </w:r>
      <w:r>
        <w:rPr>
          <w:rFonts w:ascii="Times New Roman" w:hAnsi="Times New Roman" w:cs="Times New Roman"/>
          <w:b/>
        </w:rPr>
        <w:t>paquete estadístico especializado</w:t>
      </w:r>
      <w:r>
        <w:rPr>
          <w:rFonts w:ascii="Times New Roman" w:hAnsi="Times New Roman" w:cs="Times New Roman"/>
        </w:rPr>
        <w:t xml:space="preserve"> —Stata o R—, ampliamente utilizado en la investigación econométrica. En Stata, la estimación de los modelos de elección binaria se efectúa con los comandos logit y probit, los efectos marginales con margins, las razones de momios con la opción or y las pruebas de diagnóstico con estat gof, estat classification y lroc; en R, se emplean las funciones glm de la familia binomial y los paquetes margins, pROC y ResourceSelection. Dada la naturaleza compleja de la muestra de la ENAHO, las estimaciones incorporan el diseño muestral mediante la declaración de la encuesta (svyset en Stata o el paquete survey en R), de modo que los errores estándar reflejen la estratificación, el conglomerado y los factores de expansión.</w:t>
      </w:r>
    </w:p>
    <w:p>
      <w:pPr>
        <w:spacing w:after="120"/>
        <w:ind w:firstLine="709"/>
        <w:jc w:val="both"/>
      </w:pPr>
      <w:r>
        <w:rPr>
          <w:rFonts w:ascii="Times New Roman" w:hAnsi="Times New Roman" w:cs="Times New Roman"/>
        </w:rPr>
        <w:t xml:space="preserve">Con el fin de garantizar la </w:t>
      </w:r>
      <w:r>
        <w:rPr>
          <w:rFonts w:ascii="Times New Roman" w:hAnsi="Times New Roman" w:cs="Times New Roman"/>
          <w:b/>
        </w:rPr>
        <w:t>reproducibilidad</w:t>
      </w:r>
      <w:r>
        <w:rPr>
          <w:rFonts w:ascii="Times New Roman" w:hAnsi="Times New Roman" w:cs="Times New Roman"/>
        </w:rPr>
        <w:t xml:space="preserve"> del estudio, se documentan todos los pasos de construcción de la base de datos y de estimación en una sintaxis (do-file o script) ordenada y comentada, que permite replicar los resultados a partir de los microdatos públicos de la ENAHO. Asimismo, se conservan las versiones de las bases de datos y de los programas utilizados, en línea con las buenas prácticas de transparencia y de ciencia abierta.</w:t>
      </w:r>
    </w:p>
    <w:p>
      <w:pPr>
        <w:spacing w:after="160"/>
        <w:ind w:firstLine="709"/>
        <w:jc w:val="both"/>
      </w:pPr>
      <w:r>
        <w:rPr>
          <w:rFonts w:ascii="Times New Roman" w:hAnsi="Times New Roman" w:cs="Times New Roman"/>
        </w:rPr>
        <w:t xml:space="preserve">La interpretación de los resultados se realiza en términos de los </w:t>
      </w:r>
      <w:r>
        <w:rPr>
          <w:rFonts w:ascii="Times New Roman" w:hAnsi="Times New Roman" w:cs="Times New Roman"/>
          <w:b/>
        </w:rPr>
        <w:t>efectos marginales</w:t>
      </w:r>
      <w:r>
        <w:rPr>
          <w:rFonts w:ascii="Times New Roman" w:hAnsi="Times New Roman" w:cs="Times New Roman"/>
        </w:rPr>
        <w:t xml:space="preserve"> sobre la probabilidad de informalidad y de las </w:t>
      </w:r>
      <w:r>
        <w:rPr>
          <w:rFonts w:ascii="Times New Roman" w:hAnsi="Times New Roman" w:cs="Times New Roman"/>
          <w:b/>
        </w:rPr>
        <w:t>razones de momios</w:t>
      </w:r>
      <w:r>
        <w:rPr>
          <w:rFonts w:ascii="Times New Roman" w:hAnsi="Times New Roman" w:cs="Times New Roman"/>
        </w:rPr>
        <w:t>, vinculando los hallazgos empíricos con el marco teórico —las teorías dualista, de la segmentación del mercado laboral y del capital humano— y con la evidencia previa.</w:t>
      </w:r>
    </w:p>
    <w:p>
      <w:pPr>
        <w:spacing w:before="240" w:after="160"/>
      </w:pPr>
      <w:r>
        <w:rPr>
          <w:rFonts w:ascii="Times New Roman" w:hAnsi="Times New Roman" w:cs="Times New Roman"/>
          <w:b/>
          <w:color w:val="1F4E79"/>
          <w:sz w:val="28"/>
        </w:rPr>
        <w:t>3.9. Procedimiento de contraste de hipótesis</w:t>
      </w:r>
    </w:p>
    <w:p>
      <w:pPr>
        <w:spacing w:after="120"/>
        <w:ind w:firstLine="709"/>
        <w:jc w:val="both"/>
      </w:pPr>
      <w:r>
        <w:rPr>
          <w:rFonts w:ascii="Times New Roman" w:hAnsi="Times New Roman" w:cs="Times New Roman"/>
        </w:rPr>
        <w:t xml:space="preserve">El contraste de las hipótesis se realiza a partir de la significancia estadística y del signo de los parámetros estimados, así como de los efectos marginales. Para cada coeficiente se calcula el estadístico z (cociente entre el coeficiente y su error estándar) y su p-valor asociado. La regla de decisión general consiste en </w:t>
      </w:r>
      <w:r>
        <w:rPr>
          <w:rFonts w:ascii="Times New Roman" w:hAnsi="Times New Roman" w:cs="Times New Roman"/>
          <w:b/>
        </w:rPr>
        <w:t>rechazar la hipótesis nula de no efecto</w:t>
      </w:r>
      <w:r>
        <w:rPr>
          <w:rFonts w:ascii="Times New Roman" w:hAnsi="Times New Roman" w:cs="Times New Roman"/>
        </w:rPr>
        <w:t xml:space="preserve"> (H0: betaj = 0) cuando el p-valor es inferior al nivel de significancia establecido (1 %, 5 % o 10 %). La hipótesis de investigación se confirma cuando, además de ser significativo, el coeficiente presenta el signo predicho por la teoría.</w:t>
      </w:r>
    </w:p>
    <w:p>
      <w:pPr>
        <w:spacing w:before="160" w:after="80"/>
      </w:pPr>
      <w:r>
        <w:rPr>
          <w:rFonts w:ascii="Times New Roman" w:hAnsi="Times New Roman" w:cs="Times New Roman"/>
          <w:b/>
          <w:i/>
          <w:color w:val="1F4E79"/>
          <w:sz w:val="24"/>
        </w:rPr>
        <w:t>Formulación estadística de las hipótesis</w:t>
      </w:r>
    </w:p>
    <w:p>
      <w:pPr>
        <w:spacing w:after="120"/>
        <w:ind w:firstLine="709"/>
        <w:jc w:val="both"/>
      </w:pPr>
      <w:r>
        <w:rPr>
          <w:rFonts w:ascii="Times New Roman" w:hAnsi="Times New Roman" w:cs="Times New Roman"/>
        </w:rPr>
        <w:t xml:space="preserve">Cada hipótesis de investigación se traduce en un par de hipótesis estadísticas. Para la </w:t>
      </w:r>
      <w:r>
        <w:rPr>
          <w:rFonts w:ascii="Times New Roman" w:hAnsi="Times New Roman" w:cs="Times New Roman"/>
          <w:b/>
        </w:rPr>
        <w:t>hipótesis específica 1</w:t>
      </w:r>
      <w:r>
        <w:rPr>
          <w:rFonts w:ascii="Times New Roman" w:hAnsi="Times New Roman" w:cs="Times New Roman"/>
        </w:rPr>
        <w:t xml:space="preserve"> (efecto del nivel de ingresos), se plantea:</w:t>
      </w:r>
    </w:p>
    <w:p>
      <w:pPr>
        <w:spacing w:before="80" w:after="120"/>
        <w:jc w:val="center"/>
      </w:pPr>
      <w:r>
        <w:rPr>
          <w:rFonts w:ascii="Times New Roman" w:hAnsi="Times New Roman" w:cs="Times New Roman"/>
          <w:i/>
          <w:sz w:val="24"/>
        </w:rPr>
        <w:t>H0: β₁ = 0     vs.     H1: β₁ &lt; 0</w:t>
      </w:r>
      <w:r>
        <w:rPr>
          <w:rFonts w:ascii="Times New Roman" w:hAnsi="Times New Roman" w:cs="Times New Roman"/>
          <w:i w:val="0"/>
        </w:rPr>
        <w:tab/>
        <w:tab/>
        <w:t>(3.14)</w:t>
      </w:r>
    </w:p>
    <w:p>
      <w:pPr>
        <w:spacing w:after="120"/>
        <w:ind w:firstLine="709"/>
        <w:jc w:val="both"/>
      </w:pPr>
      <w:r>
        <w:rPr>
          <w:rFonts w:ascii="Times New Roman" w:hAnsi="Times New Roman" w:cs="Times New Roman"/>
        </w:rPr>
        <w:t xml:space="preserve">donde el no rechazo de H0 implicaría ausencia de efecto del ingreso sobre la informalidad y el rechazo, con β₁ negativo, confirmaría la hipótesis de investigación. Para la </w:t>
      </w:r>
      <w:r>
        <w:rPr>
          <w:rFonts w:ascii="Times New Roman" w:hAnsi="Times New Roman" w:cs="Times New Roman"/>
          <w:b/>
        </w:rPr>
        <w:t>hipótesis específica 2</w:t>
      </w:r>
      <w:r>
        <w:rPr>
          <w:rFonts w:ascii="Times New Roman" w:hAnsi="Times New Roman" w:cs="Times New Roman"/>
        </w:rPr>
        <w:t xml:space="preserve"> (efecto del nivel educativo), se contrasta la significancia conjunta de los coeficientes de las categorías educativas:</w:t>
      </w:r>
    </w:p>
    <w:p>
      <w:pPr>
        <w:spacing w:before="80" w:after="120"/>
        <w:jc w:val="center"/>
      </w:pPr>
      <w:r>
        <w:rPr>
          <w:rFonts w:ascii="Times New Roman" w:hAnsi="Times New Roman" w:cs="Times New Roman"/>
          <w:i/>
          <w:sz w:val="24"/>
        </w:rPr>
        <w:t>H0: β₂ⱼ = 0 para todo j     vs.     H1: al menos un β₂ⱼ &lt; 0</w:t>
      </w:r>
      <w:r>
        <w:rPr>
          <w:rFonts w:ascii="Times New Roman" w:hAnsi="Times New Roman" w:cs="Times New Roman"/>
          <w:i w:val="0"/>
        </w:rPr>
        <w:tab/>
        <w:tab/>
        <w:t>(3.15)</w:t>
      </w:r>
    </w:p>
    <w:p>
      <w:pPr>
        <w:spacing w:after="120"/>
        <w:ind w:firstLine="709"/>
        <w:jc w:val="both"/>
      </w:pPr>
      <w:r>
        <w:rPr>
          <w:rFonts w:ascii="Times New Roman" w:hAnsi="Times New Roman" w:cs="Times New Roman"/>
        </w:rPr>
        <w:t xml:space="preserve">Para la </w:t>
      </w:r>
      <w:r>
        <w:rPr>
          <w:rFonts w:ascii="Times New Roman" w:hAnsi="Times New Roman" w:cs="Times New Roman"/>
          <w:b/>
        </w:rPr>
        <w:t>hipótesis específica 3</w:t>
      </w:r>
      <w:r>
        <w:rPr>
          <w:rFonts w:ascii="Times New Roman" w:hAnsi="Times New Roman" w:cs="Times New Roman"/>
        </w:rPr>
        <w:t xml:space="preserve"> (efecto de los factores demográficos), se evalúa la significancia conjunta de los parámetros de edad, sexo y estado civil mediante una prueba de Wald o de razón de verosimilitud:</w:t>
      </w:r>
    </w:p>
    <w:p>
      <w:pPr>
        <w:spacing w:before="80" w:after="120"/>
        <w:jc w:val="center"/>
      </w:pPr>
      <w:r>
        <w:rPr>
          <w:rFonts w:ascii="Times New Roman" w:hAnsi="Times New Roman" w:cs="Times New Roman"/>
          <w:i/>
          <w:sz w:val="24"/>
        </w:rPr>
        <w:t>H0: β₃ = β₄ = β₅ = β₆ = 0     vs.     H1: al menos uno ≠ 0</w:t>
      </w:r>
      <w:r>
        <w:rPr>
          <w:rFonts w:ascii="Times New Roman" w:hAnsi="Times New Roman" w:cs="Times New Roman"/>
          <w:i w:val="0"/>
        </w:rPr>
        <w:tab/>
        <w:tab/>
        <w:t>(3.16)</w:t>
      </w:r>
    </w:p>
    <w:p>
      <w:pPr>
        <w:spacing w:after="120"/>
        <w:ind w:firstLine="709"/>
        <w:jc w:val="both"/>
      </w:pPr>
      <w:r>
        <w:rPr>
          <w:rFonts w:ascii="Times New Roman" w:hAnsi="Times New Roman" w:cs="Times New Roman"/>
        </w:rPr>
        <w:t xml:space="preserve">Finalmente, la </w:t>
      </w:r>
      <w:r>
        <w:rPr>
          <w:rFonts w:ascii="Times New Roman" w:hAnsi="Times New Roman" w:cs="Times New Roman"/>
          <w:b/>
        </w:rPr>
        <w:t>hipótesis general</w:t>
      </w:r>
      <w:r>
        <w:rPr>
          <w:rFonts w:ascii="Times New Roman" w:hAnsi="Times New Roman" w:cs="Times New Roman"/>
        </w:rPr>
        <w:t xml:space="preserve"> se contrasta mediante la significancia conjunta del nivel de ingresos y del nivel educativo, verificando además que el modelo en su conjunto sea estadísticamente significativo a través de la prueba de razón de verosimilitud global.</w:t>
      </w:r>
    </w:p>
    <w:p>
      <w:pPr>
        <w:spacing w:after="120"/>
        <w:ind w:firstLine="709"/>
        <w:jc w:val="both"/>
      </w:pPr>
      <w:r>
        <w:rPr>
          <w:rFonts w:ascii="Times New Roman" w:hAnsi="Times New Roman" w:cs="Times New Roman"/>
        </w:rPr>
        <w:t xml:space="preserve">De manera específica, la </w:t>
      </w:r>
      <w:r>
        <w:rPr>
          <w:rFonts w:ascii="Times New Roman" w:hAnsi="Times New Roman" w:cs="Times New Roman"/>
          <w:b/>
        </w:rPr>
        <w:t>hipótesis general</w:t>
      </w:r>
      <w:r>
        <w:rPr>
          <w:rFonts w:ascii="Times New Roman" w:hAnsi="Times New Roman" w:cs="Times New Roman"/>
        </w:rPr>
        <w:t xml:space="preserve"> se contrasta verificando la significancia conjunta del nivel de ingresos y del nivel educativo mediante la prueba de razón de verosimilitud; la </w:t>
      </w:r>
      <w:r>
        <w:rPr>
          <w:rFonts w:ascii="Times New Roman" w:hAnsi="Times New Roman" w:cs="Times New Roman"/>
          <w:b/>
        </w:rPr>
        <w:t>hipótesis específica 1</w:t>
      </w:r>
      <w:r>
        <w:rPr>
          <w:rFonts w:ascii="Times New Roman" w:hAnsi="Times New Roman" w:cs="Times New Roman"/>
        </w:rPr>
        <w:t xml:space="preserve"> se confirma si el coeficiente del nivel de ingresos es negativo y significativo; la </w:t>
      </w:r>
      <w:r>
        <w:rPr>
          <w:rFonts w:ascii="Times New Roman" w:hAnsi="Times New Roman" w:cs="Times New Roman"/>
          <w:b/>
        </w:rPr>
        <w:t>hipótesis específica 2</w:t>
      </w:r>
      <w:r>
        <w:rPr>
          <w:rFonts w:ascii="Times New Roman" w:hAnsi="Times New Roman" w:cs="Times New Roman"/>
        </w:rPr>
        <w:t xml:space="preserve">, si los coeficientes del nivel educativo son negativos y significativos; y la </w:t>
      </w:r>
      <w:r>
        <w:rPr>
          <w:rFonts w:ascii="Times New Roman" w:hAnsi="Times New Roman" w:cs="Times New Roman"/>
          <w:b/>
        </w:rPr>
        <w:t>hipótesis específica 3</w:t>
      </w:r>
      <w:r>
        <w:rPr>
          <w:rFonts w:ascii="Times New Roman" w:hAnsi="Times New Roman" w:cs="Times New Roman"/>
        </w:rPr>
        <w:t>, si los coeficientes de la edad, el sexo y el estado civil resultan estadísticamente significativos, individual o conjuntamente. La Tabla 6 sintetiza las reglas de decisión.</w:t>
      </w:r>
    </w:p>
    <w:p>
      <w:pPr>
        <w:spacing w:before="200" w:after="40"/>
      </w:pPr>
      <w:r>
        <w:rPr>
          <w:rFonts w:ascii="Times New Roman" w:hAnsi="Times New Roman" w:cs="Times New Roman"/>
          <w:b/>
          <w:sz w:val="22"/>
        </w:rPr>
        <w:t>Tabla 6</w:t>
      </w:r>
    </w:p>
    <w:p>
      <w:pPr>
        <w:spacing w:after="80"/>
      </w:pPr>
      <w:r>
        <w:rPr>
          <w:rFonts w:ascii="Times New Roman" w:hAnsi="Times New Roman" w:cs="Times New Roman"/>
          <w:i/>
          <w:sz w:val="22"/>
        </w:rPr>
        <w:t>Reglas de decisión para el contraste de hipótesis</w:t>
      </w:r>
    </w:p>
    <w:tbl>
      <w:tblPr>
        <w:tblStyle w:val="TableGrid"/>
        <w:tblW w:type="auto" w:w="0"/>
        <w:jc w:val="center"/>
        <w:tblLook w:firstColumn="1" w:firstRow="1" w:lastColumn="0" w:lastRow="0" w:noHBand="0" w:noVBand="1" w:val="04A0"/>
      </w:tblPr>
      <w:tblGrid>
        <w:gridCol w:w="3009"/>
        <w:gridCol w:w="3009"/>
        <w:gridCol w:w="3009"/>
      </w:tblGrid>
      <w:tr>
        <w:tc>
          <w:tcPr>
            <w:tcW w:type="dxa" w:w="1701"/>
            <w:shd w:val="clear" w:fill="1F4E79"/>
          </w:tcPr>
          <w:p>
            <w:pPr>
              <w:spacing w:line="240" w:lineRule="auto"/>
              <w:jc w:val="center"/>
            </w:pPr>
            <w:r>
              <w:rPr>
                <w:rFonts w:ascii="Times New Roman" w:hAnsi="Times New Roman" w:cs="Times New Roman"/>
                <w:b/>
                <w:color w:val="FFFFFF"/>
                <w:sz w:val="18"/>
              </w:rPr>
              <w:t>Hipótesis</w:t>
            </w:r>
          </w:p>
        </w:tc>
        <w:tc>
          <w:tcPr>
            <w:tcW w:type="dxa" w:w="2835"/>
            <w:shd w:val="clear" w:fill="1F4E79"/>
          </w:tcPr>
          <w:p>
            <w:pPr>
              <w:spacing w:line="240" w:lineRule="auto"/>
              <w:jc w:val="center"/>
            </w:pPr>
            <w:r>
              <w:rPr>
                <w:rFonts w:ascii="Times New Roman" w:hAnsi="Times New Roman" w:cs="Times New Roman"/>
                <w:b/>
                <w:color w:val="FFFFFF"/>
                <w:sz w:val="18"/>
              </w:rPr>
              <w:t>Parámetro</w:t>
            </w:r>
          </w:p>
        </w:tc>
        <w:tc>
          <w:tcPr>
            <w:tcW w:type="dxa" w:w="3402"/>
            <w:shd w:val="clear" w:fill="1F4E79"/>
          </w:tcPr>
          <w:p>
            <w:pPr>
              <w:spacing w:line="240" w:lineRule="auto"/>
              <w:jc w:val="center"/>
            </w:pPr>
            <w:r>
              <w:rPr>
                <w:rFonts w:ascii="Times New Roman" w:hAnsi="Times New Roman" w:cs="Times New Roman"/>
                <w:b/>
                <w:color w:val="FFFFFF"/>
                <w:sz w:val="18"/>
              </w:rPr>
              <w:t>Criterio de confirmación</w:t>
            </w:r>
          </w:p>
        </w:tc>
      </w:tr>
      <w:tr>
        <w:tc>
          <w:tcPr>
            <w:tcW w:type="dxa" w:w="1701"/>
          </w:tcPr>
          <w:p>
            <w:pPr>
              <w:spacing w:line="240" w:lineRule="auto"/>
              <w:jc w:val="left"/>
            </w:pPr>
            <w:r>
              <w:rPr>
                <w:rFonts w:ascii="Times New Roman" w:hAnsi="Times New Roman" w:cs="Times New Roman"/>
                <w:sz w:val="18"/>
              </w:rPr>
              <w:t>H. general</w:t>
            </w:r>
          </w:p>
        </w:tc>
        <w:tc>
          <w:tcPr>
            <w:tcW w:type="dxa" w:w="2835"/>
          </w:tcPr>
          <w:p>
            <w:pPr>
              <w:spacing w:line="240" w:lineRule="auto"/>
              <w:jc w:val="left"/>
            </w:pPr>
            <w:r>
              <w:rPr>
                <w:rFonts w:ascii="Times New Roman" w:hAnsi="Times New Roman" w:cs="Times New Roman"/>
                <w:sz w:val="18"/>
              </w:rPr>
              <w:t>Ingreso y educación</w:t>
            </w:r>
          </w:p>
        </w:tc>
        <w:tc>
          <w:tcPr>
            <w:tcW w:type="dxa" w:w="3402"/>
          </w:tcPr>
          <w:p>
            <w:pPr>
              <w:spacing w:line="240" w:lineRule="auto"/>
              <w:jc w:val="left"/>
            </w:pPr>
            <w:r>
              <w:rPr>
                <w:rFonts w:ascii="Times New Roman" w:hAnsi="Times New Roman" w:cs="Times New Roman"/>
                <w:sz w:val="18"/>
              </w:rPr>
              <w:t>Significancia conjunta (LR) y signos negativos</w:t>
            </w:r>
          </w:p>
        </w:tc>
      </w:tr>
      <w:tr>
        <w:tc>
          <w:tcPr>
            <w:tcW w:type="dxa" w:w="1701"/>
            <w:shd w:val="clear" w:fill="EAF1F8"/>
          </w:tcPr>
          <w:p>
            <w:pPr>
              <w:spacing w:line="240" w:lineRule="auto"/>
              <w:jc w:val="left"/>
            </w:pPr>
            <w:r>
              <w:rPr>
                <w:rFonts w:ascii="Times New Roman" w:hAnsi="Times New Roman" w:cs="Times New Roman"/>
                <w:sz w:val="18"/>
              </w:rPr>
              <w:t>H. específica 1</w:t>
            </w:r>
          </w:p>
        </w:tc>
        <w:tc>
          <w:tcPr>
            <w:tcW w:type="dxa" w:w="2835"/>
            <w:shd w:val="clear" w:fill="EAF1F8"/>
          </w:tcPr>
          <w:p>
            <w:pPr>
              <w:spacing w:line="240" w:lineRule="auto"/>
              <w:jc w:val="left"/>
            </w:pPr>
            <w:r>
              <w:rPr>
                <w:rFonts w:ascii="Times New Roman" w:hAnsi="Times New Roman" w:cs="Times New Roman"/>
                <w:sz w:val="18"/>
              </w:rPr>
              <w:t>Nivel de ingresos</w:t>
            </w:r>
          </w:p>
        </w:tc>
        <w:tc>
          <w:tcPr>
            <w:tcW w:type="dxa" w:w="3402"/>
            <w:shd w:val="clear" w:fill="EAF1F8"/>
          </w:tcPr>
          <w:p>
            <w:pPr>
              <w:spacing w:line="240" w:lineRule="auto"/>
              <w:jc w:val="left"/>
            </w:pPr>
            <w:r>
              <w:rPr>
                <w:rFonts w:ascii="Times New Roman" w:hAnsi="Times New Roman" w:cs="Times New Roman"/>
                <w:sz w:val="18"/>
              </w:rPr>
              <w:t>Coeficiente negativo y significativo (p &lt; 0,05)</w:t>
            </w:r>
          </w:p>
        </w:tc>
      </w:tr>
      <w:tr>
        <w:tc>
          <w:tcPr>
            <w:tcW w:type="dxa" w:w="1701"/>
          </w:tcPr>
          <w:p>
            <w:pPr>
              <w:spacing w:line="240" w:lineRule="auto"/>
              <w:jc w:val="left"/>
            </w:pPr>
            <w:r>
              <w:rPr>
                <w:rFonts w:ascii="Times New Roman" w:hAnsi="Times New Roman" w:cs="Times New Roman"/>
                <w:sz w:val="18"/>
              </w:rPr>
              <w:t>H. específica 2</w:t>
            </w:r>
          </w:p>
        </w:tc>
        <w:tc>
          <w:tcPr>
            <w:tcW w:type="dxa" w:w="2835"/>
          </w:tcPr>
          <w:p>
            <w:pPr>
              <w:spacing w:line="240" w:lineRule="auto"/>
              <w:jc w:val="left"/>
            </w:pPr>
            <w:r>
              <w:rPr>
                <w:rFonts w:ascii="Times New Roman" w:hAnsi="Times New Roman" w:cs="Times New Roman"/>
                <w:sz w:val="18"/>
              </w:rPr>
              <w:t>Nivel educativo</w:t>
            </w:r>
          </w:p>
        </w:tc>
        <w:tc>
          <w:tcPr>
            <w:tcW w:type="dxa" w:w="3402"/>
          </w:tcPr>
          <w:p>
            <w:pPr>
              <w:spacing w:line="240" w:lineRule="auto"/>
              <w:jc w:val="left"/>
            </w:pPr>
            <w:r>
              <w:rPr>
                <w:rFonts w:ascii="Times New Roman" w:hAnsi="Times New Roman" w:cs="Times New Roman"/>
                <w:sz w:val="18"/>
              </w:rPr>
              <w:t>Coeficientes negativos y significativos (p &lt; 0,05)</w:t>
            </w:r>
          </w:p>
        </w:tc>
      </w:tr>
      <w:tr>
        <w:tc>
          <w:tcPr>
            <w:tcW w:type="dxa" w:w="1701"/>
            <w:shd w:val="clear" w:fill="EAF1F8"/>
          </w:tcPr>
          <w:p>
            <w:pPr>
              <w:spacing w:line="240" w:lineRule="auto"/>
              <w:jc w:val="left"/>
            </w:pPr>
            <w:r>
              <w:rPr>
                <w:rFonts w:ascii="Times New Roman" w:hAnsi="Times New Roman" w:cs="Times New Roman"/>
                <w:sz w:val="18"/>
              </w:rPr>
              <w:t>H. específica 3</w:t>
            </w:r>
          </w:p>
        </w:tc>
        <w:tc>
          <w:tcPr>
            <w:tcW w:type="dxa" w:w="2835"/>
            <w:shd w:val="clear" w:fill="EAF1F8"/>
          </w:tcPr>
          <w:p>
            <w:pPr>
              <w:spacing w:line="240" w:lineRule="auto"/>
              <w:jc w:val="left"/>
            </w:pPr>
            <w:r>
              <w:rPr>
                <w:rFonts w:ascii="Times New Roman" w:hAnsi="Times New Roman" w:cs="Times New Roman"/>
                <w:sz w:val="18"/>
              </w:rPr>
              <w:t>Edad, sexo y estado civil</w:t>
            </w:r>
          </w:p>
        </w:tc>
        <w:tc>
          <w:tcPr>
            <w:tcW w:type="dxa" w:w="3402"/>
            <w:shd w:val="clear" w:fill="EAF1F8"/>
          </w:tcPr>
          <w:p>
            <w:pPr>
              <w:spacing w:line="240" w:lineRule="auto"/>
              <w:jc w:val="left"/>
            </w:pPr>
            <w:r>
              <w:rPr>
                <w:rFonts w:ascii="Times New Roman" w:hAnsi="Times New Roman" w:cs="Times New Roman"/>
                <w:sz w:val="18"/>
              </w:rPr>
              <w:t>Coeficientes significativos, individual o conjuntamente</w:t>
            </w:r>
          </w:p>
        </w:tc>
      </w:tr>
    </w:tbl>
    <w:p>
      <w:pPr>
        <w:spacing w:after="160" w:before="40"/>
      </w:pPr>
      <w:r>
        <w:rPr>
          <w:rFonts w:ascii="Times New Roman" w:hAnsi="Times New Roman" w:cs="Times New Roman"/>
          <w:i/>
          <w:color w:val="404040"/>
          <w:sz w:val="18"/>
        </w:rPr>
        <w:t>Nota. Elaboración propia. Los signos esperados se sustentan en el marco teórico (capital humano y segmentación del mercado laboral).</w:t>
      </w:r>
    </w:p>
    <w:p>
      <w:pPr>
        <w:spacing w:before="240" w:after="160"/>
      </w:pPr>
      <w:r>
        <w:rPr>
          <w:rFonts w:ascii="Times New Roman" w:hAnsi="Times New Roman" w:cs="Times New Roman"/>
          <w:b/>
          <w:color w:val="1F4E79"/>
          <w:sz w:val="28"/>
        </w:rPr>
        <w:t>3.10. Pruebas de robustez</w:t>
      </w:r>
    </w:p>
    <w:p>
      <w:pPr>
        <w:spacing w:after="120"/>
        <w:ind w:firstLine="709"/>
        <w:jc w:val="both"/>
      </w:pPr>
      <w:r>
        <w:rPr>
          <w:rFonts w:ascii="Times New Roman" w:hAnsi="Times New Roman" w:cs="Times New Roman"/>
        </w:rPr>
        <w:t xml:space="preserve">Para asegurar que los resultados no dependen de decisiones de modelado específicas, se ejecutan diversas </w:t>
      </w:r>
      <w:r>
        <w:rPr>
          <w:rFonts w:ascii="Times New Roman" w:hAnsi="Times New Roman" w:cs="Times New Roman"/>
          <w:b/>
        </w:rPr>
        <w:t>pruebas de robustez</w:t>
      </w:r>
      <w:r>
        <w:rPr>
          <w:rFonts w:ascii="Times New Roman" w:hAnsi="Times New Roman" w:cs="Times New Roman"/>
        </w:rPr>
        <w:t>. En primer lugar, se contrasta la consistencia de los resultados entre las especificaciones Logit y Probit, verificando que los signos, las magnitudes relativas y los niveles de significancia de los efectos marginales se mantengan estables. En segundo lugar, se estiman especificaciones alternativas que incorporan progresivamente las variables de control, a fin de evaluar la sensibilidad de los coeficientes de interés a la inclusión de covariables.</w:t>
      </w:r>
    </w:p>
    <w:p>
      <w:pPr>
        <w:spacing w:after="120"/>
        <w:ind w:firstLine="709"/>
        <w:jc w:val="both"/>
      </w:pPr>
      <w:r>
        <w:rPr>
          <w:rFonts w:ascii="Times New Roman" w:hAnsi="Times New Roman" w:cs="Times New Roman"/>
        </w:rPr>
        <w:t>En tercer lugar, se examina la estabilidad de los resultados ante definiciones alternativas de la variable dependiente, por ejemplo, la informalidad definida por la ausencia de seguridad social frente a la definición basada en la ausencia de contrato. En cuarto lugar, se estiman los modelos para cada año del periodo (2024 y 2025) por separado, con el objeto de comprobar la persistencia de los efectos a lo largo del periodo de estudio. La coincidencia de los resultados entre estas especificaciones reforzaría la validez interna de las conclusiones.</w:t>
      </w:r>
    </w:p>
    <w:p>
      <w:pPr>
        <w:spacing w:before="240" w:after="160"/>
      </w:pPr>
      <w:r>
        <w:rPr>
          <w:rFonts w:ascii="Times New Roman" w:hAnsi="Times New Roman" w:cs="Times New Roman"/>
          <w:b/>
          <w:color w:val="1F4E79"/>
          <w:sz w:val="28"/>
        </w:rPr>
        <w:t>3.11. Limitaciones metodológicas</w:t>
      </w:r>
    </w:p>
    <w:p>
      <w:pPr>
        <w:spacing w:after="120"/>
        <w:ind w:firstLine="709"/>
        <w:jc w:val="both"/>
      </w:pPr>
      <w:r>
        <w:rPr>
          <w:rFonts w:ascii="Times New Roman" w:hAnsi="Times New Roman" w:cs="Times New Roman"/>
        </w:rPr>
        <w:t xml:space="preserve">La investigación reconoce explícitamente sus limitaciones. En primer lugar, el </w:t>
      </w:r>
      <w:r>
        <w:rPr>
          <w:rFonts w:ascii="Times New Roman" w:hAnsi="Times New Roman" w:cs="Times New Roman"/>
          <w:b/>
        </w:rPr>
        <w:t>carácter transversal</w:t>
      </w:r>
      <w:r>
        <w:rPr>
          <w:rFonts w:ascii="Times New Roman" w:hAnsi="Times New Roman" w:cs="Times New Roman"/>
        </w:rPr>
        <w:t xml:space="preserve"> del diseño impide establecer causalidad en sentido estricto y captar las transiciones de los trabajadores entre el sector formal e informal; los efectos estimados deben interpretarse como asociaciones de probabilidad condicional bajo el supuesto de exogeneidad. En segundo lugar, al emplearse </w:t>
      </w:r>
      <w:r>
        <w:rPr>
          <w:rFonts w:ascii="Times New Roman" w:hAnsi="Times New Roman" w:cs="Times New Roman"/>
          <w:b/>
        </w:rPr>
        <w:t>datos secundarios</w:t>
      </w:r>
      <w:r>
        <w:rPr>
          <w:rFonts w:ascii="Times New Roman" w:hAnsi="Times New Roman" w:cs="Times New Roman"/>
        </w:rPr>
        <w:t>, el estudio se circunscribe a las variables disponibles en la ENAHO, lo que excluye determinantes potencialmente relevantes, como la calidad de la educación, las redes sociales o las preferencias individuales, y abre la posibilidad de un sesgo por variables omitidas.</w:t>
      </w:r>
    </w:p>
    <w:p>
      <w:pPr>
        <w:spacing w:after="160"/>
        <w:ind w:firstLine="709"/>
        <w:jc w:val="both"/>
      </w:pPr>
      <w:r>
        <w:rPr>
          <w:rFonts w:ascii="Times New Roman" w:hAnsi="Times New Roman" w:cs="Times New Roman"/>
        </w:rPr>
        <w:t xml:space="preserve">En tercer lugar, la </w:t>
      </w:r>
      <w:r>
        <w:rPr>
          <w:rFonts w:ascii="Times New Roman" w:hAnsi="Times New Roman" w:cs="Times New Roman"/>
          <w:b/>
        </w:rPr>
        <w:t>operacionalización dicotómica</w:t>
      </w:r>
      <w:r>
        <w:rPr>
          <w:rFonts w:ascii="Times New Roman" w:hAnsi="Times New Roman" w:cs="Times New Roman"/>
        </w:rPr>
        <w:t xml:space="preserve"> de algunas variables, como el nivel de ingresos respecto de la RMV, simplifica fenómenos continuos y puede ocultar no linealidades. En cuarto lugar, los resultados son </w:t>
      </w:r>
      <w:r>
        <w:rPr>
          <w:rFonts w:ascii="Times New Roman" w:hAnsi="Times New Roman" w:cs="Times New Roman"/>
          <w:b/>
        </w:rPr>
        <w:t>representativos del departamento de Lima</w:t>
      </w:r>
      <w:r>
        <w:rPr>
          <w:rFonts w:ascii="Times New Roman" w:hAnsi="Times New Roman" w:cs="Times New Roman"/>
        </w:rPr>
        <w:t xml:space="preserve"> y del periodo 2024-2025, por lo que su generalización a otros ámbitos o periodos debe realizarse con cautela. Estas limitaciones no invalidan los hallazgos, pero delimitan su alcance y orientan futuras investigaciones, idealmente de carácter longitudinal o con datos de panel.</w:t>
      </w:r>
    </w:p>
    <w:p>
      <w:pPr>
        <w:spacing w:before="240" w:after="160"/>
      </w:pPr>
      <w:r>
        <w:rPr>
          <w:rFonts w:ascii="Times New Roman" w:hAnsi="Times New Roman" w:cs="Times New Roman"/>
          <w:b/>
          <w:color w:val="1F4E79"/>
          <w:sz w:val="28"/>
        </w:rPr>
        <w:t>3.12. Matriz de consistencia metodológica</w:t>
      </w:r>
    </w:p>
    <w:p>
      <w:pPr>
        <w:spacing w:after="120"/>
        <w:ind w:firstLine="709"/>
        <w:jc w:val="both"/>
      </w:pPr>
      <w:r>
        <w:rPr>
          <w:rFonts w:ascii="Times New Roman" w:hAnsi="Times New Roman" w:cs="Times New Roman"/>
        </w:rPr>
        <w:t>La coherencia entre el problema, los objetivos, las hipótesis, las variables y la metodología se resume en la matriz de consistencia que se presenta en la Tabla 7.</w:t>
      </w:r>
    </w:p>
    <w:p>
      <w:pPr>
        <w:spacing w:before="200" w:after="40"/>
      </w:pPr>
      <w:r>
        <w:rPr>
          <w:rFonts w:ascii="Times New Roman" w:hAnsi="Times New Roman" w:cs="Times New Roman"/>
          <w:b/>
          <w:sz w:val="22"/>
        </w:rPr>
        <w:t>Tabla 7</w:t>
      </w:r>
    </w:p>
    <w:p>
      <w:pPr>
        <w:spacing w:after="80"/>
      </w:pPr>
      <w:r>
        <w:rPr>
          <w:rFonts w:ascii="Times New Roman" w:hAnsi="Times New Roman" w:cs="Times New Roman"/>
          <w:i/>
          <w:sz w:val="22"/>
        </w:rPr>
        <w:t>Matriz de consistencia metodológica (síntesis)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71"/>
            <w:shd w:val="clear" w:fill="1F4E79"/>
          </w:tcPr>
          <w:p>
            <w:pPr>
              <w:spacing w:line="240" w:lineRule="auto"/>
              <w:jc w:val="center"/>
            </w:pPr>
            <w:r>
              <w:rPr>
                <w:rFonts w:ascii="Times New Roman" w:hAnsi="Times New Roman" w:cs="Times New Roman"/>
                <w:b/>
                <w:color w:val="FFFFFF"/>
                <w:sz w:val="17"/>
              </w:rPr>
              <w:t>Problema</w:t>
            </w:r>
          </w:p>
        </w:tc>
        <w:tc>
          <w:tcPr>
            <w:tcW w:type="dxa" w:w="1871"/>
            <w:shd w:val="clear" w:fill="1F4E79"/>
          </w:tcPr>
          <w:p>
            <w:pPr>
              <w:spacing w:line="240" w:lineRule="auto"/>
              <w:jc w:val="center"/>
            </w:pPr>
            <w:r>
              <w:rPr>
                <w:rFonts w:ascii="Times New Roman" w:hAnsi="Times New Roman" w:cs="Times New Roman"/>
                <w:b/>
                <w:color w:val="FFFFFF"/>
                <w:sz w:val="17"/>
              </w:rPr>
              <w:t>Objetivo</w:t>
            </w:r>
          </w:p>
        </w:tc>
        <w:tc>
          <w:tcPr>
            <w:tcW w:type="dxa" w:w="1871"/>
            <w:shd w:val="clear" w:fill="1F4E79"/>
          </w:tcPr>
          <w:p>
            <w:pPr>
              <w:spacing w:line="240" w:lineRule="auto"/>
              <w:jc w:val="center"/>
            </w:pPr>
            <w:r>
              <w:rPr>
                <w:rFonts w:ascii="Times New Roman" w:hAnsi="Times New Roman" w:cs="Times New Roman"/>
                <w:b/>
                <w:color w:val="FFFFFF"/>
                <w:sz w:val="17"/>
              </w:rPr>
              <w:t>Hipótesis</w:t>
            </w:r>
          </w:p>
        </w:tc>
        <w:tc>
          <w:tcPr>
            <w:tcW w:type="dxa" w:w="1474"/>
            <w:shd w:val="clear" w:fill="1F4E79"/>
          </w:tcPr>
          <w:p>
            <w:pPr>
              <w:spacing w:line="240" w:lineRule="auto"/>
              <w:jc w:val="center"/>
            </w:pPr>
            <w:r>
              <w:rPr>
                <w:rFonts w:ascii="Times New Roman" w:hAnsi="Times New Roman" w:cs="Times New Roman"/>
                <w:b/>
                <w:color w:val="FFFFFF"/>
                <w:sz w:val="17"/>
              </w:rPr>
              <w:t>Variable</w:t>
            </w:r>
          </w:p>
        </w:tc>
        <w:tc>
          <w:tcPr>
            <w:tcW w:type="dxa" w:w="1191"/>
            <w:shd w:val="clear" w:fill="1F4E79"/>
          </w:tcPr>
          <w:p>
            <w:pPr>
              <w:spacing w:line="240" w:lineRule="auto"/>
              <w:jc w:val="center"/>
            </w:pPr>
            <w:r>
              <w:rPr>
                <w:rFonts w:ascii="Times New Roman" w:hAnsi="Times New Roman" w:cs="Times New Roman"/>
                <w:b/>
                <w:color w:val="FFFFFF"/>
                <w:sz w:val="17"/>
              </w:rPr>
              <w:t>Modelo</w:t>
            </w:r>
          </w:p>
        </w:tc>
      </w:tr>
      <w:tr>
        <w:tc>
          <w:tcPr>
            <w:tcW w:type="dxa" w:w="1871"/>
          </w:tcPr>
          <w:p>
            <w:pPr>
              <w:spacing w:line="240" w:lineRule="auto"/>
              <w:jc w:val="left"/>
            </w:pPr>
            <w:r>
              <w:rPr>
                <w:rFonts w:ascii="Times New Roman" w:hAnsi="Times New Roman" w:cs="Times New Roman"/>
                <w:sz w:val="17"/>
              </w:rPr>
              <w:t>¿Cuáles son los factores que determinan la informalidad laboral en Lima, 2024-2025?</w:t>
            </w:r>
          </w:p>
        </w:tc>
        <w:tc>
          <w:tcPr>
            <w:tcW w:type="dxa" w:w="1871"/>
          </w:tcPr>
          <w:p>
            <w:pPr>
              <w:spacing w:line="240" w:lineRule="auto"/>
              <w:jc w:val="left"/>
            </w:pPr>
            <w:r>
              <w:rPr>
                <w:rFonts w:ascii="Times New Roman" w:hAnsi="Times New Roman" w:cs="Times New Roman"/>
                <w:sz w:val="17"/>
              </w:rPr>
              <w:t>Determinar los factores que influyen en la informalidad laboral en Lima, 2024-2025.</w:t>
            </w:r>
          </w:p>
        </w:tc>
        <w:tc>
          <w:tcPr>
            <w:tcW w:type="dxa" w:w="1871"/>
          </w:tcPr>
          <w:p>
            <w:pPr>
              <w:spacing w:line="240" w:lineRule="auto"/>
              <w:jc w:val="left"/>
            </w:pPr>
            <w:r>
              <w:rPr>
                <w:rFonts w:ascii="Times New Roman" w:hAnsi="Times New Roman" w:cs="Times New Roman"/>
                <w:sz w:val="17"/>
              </w:rPr>
              <w:t>Los principales factores son el nivel de ingresos y el nivel educativo.</w:t>
            </w:r>
          </w:p>
        </w:tc>
        <w:tc>
          <w:tcPr>
            <w:tcW w:type="dxa" w:w="1474"/>
          </w:tcPr>
          <w:p>
            <w:pPr>
              <w:spacing w:line="240" w:lineRule="auto"/>
              <w:jc w:val="left"/>
            </w:pPr>
            <w:r>
              <w:rPr>
                <w:rFonts w:ascii="Times New Roman" w:hAnsi="Times New Roman" w:cs="Times New Roman"/>
                <w:sz w:val="17"/>
              </w:rPr>
              <w:t>Dep.: empleo informal</w:t>
            </w:r>
          </w:p>
        </w:tc>
        <w:tc>
          <w:tcPr>
            <w:tcW w:type="dxa" w:w="1191"/>
          </w:tcPr>
          <w:p>
            <w:pPr>
              <w:spacing w:line="240" w:lineRule="auto"/>
              <w:jc w:val="left"/>
            </w:pPr>
            <w:r>
              <w:rPr>
                <w:rFonts w:ascii="Times New Roman" w:hAnsi="Times New Roman" w:cs="Times New Roman"/>
                <w:sz w:val="17"/>
              </w:rPr>
              <w:t>Logit / Probit</w:t>
            </w:r>
          </w:p>
        </w:tc>
      </w:tr>
      <w:tr>
        <w:tc>
          <w:tcPr>
            <w:tcW w:type="dxa" w:w="1871"/>
            <w:shd w:val="clear" w:fill="EAF1F8"/>
          </w:tcPr>
          <w:p>
            <w:pPr>
              <w:spacing w:line="240" w:lineRule="auto"/>
              <w:jc w:val="left"/>
            </w:pPr>
            <w:r>
              <w:rPr>
                <w:rFonts w:ascii="Times New Roman" w:hAnsi="Times New Roman" w:cs="Times New Roman"/>
                <w:sz w:val="17"/>
              </w:rPr>
              <w:t>¿Cuál es el efecto del nivel de ingresos sobre la informalidad?</w:t>
            </w:r>
          </w:p>
        </w:tc>
        <w:tc>
          <w:tcPr>
            <w:tcW w:type="dxa" w:w="1871"/>
            <w:shd w:val="clear" w:fill="EAF1F8"/>
          </w:tcPr>
          <w:p>
            <w:pPr>
              <w:spacing w:line="240" w:lineRule="auto"/>
              <w:jc w:val="left"/>
            </w:pPr>
            <w:r>
              <w:rPr>
                <w:rFonts w:ascii="Times New Roman" w:hAnsi="Times New Roman" w:cs="Times New Roman"/>
                <w:sz w:val="17"/>
              </w:rPr>
              <w:t>Determinar el efecto del nivel de ingresos sobre la informalidad.</w:t>
            </w:r>
          </w:p>
        </w:tc>
        <w:tc>
          <w:tcPr>
            <w:tcW w:type="dxa" w:w="1871"/>
            <w:shd w:val="clear" w:fill="EAF1F8"/>
          </w:tcPr>
          <w:p>
            <w:pPr>
              <w:spacing w:line="240" w:lineRule="auto"/>
              <w:jc w:val="left"/>
            </w:pPr>
            <w:r>
              <w:rPr>
                <w:rFonts w:ascii="Times New Roman" w:hAnsi="Times New Roman" w:cs="Times New Roman"/>
                <w:sz w:val="17"/>
              </w:rPr>
              <w:t>El nivel de ingresos tiene un efecto negativo sobre la informalidad.</w:t>
            </w:r>
          </w:p>
        </w:tc>
        <w:tc>
          <w:tcPr>
            <w:tcW w:type="dxa" w:w="1474"/>
            <w:shd w:val="clear" w:fill="EAF1F8"/>
          </w:tcPr>
          <w:p>
            <w:pPr>
              <w:spacing w:line="240" w:lineRule="auto"/>
              <w:jc w:val="left"/>
            </w:pPr>
            <w:r>
              <w:rPr>
                <w:rFonts w:ascii="Times New Roman" w:hAnsi="Times New Roman" w:cs="Times New Roman"/>
                <w:sz w:val="17"/>
              </w:rPr>
              <w:t>Indep.: nivel de ingresos</w:t>
            </w:r>
          </w:p>
        </w:tc>
        <w:tc>
          <w:tcPr>
            <w:tcW w:type="dxa" w:w="1191"/>
            <w:shd w:val="clear" w:fill="EAF1F8"/>
          </w:tcPr>
          <w:p>
            <w:pPr>
              <w:spacing w:line="240" w:lineRule="auto"/>
              <w:jc w:val="left"/>
            </w:pPr>
            <w:r>
              <w:rPr>
                <w:rFonts w:ascii="Times New Roman" w:hAnsi="Times New Roman" w:cs="Times New Roman"/>
                <w:sz w:val="17"/>
              </w:rPr>
              <w:t>Logit / Probit</w:t>
            </w:r>
          </w:p>
        </w:tc>
      </w:tr>
      <w:tr>
        <w:tc>
          <w:tcPr>
            <w:tcW w:type="dxa" w:w="1871"/>
          </w:tcPr>
          <w:p>
            <w:pPr>
              <w:spacing w:line="240" w:lineRule="auto"/>
              <w:jc w:val="left"/>
            </w:pPr>
            <w:r>
              <w:rPr>
                <w:rFonts w:ascii="Times New Roman" w:hAnsi="Times New Roman" w:cs="Times New Roman"/>
                <w:sz w:val="17"/>
              </w:rPr>
              <w:t>¿Cuál es el efecto del nivel educativo sobre la informalidad?</w:t>
            </w:r>
          </w:p>
        </w:tc>
        <w:tc>
          <w:tcPr>
            <w:tcW w:type="dxa" w:w="1871"/>
          </w:tcPr>
          <w:p>
            <w:pPr>
              <w:spacing w:line="240" w:lineRule="auto"/>
              <w:jc w:val="left"/>
            </w:pPr>
            <w:r>
              <w:rPr>
                <w:rFonts w:ascii="Times New Roman" w:hAnsi="Times New Roman" w:cs="Times New Roman"/>
                <w:sz w:val="17"/>
              </w:rPr>
              <w:t>Determinar el efecto del nivel educativo sobre la informalidad.</w:t>
            </w:r>
          </w:p>
        </w:tc>
        <w:tc>
          <w:tcPr>
            <w:tcW w:type="dxa" w:w="1871"/>
          </w:tcPr>
          <w:p>
            <w:pPr>
              <w:spacing w:line="240" w:lineRule="auto"/>
              <w:jc w:val="left"/>
            </w:pPr>
            <w:r>
              <w:rPr>
                <w:rFonts w:ascii="Times New Roman" w:hAnsi="Times New Roman" w:cs="Times New Roman"/>
                <w:sz w:val="17"/>
              </w:rPr>
              <w:t>El nivel educativo tiene un efecto negativo sobre la informalidad.</w:t>
            </w:r>
          </w:p>
        </w:tc>
        <w:tc>
          <w:tcPr>
            <w:tcW w:type="dxa" w:w="1474"/>
          </w:tcPr>
          <w:p>
            <w:pPr>
              <w:spacing w:line="240" w:lineRule="auto"/>
              <w:jc w:val="left"/>
            </w:pPr>
            <w:r>
              <w:rPr>
                <w:rFonts w:ascii="Times New Roman" w:hAnsi="Times New Roman" w:cs="Times New Roman"/>
                <w:sz w:val="17"/>
              </w:rPr>
              <w:t>Indep.: nivel educativo</w:t>
            </w:r>
          </w:p>
        </w:tc>
        <w:tc>
          <w:tcPr>
            <w:tcW w:type="dxa" w:w="1191"/>
          </w:tcPr>
          <w:p>
            <w:pPr>
              <w:spacing w:line="240" w:lineRule="auto"/>
              <w:jc w:val="left"/>
            </w:pPr>
            <w:r>
              <w:rPr>
                <w:rFonts w:ascii="Times New Roman" w:hAnsi="Times New Roman" w:cs="Times New Roman"/>
                <w:sz w:val="17"/>
              </w:rPr>
              <w:t>Logit / Probit</w:t>
            </w:r>
          </w:p>
        </w:tc>
      </w:tr>
      <w:tr>
        <w:tc>
          <w:tcPr>
            <w:tcW w:type="dxa" w:w="1871"/>
            <w:shd w:val="clear" w:fill="EAF1F8"/>
          </w:tcPr>
          <w:p>
            <w:pPr>
              <w:spacing w:line="240" w:lineRule="auto"/>
              <w:jc w:val="left"/>
            </w:pPr>
            <w:r>
              <w:rPr>
                <w:rFonts w:ascii="Times New Roman" w:hAnsi="Times New Roman" w:cs="Times New Roman"/>
                <w:sz w:val="17"/>
              </w:rPr>
              <w:t>¿Cuál es el efecto de la edad, el género y el estado civil sobre la informalidad?</w:t>
            </w:r>
          </w:p>
        </w:tc>
        <w:tc>
          <w:tcPr>
            <w:tcW w:type="dxa" w:w="1871"/>
            <w:shd w:val="clear" w:fill="EAF1F8"/>
          </w:tcPr>
          <w:p>
            <w:pPr>
              <w:spacing w:line="240" w:lineRule="auto"/>
              <w:jc w:val="left"/>
            </w:pPr>
            <w:r>
              <w:rPr>
                <w:rFonts w:ascii="Times New Roman" w:hAnsi="Times New Roman" w:cs="Times New Roman"/>
                <w:sz w:val="17"/>
              </w:rPr>
              <w:t>Establecer el efecto de la edad, el género y el estado civil sobre la informalidad.</w:t>
            </w:r>
          </w:p>
        </w:tc>
        <w:tc>
          <w:tcPr>
            <w:tcW w:type="dxa" w:w="1871"/>
            <w:shd w:val="clear" w:fill="EAF1F8"/>
          </w:tcPr>
          <w:p>
            <w:pPr>
              <w:spacing w:line="240" w:lineRule="auto"/>
              <w:jc w:val="left"/>
            </w:pPr>
            <w:r>
              <w:rPr>
                <w:rFonts w:ascii="Times New Roman" w:hAnsi="Times New Roman" w:cs="Times New Roman"/>
                <w:sz w:val="17"/>
              </w:rPr>
              <w:t>La edad, el género y el estado civil influyen en la informalidad.</w:t>
            </w:r>
          </w:p>
        </w:tc>
        <w:tc>
          <w:tcPr>
            <w:tcW w:type="dxa" w:w="1474"/>
            <w:shd w:val="clear" w:fill="EAF1F8"/>
          </w:tcPr>
          <w:p>
            <w:pPr>
              <w:spacing w:line="240" w:lineRule="auto"/>
              <w:jc w:val="left"/>
            </w:pPr>
            <w:r>
              <w:rPr>
                <w:rFonts w:ascii="Times New Roman" w:hAnsi="Times New Roman" w:cs="Times New Roman"/>
                <w:sz w:val="17"/>
              </w:rPr>
              <w:t>Control: edad, sexo, estado civil</w:t>
            </w:r>
          </w:p>
        </w:tc>
        <w:tc>
          <w:tcPr>
            <w:tcW w:type="dxa" w:w="1191"/>
            <w:shd w:val="clear" w:fill="EAF1F8"/>
          </w:tcPr>
          <w:p>
            <w:pPr>
              <w:spacing w:line="240" w:lineRule="auto"/>
              <w:jc w:val="left"/>
            </w:pPr>
            <w:r>
              <w:rPr>
                <w:rFonts w:ascii="Times New Roman" w:hAnsi="Times New Roman" w:cs="Times New Roman"/>
                <w:sz w:val="17"/>
              </w:rPr>
              <w:t>Logit / Probit</w:t>
            </w:r>
          </w:p>
        </w:tc>
      </w:tr>
    </w:tbl>
    <w:p>
      <w:pPr>
        <w:spacing w:after="160" w:before="40"/>
      </w:pPr>
      <w:r>
        <w:rPr>
          <w:rFonts w:ascii="Times New Roman" w:hAnsi="Times New Roman" w:cs="Times New Roman"/>
          <w:i/>
          <w:color w:val="404040"/>
          <w:sz w:val="18"/>
        </w:rPr>
        <w:t>Nota. Elaboración propia a partir de la matriz de consistencia del proyecto. Todas las filas comparten el mismo tipo (aplicada, cuantitativa, explicativa), diseño (no experimental, transversal) y fuente de datos (ENAHO-INEI, 2024-2025).</w:t>
      </w:r>
    </w:p>
    <w:p>
      <w:pPr>
        <w:spacing w:before="240" w:after="160"/>
      </w:pPr>
      <w:r>
        <w:rPr>
          <w:rFonts w:ascii="Times New Roman" w:hAnsi="Times New Roman" w:cs="Times New Roman"/>
          <w:b/>
          <w:color w:val="1F4E79"/>
          <w:sz w:val="28"/>
        </w:rPr>
        <w:t>3.13. Consideraciones éticas</w:t>
      </w:r>
    </w:p>
    <w:p>
      <w:pPr>
        <w:spacing w:after="120"/>
        <w:ind w:firstLine="709"/>
        <w:jc w:val="both"/>
      </w:pPr>
      <w:r>
        <w:rPr>
          <w:rFonts w:ascii="Times New Roman" w:hAnsi="Times New Roman" w:cs="Times New Roman"/>
        </w:rPr>
        <w:t xml:space="preserve">La investigación se sujeta a los principios éticos de la investigación científica y a las normas de integridad académica de la Universidad Nacional Mayor de San Marcos. Al emplearse exclusivamente </w:t>
      </w:r>
      <w:r>
        <w:rPr>
          <w:rFonts w:ascii="Times New Roman" w:hAnsi="Times New Roman" w:cs="Times New Roman"/>
          <w:b/>
        </w:rPr>
        <w:t>datos secundarios, anonimizados y de acceso público</w:t>
      </w:r>
      <w:r>
        <w:rPr>
          <w:rFonts w:ascii="Times New Roman" w:hAnsi="Times New Roman" w:cs="Times New Roman"/>
        </w:rPr>
        <w:t xml:space="preserve"> provenientes de la ENAHO, se garantiza la </w:t>
      </w:r>
      <w:r>
        <w:rPr>
          <w:rFonts w:ascii="Times New Roman" w:hAnsi="Times New Roman" w:cs="Times New Roman"/>
          <w:b/>
        </w:rPr>
        <w:t>confidencialidad y la protección de la identidad</w:t>
      </w:r>
      <w:r>
        <w:rPr>
          <w:rFonts w:ascii="Times New Roman" w:hAnsi="Times New Roman" w:cs="Times New Roman"/>
        </w:rPr>
        <w:t xml:space="preserve"> de los informantes, pues los microdatos del INEI no permiten identificar a las personas ni a los hogares encuestados. Asimismo, se respeta la </w:t>
      </w:r>
      <w:r>
        <w:rPr>
          <w:rFonts w:ascii="Times New Roman" w:hAnsi="Times New Roman" w:cs="Times New Roman"/>
          <w:b/>
        </w:rPr>
        <w:t>propiedad intelectual</w:t>
      </w:r>
      <w:r>
        <w:rPr>
          <w:rFonts w:ascii="Times New Roman" w:hAnsi="Times New Roman" w:cs="Times New Roman"/>
        </w:rPr>
        <w:t xml:space="preserve"> mediante la citación rigurosa de todas las fuentes en formato APA, y se asegura la </w:t>
      </w:r>
      <w:r>
        <w:rPr>
          <w:rFonts w:ascii="Times New Roman" w:hAnsi="Times New Roman" w:cs="Times New Roman"/>
          <w:b/>
        </w:rPr>
        <w:t>transparencia y replicabilidad</w:t>
      </w:r>
      <w:r>
        <w:rPr>
          <w:rFonts w:ascii="Times New Roman" w:hAnsi="Times New Roman" w:cs="Times New Roman"/>
        </w:rPr>
        <w:t xml:space="preserve"> del estudio mediante la documentación detallada de los procedimientos de construcción de la base de datos y de estimación. La investigación no presenta conflictos de interés ni riesgos para los sujetos, dado su carácter no experimental y de fuente secundaria.</w:t>
      </w:r>
    </w:p>
    <w:p>
      <w:pPr>
        <w:spacing w:after="120"/>
        <w:ind w:firstLine="709"/>
        <w:jc w:val="both"/>
      </w:pPr>
      <w:r>
        <w:rPr>
          <w:rFonts w:ascii="Times New Roman" w:hAnsi="Times New Roman" w:cs="Times New Roman"/>
        </w:rPr>
        <w:t xml:space="preserve">De manera complementaria, la investigación observa los principios de </w:t>
      </w:r>
      <w:r>
        <w:rPr>
          <w:rFonts w:ascii="Times New Roman" w:hAnsi="Times New Roman" w:cs="Times New Roman"/>
          <w:b/>
        </w:rPr>
        <w:t>integridad y honestidad científica</w:t>
      </w:r>
      <w:r>
        <w:rPr>
          <w:rFonts w:ascii="Times New Roman" w:hAnsi="Times New Roman" w:cs="Times New Roman"/>
        </w:rPr>
        <w:t xml:space="preserve">: los datos no se manipulan ni se seleccionan de manera tendenciosa, los resultados se reportan con independencia de que confirmen o refuten las hipótesis, y se evita toda forma de plagio mediante el reconocimiento explícito de las fuentes. Se respeta, asimismo, el principio de </w:t>
      </w:r>
      <w:r>
        <w:rPr>
          <w:rFonts w:ascii="Times New Roman" w:hAnsi="Times New Roman" w:cs="Times New Roman"/>
          <w:b/>
        </w:rPr>
        <w:t>beneficencia</w:t>
      </w:r>
      <w:r>
        <w:rPr>
          <w:rFonts w:ascii="Times New Roman" w:hAnsi="Times New Roman" w:cs="Times New Roman"/>
        </w:rPr>
        <w:t xml:space="preserve">, en la medida en que los hallazgos se orientan a aportar evidencia útil para el diseño de políticas de formalización laboral que beneficien a los trabajadores informales del departamento de Lima, y el principio de </w:t>
      </w:r>
      <w:r>
        <w:rPr>
          <w:rFonts w:ascii="Times New Roman" w:hAnsi="Times New Roman" w:cs="Times New Roman"/>
          <w:b/>
        </w:rPr>
        <w:t>justicia</w:t>
      </w:r>
      <w:r>
        <w:rPr>
          <w:rFonts w:ascii="Times New Roman" w:hAnsi="Times New Roman" w:cs="Times New Roman"/>
        </w:rPr>
        <w:t>, al analizar un fenómeno que afecta de manera desproporcionada a los grupos más vulnerables de la población.</w:t>
      </w:r>
    </w:p>
    <w:p>
      <w:pPr>
        <w:spacing w:after="160"/>
        <w:ind w:firstLine="709"/>
        <w:jc w:val="both"/>
      </w:pPr>
      <w:r>
        <w:rPr>
          <w:rFonts w:ascii="Times New Roman" w:hAnsi="Times New Roman" w:cs="Times New Roman"/>
        </w:rPr>
        <w:t>Finalmente, el uso de los microdatos de la ENAHO se realiza conforme a las condiciones de uso establecidas por el INEI para la difusión de información estadística, que autorizan su empleo con fines académicos y de investigación, siempre que se cite adecuadamente la fuente y se preserve el carácter anónimo y agregado de la información.</w:t>
      </w:r>
    </w:p>
    <w:p>
      <w:pPr>
        <w:spacing w:before="240" w:after="160"/>
      </w:pPr>
      <w:r>
        <w:rPr>
          <w:rFonts w:ascii="Times New Roman" w:hAnsi="Times New Roman" w:cs="Times New Roman"/>
          <w:b/>
          <w:color w:val="1F4E79"/>
          <w:sz w:val="28"/>
        </w:rPr>
        <w:t>3.14. Síntesis metodológica</w:t>
      </w:r>
    </w:p>
    <w:p>
      <w:pPr>
        <w:spacing w:after="160"/>
        <w:ind w:firstLine="709"/>
        <w:jc w:val="both"/>
      </w:pPr>
      <w:r>
        <w:rPr>
          <w:rFonts w:ascii="Times New Roman" w:hAnsi="Times New Roman" w:cs="Times New Roman"/>
        </w:rPr>
        <w:t xml:space="preserve">En síntesis, la presente investigación adopta un enfoque </w:t>
      </w:r>
      <w:r>
        <w:rPr>
          <w:rFonts w:ascii="Times New Roman" w:hAnsi="Times New Roman" w:cs="Times New Roman"/>
          <w:b/>
        </w:rPr>
        <w:t>cuantitativo</w:t>
      </w:r>
      <w:r>
        <w:rPr>
          <w:rFonts w:ascii="Times New Roman" w:hAnsi="Times New Roman" w:cs="Times New Roman"/>
        </w:rPr>
        <w:t xml:space="preserve">, de tipo </w:t>
      </w:r>
      <w:r>
        <w:rPr>
          <w:rFonts w:ascii="Times New Roman" w:hAnsi="Times New Roman" w:cs="Times New Roman"/>
          <w:b/>
        </w:rPr>
        <w:t>aplicado</w:t>
      </w:r>
      <w:r>
        <w:rPr>
          <w:rFonts w:ascii="Times New Roman" w:hAnsi="Times New Roman" w:cs="Times New Roman"/>
        </w:rPr>
        <w:t xml:space="preserve"> y nivel </w:t>
      </w:r>
      <w:r>
        <w:rPr>
          <w:rFonts w:ascii="Times New Roman" w:hAnsi="Times New Roman" w:cs="Times New Roman"/>
          <w:b/>
        </w:rPr>
        <w:t>explicativo</w:t>
      </w:r>
      <w:r>
        <w:rPr>
          <w:rFonts w:ascii="Times New Roman" w:hAnsi="Times New Roman" w:cs="Times New Roman"/>
        </w:rPr>
        <w:t xml:space="preserve">, con un diseño </w:t>
      </w:r>
      <w:r>
        <w:rPr>
          <w:rFonts w:ascii="Times New Roman" w:hAnsi="Times New Roman" w:cs="Times New Roman"/>
          <w:b/>
        </w:rPr>
        <w:t>no experimental de corte transversal</w:t>
      </w:r>
      <w:r>
        <w:rPr>
          <w:rFonts w:ascii="Times New Roman" w:hAnsi="Times New Roman" w:cs="Times New Roman"/>
        </w:rPr>
        <w:t xml:space="preserve">. A partir de los microdatos de la ENAHO (INEI) correspondientes a la PEA ocupada del departamento de Lima en 2024-2025, se estima un </w:t>
      </w:r>
      <w:r>
        <w:rPr>
          <w:rFonts w:ascii="Times New Roman" w:hAnsi="Times New Roman" w:cs="Times New Roman"/>
          <w:b/>
        </w:rPr>
        <w:t>modelo de elección binaria (Logit, con Probit como prueba de robustez)</w:t>
      </w:r>
      <w:r>
        <w:rPr>
          <w:rFonts w:ascii="Times New Roman" w:hAnsi="Times New Roman" w:cs="Times New Roman"/>
        </w:rPr>
        <w:t xml:space="preserve"> que cuantifica el efecto del nivel de ingresos, el nivel educativo y los factores demográficos —edad, sexo y estado civil— sobre la probabilidad de informalidad laboral. La interpretación se realiza mediante efectos marginales y razones de momios, y la validez de las estimaciones se sustenta en pruebas de bondad de ajuste, capacidad predictiva y diagnóstico econométrico. Esta estrategia, coherente con la matriz de consistencia del proyecto y con el antecedente metodológico de referencia (Semestre Económico, 2025), permite responder de manera rigurosa a las preguntas de investigación y contrastar las hipótesis planteadas, generando evidencia empírica actualizada y focalizada para el diseño de políticas de formalización laboral en el departamento de Lima.</w:t>
      </w:r>
    </w:p>
    <w:p>
      <w:pPr>
        <w:spacing w:before="240" w:after="160"/>
      </w:pPr>
      <w:r>
        <w:rPr>
          <w:rFonts w:ascii="Times New Roman" w:hAnsi="Times New Roman" w:cs="Times New Roman"/>
          <w:b/>
          <w:color w:val="1F4E79"/>
          <w:sz w:val="26"/>
        </w:rPr>
        <w:t>Referencias</w:t>
      </w:r>
    </w:p>
    <w:p>
      <w:pPr>
        <w:spacing w:line="240" w:lineRule="auto" w:after="80"/>
        <w:ind w:left="709" w:hanging="709"/>
        <w:jc w:val="both"/>
      </w:pPr>
      <w:r>
        <w:rPr>
          <w:rFonts w:ascii="Times New Roman" w:hAnsi="Times New Roman" w:cs="Times New Roman"/>
        </w:rPr>
        <w:t xml:space="preserve">Greene, W. H. (2012). </w:t>
      </w:r>
      <w:r>
        <w:rPr>
          <w:rFonts w:ascii="Times New Roman" w:hAnsi="Times New Roman" w:cs="Times New Roman"/>
          <w:i/>
        </w:rPr>
        <w:t>Econometric analysis</w:t>
      </w:r>
      <w:r>
        <w:rPr>
          <w:rFonts w:ascii="Times New Roman" w:hAnsi="Times New Roman" w:cs="Times New Roman"/>
        </w:rPr>
        <w:t xml:space="preserve"> (7.ª ed.). Pearson.</w:t>
      </w:r>
    </w:p>
    <w:p>
      <w:pPr>
        <w:spacing w:line="240" w:lineRule="auto" w:after="80"/>
        <w:ind w:left="709" w:hanging="709"/>
        <w:jc w:val="both"/>
      </w:pPr>
      <w:r>
        <w:rPr>
          <w:rFonts w:ascii="Times New Roman" w:hAnsi="Times New Roman" w:cs="Times New Roman"/>
        </w:rPr>
        <w:t xml:space="preserve">Gujarati, D. N., &amp; Porter, D. C. (2010). </w:t>
      </w:r>
      <w:r>
        <w:rPr>
          <w:rFonts w:ascii="Times New Roman" w:hAnsi="Times New Roman" w:cs="Times New Roman"/>
          <w:i/>
        </w:rPr>
        <w:t>Econometría</w:t>
      </w:r>
      <w:r>
        <w:rPr>
          <w:rFonts w:ascii="Times New Roman" w:hAnsi="Times New Roman" w:cs="Times New Roman"/>
        </w:rPr>
        <w:t xml:space="preserve"> (5.ª ed.). McGraw-Hill.</w:t>
      </w:r>
    </w:p>
    <w:p>
      <w:pPr>
        <w:spacing w:line="240" w:lineRule="auto" w:after="80"/>
        <w:ind w:left="709" w:hanging="709"/>
        <w:jc w:val="both"/>
      </w:pPr>
      <w:r>
        <w:rPr>
          <w:rFonts w:ascii="Times New Roman" w:hAnsi="Times New Roman" w:cs="Times New Roman"/>
        </w:rPr>
        <w:t xml:space="preserve">Hernández-Sampieri, R., &amp; Mendoza, C. P. (2018). </w:t>
      </w:r>
      <w:r>
        <w:rPr>
          <w:rFonts w:ascii="Times New Roman" w:hAnsi="Times New Roman" w:cs="Times New Roman"/>
          <w:i/>
        </w:rPr>
        <w:t>Metodología de la investigación: las rutas cuantitativa, cualitativa y mixta</w:t>
      </w:r>
      <w:r>
        <w:rPr>
          <w:rFonts w:ascii="Times New Roman" w:hAnsi="Times New Roman" w:cs="Times New Roman"/>
        </w:rPr>
        <w:t>. McGraw-Hill.</w:t>
      </w:r>
    </w:p>
    <w:p>
      <w:pPr>
        <w:spacing w:line="240" w:lineRule="auto" w:after="80"/>
        <w:ind w:left="709" w:hanging="709"/>
        <w:jc w:val="both"/>
      </w:pPr>
      <w:r>
        <w:rPr>
          <w:rFonts w:ascii="Times New Roman" w:hAnsi="Times New Roman" w:cs="Times New Roman"/>
        </w:rPr>
        <w:t xml:space="preserve">Instituto Nacional de Estadística e Informática. (2025). </w:t>
      </w:r>
      <w:r>
        <w:rPr>
          <w:rFonts w:ascii="Times New Roman" w:hAnsi="Times New Roman" w:cs="Times New Roman"/>
          <w:i/>
        </w:rPr>
        <w:t>Producción y empleo informal en el Perú: Cuenta Satélite de la Economía Informal 2022-2024</w:t>
      </w:r>
      <w:r>
        <w:rPr>
          <w:rFonts w:ascii="Times New Roman" w:hAnsi="Times New Roman" w:cs="Times New Roman"/>
        </w:rPr>
        <w:t>. INEI.</w:t>
      </w:r>
    </w:p>
    <w:p>
      <w:pPr>
        <w:spacing w:line="240" w:lineRule="auto" w:after="80"/>
        <w:ind w:left="709" w:hanging="709"/>
        <w:jc w:val="both"/>
      </w:pPr>
      <w:r>
        <w:rPr>
          <w:rFonts w:ascii="Times New Roman" w:hAnsi="Times New Roman" w:cs="Times New Roman"/>
        </w:rPr>
        <w:t xml:space="preserve">Instituto Nacional de Estadística e Informática. (2025). </w:t>
      </w:r>
      <w:r>
        <w:rPr>
          <w:rFonts w:ascii="Times New Roman" w:hAnsi="Times New Roman" w:cs="Times New Roman"/>
          <w:i/>
        </w:rPr>
        <w:t>Encuesta Nacional de Hogares sobre Condiciones de Vida y Pobreza (ENAHO): ficha técnica</w:t>
      </w:r>
      <w:r>
        <w:rPr>
          <w:rFonts w:ascii="Times New Roman" w:hAnsi="Times New Roman" w:cs="Times New Roman"/>
        </w:rPr>
        <w:t>. INEI.</w:t>
      </w:r>
    </w:p>
    <w:p>
      <w:pPr>
        <w:spacing w:line="240" w:lineRule="auto" w:after="80"/>
        <w:ind w:left="709" w:hanging="709"/>
        <w:jc w:val="both"/>
      </w:pPr>
      <w:r>
        <w:rPr>
          <w:rFonts w:ascii="Times New Roman" w:hAnsi="Times New Roman" w:cs="Times New Roman"/>
        </w:rPr>
        <w:t xml:space="preserve">Maddala, G. S. (1983). </w:t>
      </w:r>
      <w:r>
        <w:rPr>
          <w:rFonts w:ascii="Times New Roman" w:hAnsi="Times New Roman" w:cs="Times New Roman"/>
          <w:i/>
        </w:rPr>
        <w:t>Limited-dependent and qualitative variables in econometrics</w:t>
      </w:r>
      <w:r>
        <w:rPr>
          <w:rFonts w:ascii="Times New Roman" w:hAnsi="Times New Roman" w:cs="Times New Roman"/>
        </w:rPr>
        <w:t>. Cambridge University Press.</w:t>
      </w:r>
    </w:p>
    <w:p>
      <w:pPr>
        <w:spacing w:line="240" w:lineRule="auto" w:after="80"/>
        <w:ind w:left="709" w:hanging="709"/>
        <w:jc w:val="both"/>
      </w:pPr>
      <w:r>
        <w:rPr>
          <w:rFonts w:ascii="Times New Roman" w:hAnsi="Times New Roman" w:cs="Times New Roman"/>
        </w:rPr>
        <w:t xml:space="preserve">Wooldridge, J. M. (2010). </w:t>
      </w:r>
      <w:r>
        <w:rPr>
          <w:rFonts w:ascii="Times New Roman" w:hAnsi="Times New Roman" w:cs="Times New Roman"/>
          <w:i/>
        </w:rPr>
        <w:t>Econometric analysis of cross section and panel data</w:t>
      </w:r>
      <w:r>
        <w:rPr>
          <w:rFonts w:ascii="Times New Roman" w:hAnsi="Times New Roman" w:cs="Times New Roman"/>
        </w:rPr>
        <w:t xml:space="preserve"> (2.ª ed.). MIT Press.</w:t>
      </w:r>
    </w:p>
    <w:p>
      <w:pPr>
        <w:spacing w:line="240" w:lineRule="auto" w:after="80"/>
        <w:ind w:left="709" w:hanging="709"/>
        <w:jc w:val="both"/>
      </w:pPr>
      <w:r>
        <w:rPr>
          <w:rFonts w:ascii="Times New Roman" w:hAnsi="Times New Roman" w:cs="Times New Roman"/>
        </w:rPr>
        <w:t xml:space="preserve">Determinantes de la informalidad laboral: un análisis para el Perú, 2019 y 2022. (2025). </w:t>
      </w:r>
      <w:r>
        <w:rPr>
          <w:rFonts w:ascii="Times New Roman" w:hAnsi="Times New Roman" w:cs="Times New Roman"/>
          <w:i/>
        </w:rPr>
        <w:t>Semestre Económico</w:t>
      </w:r>
      <w:r>
        <w:rPr>
          <w:rFonts w:ascii="Times New Roman" w:hAnsi="Times New Roman" w:cs="Times New Roman"/>
        </w:rPr>
        <w:t>, 14(1). Universidad Nacional del Altiplano. http:</w:t>
      </w:r>
      <w:r>
        <w:rPr>
          <w:rFonts w:ascii="Times New Roman" w:hAnsi="Times New Roman" w:cs="Times New Roman"/>
          <w:i/>
        </w:rPr>
        <w:t>www.scielo.org.pe/scielo.php?script=sci_arttext&amp;pid=S2523-08402025000100006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