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4"/>
        </w:rPr>
        <w:t>Estrategia semanal de opciones</w:t>
      </w:r>
    </w:p>
    <w:p>
      <w:pPr>
        <w:jc w:val="center"/>
      </w:pPr>
      <w:r>
        <w:rPr>
          <w:color w:val="2E74B5"/>
          <w:sz w:val="26"/>
        </w:rPr>
        <w:t>Semana del 6 al 10 de julio de 2026</w:t>
      </w:r>
    </w:p>
    <w:p>
      <w:pPr>
        <w:jc w:val="center"/>
      </w:pPr>
      <w:r>
        <w:rPr>
          <w:i/>
          <w:color w:val="555555"/>
          <w:sz w:val="18"/>
        </w:rPr>
        <w:t>Análisis educativo — no constituye asesoría financiera personalizada. Strikes y primas aproximados: verificar la cadena de opciones en tiempo real antes de operar.</w:t>
      </w:r>
    </w:p>
    <w:p/>
    <w:p>
      <w:pPr>
        <w:spacing w:before="240" w:after="120"/>
      </w:pPr>
      <w:r>
        <w:rPr>
          <w:b/>
          <w:color w:val="1F3A5F"/>
          <w:sz w:val="30"/>
        </w:rPr>
        <w:t>1. Contexto de mercado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Lectura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Implicancia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S&amp;P 500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7,483 (+1.8% la semana pasada, máximos)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Sesgo alcista, pero poco margen de error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VIX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~15.8 (banda media-baja 12–20)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Prima barata: favorece comprar direccional con riesgo definido; vender prima desnuda paga poco en índices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Fed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Kevin Warsh (nuevo presidente), tono hawkish. Minutas FOMC el miércoles 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Único evento macro capaz de mover el mercado esta semana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Recorte en septiembre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Probabilidad ~60–65%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Fondo de liquidez aún favorable a la renta variable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Resultados Q2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PepsiCo (jue 9), Delta (vie 10), Levi's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IV inflada solo en nombres puntuales: ahí sí conviene vender prima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Petróleo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 la baja tras el tratado interino EEUU–Irán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Beneficia a aerolíneas (Delta: ~$300M extra en refinería)</w:t>
            </w:r>
          </w:p>
        </w:tc>
      </w:tr>
    </w:tbl>
    <w:p/>
    <w:p>
      <w:pPr>
        <w:spacing w:before="120" w:after="120"/>
      </w:pPr>
      <w:r>
        <w:rPr>
          <w:b/>
          <w:color w:val="2E74B5"/>
          <w:sz w:val="24"/>
        </w:rPr>
        <w:t>Situación de los subyacentes candidatos</w:t>
      </w:r>
    </w:p>
    <w:p>
      <w:pPr>
        <w:pStyle w:val="ListBullet"/>
        <w:spacing w:after="120"/>
      </w:pPr>
      <w:r>
        <w:rPr>
          <w:b/>
        </w:rPr>
        <w:t xml:space="preserve">AAPL ($308.6): </w:t>
      </w:r>
      <w:r>
        <w:rPr>
          <w:b w:val="0"/>
        </w:rPr>
        <w:t>fuerte momentum, a ~4% de superar a Nvidia como la empresa más valiosa del mundo. Earnings a fin de mes (fuera de esta ventana).</w:t>
      </w:r>
    </w:p>
    <w:p>
      <w:pPr>
        <w:pStyle w:val="ListBullet"/>
        <w:spacing w:after="120"/>
      </w:pPr>
      <w:r>
        <w:rPr>
          <w:b/>
        </w:rPr>
        <w:t xml:space="preserve">MSFT ($384): </w:t>
      </w:r>
      <w:r>
        <w:rPr>
          <w:b w:val="0"/>
        </w:rPr>
        <w:t>la peor del Magnificent 7, −24% en el año, mínimos desde 2023 por dudas sobre el capex en IA. Michael Burry compró calls apostando a $700–750 en 2028. Pesimismo extremo ya en precio.</w:t>
      </w:r>
    </w:p>
    <w:p>
      <w:pPr>
        <w:pStyle w:val="ListBullet"/>
        <w:spacing w:after="120"/>
      </w:pPr>
      <w:r>
        <w:rPr>
          <w:b/>
        </w:rPr>
        <w:t xml:space="preserve">NVDA: </w:t>
      </w:r>
      <w:r>
        <w:rPr>
          <w:b w:val="0"/>
        </w:rPr>
        <w:t>sin catalizador propio hasta fines de agosto; rehén del sentimiento sobre IA. Precio objetivo promedio $301 (+55%), pero sin gatillo esta semana.</w:t>
      </w:r>
    </w:p>
    <w:p>
      <w:pPr>
        <w:pStyle w:val="ListBullet"/>
        <w:spacing w:after="120"/>
      </w:pPr>
      <w:r>
        <w:rPr>
          <w:b/>
        </w:rPr>
        <w:t xml:space="preserve">DAL (soporte $92.7): </w:t>
      </w:r>
      <w:r>
        <w:rPr>
          <w:b w:val="0"/>
        </w:rPr>
        <w:t>reporta el viernes 10 antes de la apertura. 22 de 24 analistas en Strong Buy, 4 trimestres batiendo estimaciones, combustible más barato. Consenso: EPS ~$1.43–1.54, ingresos ~$17.5B.</w:t>
      </w:r>
    </w:p>
    <w:p>
      <w:r>
        <w:br w:type="page"/>
      </w:r>
    </w:p>
    <w:p>
      <w:pPr>
        <w:spacing w:before="240" w:after="120"/>
      </w:pPr>
      <w:r>
        <w:rPr>
          <w:b/>
          <w:color w:val="1F3A5F"/>
          <w:sz w:val="30"/>
        </w:rPr>
        <w:t>2. Las 4 operaciones recomendadas</w:t>
      </w:r>
    </w:p>
    <w:p>
      <w:pPr>
        <w:spacing w:before="240" w:after="120"/>
      </w:pPr>
      <w:r>
        <w:rPr>
          <w:b/>
          <w:color w:val="2E74B5"/>
          <w:sz w:val="26"/>
        </w:rPr>
        <w:t>Idea 1 — DAL: Bull Put Spread sobre earnings</w:t>
      </w:r>
    </w:p>
    <w:p>
      <w:pPr>
        <w:spacing w:after="120"/>
      </w:pPr>
      <w:r>
        <w:rPr>
          <w:i/>
          <w:color w:val="555555"/>
          <w:sz w:val="20"/>
        </w:rPr>
        <w:t>La mejor relación riesgo/beneficio de la semana.</w:t>
      </w:r>
    </w:p>
    <w:p>
      <w:pPr>
        <w:pStyle w:val="ListBullet"/>
        <w:spacing w:after="120"/>
      </w:pPr>
      <w:r>
        <w:rPr>
          <w:b/>
        </w:rPr>
        <w:t xml:space="preserve">Estructura: </w:t>
      </w:r>
      <w:r>
        <w:rPr>
          <w:b w:val="0"/>
        </w:rPr>
        <w:t>vender put 90 / comprar put 85, vencimiento 10 o 17 de julio.</w:t>
      </w:r>
    </w:p>
    <w:p>
      <w:pPr>
        <w:pStyle w:val="ListBullet"/>
        <w:spacing w:after="120"/>
      </w:pPr>
      <w:r>
        <w:rPr>
          <w:b/>
        </w:rPr>
        <w:t xml:space="preserve">Por qué esta estrategia: </w:t>
      </w:r>
      <w:r>
        <w:rPr>
          <w:b w:val="0"/>
        </w:rPr>
        <w:t>la IV de DAL está inflada antes del reporte del viernes. El IV crush posterior trabaja a favor del vendedor de prima. El spread (y no la put desnuda) define el riesgo máximo en $500 − crédito por contrato.</w:t>
      </w:r>
    </w:p>
    <w:p>
      <w:pPr>
        <w:pStyle w:val="ListBullet"/>
        <w:spacing w:after="120"/>
      </w:pPr>
      <w:r>
        <w:rPr>
          <w:b/>
        </w:rPr>
        <w:t xml:space="preserve">Tesis: </w:t>
      </w:r>
      <w:r>
        <w:rPr>
          <w:b w:val="0"/>
        </w:rPr>
        <w:t>combustible barato (tratado EEUU–Irán), historial de sorpresas positivas, rotación hacia cíclicos, soporte en $92.7 como colchón.</w:t>
      </w:r>
    </w:p>
    <w:p>
      <w:pPr>
        <w:pStyle w:val="ListBullet"/>
        <w:spacing w:after="120"/>
      </w:pPr>
      <w:r>
        <w:rPr>
          <w:b/>
        </w:rPr>
        <w:t xml:space="preserve">Riesgo: </w:t>
      </w:r>
      <w:r>
        <w:rPr>
          <w:b w:val="0"/>
        </w:rPr>
        <w:t>se espera caída interanual del EPS de ~32%; si la guía decepciona y rompe soporte, se asume la pérdida definida. Cerrar al 50–60% del crédito máximo si se alcanza antes del viernes.</w:t>
      </w:r>
    </w:p>
    <w:p>
      <w:pPr>
        <w:spacing w:before="240" w:after="120"/>
      </w:pPr>
      <w:r>
        <w:rPr>
          <w:b/>
          <w:color w:val="2E74B5"/>
          <w:sz w:val="26"/>
        </w:rPr>
        <w:t>Idea 2 — MSFT: Venta de Put (cash-secured) o Bull Put Spread</w:t>
      </w:r>
    </w:p>
    <w:p>
      <w:pPr>
        <w:pStyle w:val="ListBullet"/>
        <w:spacing w:after="120"/>
      </w:pPr>
      <w:r>
        <w:rPr>
          <w:b/>
        </w:rPr>
        <w:t xml:space="preserve">Estructura: </w:t>
      </w:r>
      <w:r>
        <w:rPr>
          <w:b w:val="0"/>
        </w:rPr>
        <w:t>vender put 370 (cash-secured) o spread 370/360, vencimiento 17 de julio — antes de sus earnings de fin de mes.</w:t>
      </w:r>
    </w:p>
    <w:p>
      <w:pPr>
        <w:pStyle w:val="ListBullet"/>
        <w:spacing w:after="120"/>
      </w:pPr>
      <w:r>
        <w:rPr>
          <w:b/>
        </w:rPr>
        <w:t xml:space="preserve">Por qué esta estrategia: </w:t>
      </w:r>
      <w:r>
        <w:rPr>
          <w:b w:val="0"/>
        </w:rPr>
        <w:t>tras −24%, la IV está elevada respecto a su historia y el pesimismo parece capitulación (mínimos desde 2023, Burry comprando calls). Vender el put te paga por comprometerte a comprar ~4% más abajo: si no llega, cobras la prima; si llega, entras con doble descuento.</w:t>
      </w:r>
    </w:p>
    <w:p>
      <w:pPr>
        <w:pStyle w:val="ListBullet"/>
        <w:spacing w:after="120"/>
      </w:pPr>
      <w:r>
        <w:rPr>
          <w:b/>
        </w:rPr>
        <w:t xml:space="preserve">Riesgo: </w:t>
      </w:r>
      <w:r>
        <w:rPr>
          <w:b w:val="0"/>
        </w:rPr>
        <w:t>el cuchillo puede seguir cayendo si el mercado sigue castigando el capex en IA. Solo con capital dispuesto a ser asignado, o usar el spread para definir riesgo.</w:t>
      </w:r>
    </w:p>
    <w:p>
      <w:pPr>
        <w:spacing w:before="240" w:after="120"/>
      </w:pPr>
      <w:r>
        <w:rPr>
          <w:b/>
          <w:color w:val="2E74B5"/>
          <w:sz w:val="26"/>
        </w:rPr>
        <w:t>Idea 3 — AAPL: Bull Call Spread</w:t>
      </w:r>
    </w:p>
    <w:p>
      <w:pPr>
        <w:pStyle w:val="ListBullet"/>
        <w:spacing w:after="120"/>
      </w:pPr>
      <w:r>
        <w:rPr>
          <w:b/>
        </w:rPr>
        <w:t xml:space="preserve">Estructura: </w:t>
      </w:r>
      <w:r>
        <w:rPr>
          <w:b w:val="0"/>
        </w:rPr>
        <w:t>comprar call 310 / vender call 322.5, vencimiento 17 o 24 de julio (evitando earnings).</w:t>
      </w:r>
    </w:p>
    <w:p>
      <w:pPr>
        <w:pStyle w:val="ListBullet"/>
        <w:spacing w:after="120"/>
      </w:pPr>
      <w:r>
        <w:rPr>
          <w:b/>
        </w:rPr>
        <w:t xml:space="preserve">Por qué esta estrategia: </w:t>
      </w:r>
      <w:r>
        <w:rPr>
          <w:b w:val="0"/>
        </w:rPr>
        <w:t>con VIX en 15.8 el débito es razonable, y el spread reduce el costo frente a la call seca (la call vendida financia parte de la prima y neutraliza theta). El catalizador — destronar a Nvidia — puede atraer flujo momentum esta misma semana.</w:t>
      </w:r>
    </w:p>
    <w:p>
      <w:pPr>
        <w:pStyle w:val="ListBullet"/>
        <w:spacing w:after="120"/>
      </w:pPr>
      <w:r>
        <w:rPr>
          <w:b/>
        </w:rPr>
        <w:t xml:space="preserve">Riesgo: </w:t>
      </w:r>
      <w:r>
        <w:rPr>
          <w:b w:val="0"/>
        </w:rPr>
        <w:t>el rally está extendido; pérdida máxima = débito pagado (~1/3 del ancho del spread). No usar call simple: pagarías theta completa en una semana sin evento propio.</w:t>
      </w:r>
    </w:p>
    <w:p>
      <w:pPr>
        <w:spacing w:before="240" w:after="120"/>
      </w:pPr>
      <w:r>
        <w:rPr>
          <w:b/>
          <w:color w:val="2E74B5"/>
          <w:sz w:val="26"/>
        </w:rPr>
        <w:t>Idea 4 — SPY: Butterfly de calls (o Put protector)</w:t>
      </w:r>
    </w:p>
    <w:p>
      <w:pPr>
        <w:pStyle w:val="ListBullet"/>
        <w:spacing w:after="120"/>
      </w:pPr>
      <w:r>
        <w:rPr>
          <w:b/>
        </w:rPr>
        <w:t xml:space="preserve">Estructura: </w:t>
      </w:r>
      <w:r>
        <w:rPr>
          <w:b w:val="0"/>
        </w:rPr>
        <w:t>mariposa 745/755/765 calls, vencimiento 10 de julio.</w:t>
      </w:r>
    </w:p>
    <w:p>
      <w:pPr>
        <w:pStyle w:val="ListBullet"/>
        <w:spacing w:after="120"/>
      </w:pPr>
      <w:r>
        <w:rPr>
          <w:b/>
        </w:rPr>
        <w:t xml:space="preserve">Por qué esta estrategia: </w:t>
      </w:r>
      <w:r>
        <w:rPr>
          <w:b w:val="0"/>
        </w:rPr>
        <w:t>semana de pocos datos (lo relevante son las minutas del miércoles), mercado en máximos con deriva lenta al alza y volatilidad realizada baja — escenario ideal para una mariposa: costo mínimo, pago máximo si el índice se estaciona cerca del cuerpo.</w:t>
      </w:r>
    </w:p>
    <w:p>
      <w:pPr>
        <w:pStyle w:val="ListBullet"/>
        <w:spacing w:after="120"/>
      </w:pPr>
      <w:r>
        <w:rPr>
          <w:b/>
        </w:rPr>
        <w:t xml:space="preserve">Alternativa defensiva: </w:t>
      </w:r>
      <w:r>
        <w:rPr>
          <w:b w:val="0"/>
        </w:rPr>
        <w:t>si tienes cartera larga, la Compra de Put OTM de SPY está históricamente barata con VIX &lt;16 — es el momento de comprar seguro, no de venderlo. Unas minutas más hawkish de Warsh son el riesgo de cola de la semana.</w:t>
      </w:r>
    </w:p>
    <w:p>
      <w:r>
        <w:br w:type="page"/>
      </w:r>
    </w:p>
    <w:p>
      <w:pPr>
        <w:spacing w:before="240" w:after="120"/>
      </w:pPr>
      <w:r>
        <w:rPr>
          <w:b/>
          <w:color w:val="1F3A5F"/>
          <w:sz w:val="30"/>
        </w:rPr>
        <w:t>3. Estrategias del listado que NO conviene usar esta semana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Estrategia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Por qué no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Straddle / Strangle largos (earnings)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El IV crush post-reporte destruye la prima aunque aciertes dirección; con VIX 15.8 tampoco hay expectativa de movimiento explosivo en índices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Strip / Strap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Exigen expectativa de movimiento violento con sesgo direccional; nada en el calendario lo justifica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Box Spread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Es arbitraje de tasas; tras comisiones y horquillas, el retail no captura 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Venta de Call desnuda (NVDA/AAPL)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Riesgo ilimitado contra un mercado en máximos con momentum; si quieres sesgo bajista, usa Bear Call Spread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Bear Put / Bear Call en índices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Luchar contra la tendencia primaria alcista sin catalizador bajista confirmado es pagar por tener razón "algún día"</w:t>
            </w:r>
          </w:p>
        </w:tc>
      </w:tr>
    </w:tbl>
    <w:p/>
    <w:p>
      <w:pPr>
        <w:spacing w:before="240" w:after="120"/>
      </w:pPr>
      <w:r>
        <w:rPr>
          <w:b/>
          <w:color w:val="1F3A5F"/>
          <w:sz w:val="30"/>
        </w:rPr>
        <w:t>4. Reglas de gestión</w:t>
      </w:r>
    </w:p>
    <w:p>
      <w:pPr>
        <w:pStyle w:val="ListNumber"/>
      </w:pPr>
      <w:r>
        <w:t>No arriesgar más de 1–2% del capital por idea.</w:t>
      </w:r>
    </w:p>
    <w:p>
      <w:pPr>
        <w:pStyle w:val="ListNumber"/>
      </w:pPr>
      <w:r>
        <w:t>En los spreads de crédito (DAL, MSFT), tomar ganancias al 50–60% del crédito máximo.</w:t>
      </w:r>
    </w:p>
    <w:p>
      <w:pPr>
        <w:pStyle w:val="ListNumber"/>
      </w:pPr>
      <w:r>
        <w:t>En el Bull Call Spread de AAPL, salir si el subyacente pierde ~$300 (invalidación técnica del momentum).</w:t>
      </w:r>
    </w:p>
    <w:p>
      <w:pPr>
        <w:pStyle w:val="ListNumber"/>
      </w:pPr>
      <w:r>
        <w:t>Revisar las minutas del FOMC del miércoles 8: si el tono es más hawkish de lo esperado, reducir exposición direccional alcista.</w:t>
      </w:r>
    </w:p>
    <w:p/>
    <w:p>
      <w:pPr>
        <w:spacing w:before="240" w:after="120"/>
      </w:pPr>
      <w:r>
        <w:rPr>
          <w:b/>
          <w:color w:val="1F3A5F"/>
          <w:sz w:val="24"/>
        </w:rPr>
        <w:t>Fuentes</w:t>
      </w:r>
    </w:p>
    <w:p>
      <w:pPr>
        <w:pStyle w:val="ListBullet"/>
      </w:pPr>
      <w:r>
        <w:rPr>
          <w:color w:val="555555"/>
          <w:sz w:val="19"/>
        </w:rPr>
        <w:t>Charles Schwab — Weekly Trader's Outlook</w:t>
      </w:r>
    </w:p>
    <w:p>
      <w:pPr>
        <w:pStyle w:val="ListBullet"/>
      </w:pPr>
      <w:r>
        <w:rPr>
          <w:color w:val="555555"/>
          <w:sz w:val="19"/>
        </w:rPr>
        <w:t>Tradingkey — US Stock Market This Week 2026-07-06</w:t>
      </w:r>
    </w:p>
    <w:p>
      <w:pPr>
        <w:pStyle w:val="ListBullet"/>
      </w:pPr>
      <w:r>
        <w:rPr>
          <w:color w:val="555555"/>
          <w:sz w:val="19"/>
        </w:rPr>
        <w:t>Yahoo Finance — VIX</w:t>
      </w:r>
    </w:p>
    <w:p>
      <w:pPr>
        <w:pStyle w:val="ListBullet"/>
      </w:pPr>
      <w:r>
        <w:rPr>
          <w:color w:val="555555"/>
          <w:sz w:val="19"/>
        </w:rPr>
        <w:t>Kiplinger — Earnings Calendar July 6-10</w:t>
      </w:r>
    </w:p>
    <w:p>
      <w:pPr>
        <w:pStyle w:val="ListBullet"/>
      </w:pPr>
      <w:r>
        <w:rPr>
          <w:color w:val="555555"/>
          <w:sz w:val="19"/>
        </w:rPr>
        <w:t>StockTitan — PepsiCo Q2 2026 earnings date</w:t>
      </w:r>
    </w:p>
    <w:p>
      <w:pPr>
        <w:pStyle w:val="ListBullet"/>
      </w:pPr>
      <w:r>
        <w:rPr>
          <w:color w:val="555555"/>
          <w:sz w:val="19"/>
        </w:rPr>
        <w:t>Barchart — What to Expect From Delta's Q2 2026 Earnings</w:t>
      </w:r>
    </w:p>
    <w:p>
      <w:pPr>
        <w:pStyle w:val="ListBullet"/>
      </w:pPr>
      <w:r>
        <w:rPr>
          <w:color w:val="555555"/>
          <w:sz w:val="19"/>
        </w:rPr>
        <w:t>FX Leaders — DAL anchors $92.73 support ahead of Q2 earnings</w:t>
      </w:r>
    </w:p>
    <w:p>
      <w:pPr>
        <w:pStyle w:val="ListBullet"/>
      </w:pPr>
      <w:r>
        <w:rPr>
          <w:color w:val="555555"/>
          <w:sz w:val="19"/>
        </w:rPr>
        <w:t>The Motley Fool — Apple ~4% from overtaking Nvidia</w:t>
      </w:r>
    </w:p>
    <w:p>
      <w:pPr>
        <w:pStyle w:val="ListBullet"/>
      </w:pPr>
      <w:r>
        <w:rPr>
          <w:color w:val="555555"/>
          <w:sz w:val="19"/>
        </w:rPr>
        <w:t>WEEX — Nvidia vs Microsoft 2026</w:t>
      </w:r>
    </w:p>
    <w:p>
      <w:pPr>
        <w:pStyle w:val="ListBullet"/>
      </w:pPr>
      <w:r>
        <w:rPr>
          <w:color w:val="555555"/>
          <w:sz w:val="19"/>
        </w:rPr>
        <w:t>StockAnalysis — NVDA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