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Preface</w:t>
      </w:r>
    </w:p>
    <w:p>
      <w:r>
        <w:t>In today’s digital economy, personal branding is no longer optional—it’s essential. Every professional, whether independent or part of a larger team, is now seen through the lens of their online presence, communication style, and the tools they use to share ideas. This book bridges the gap between academic insights on the future of work and the practical realities of remote professionals. Drawing on ideas from Peter Drucker’s knowledge worker, Manuel Castells’s network society, and Brynjolfsson and McAfee’s work on the digital transformation of productivity, we position personal branding as the cornerstone of professional resilience. You’ll learn how to use today’s AI-driven tools to build, express, and automate your brand in meaningful ways.</w:t>
      </w:r>
    </w:p>
    <w:p>
      <w:pPr>
        <w:pStyle w:val="Heading1"/>
      </w:pPr>
      <w:r>
        <w:t>Part I — The New World of Work</w:t>
      </w:r>
    </w:p>
    <w:p>
      <w:r>
        <w:t>Part I sets the stage for why personal branding has become a professional necessity. It explores how remote work, automation, and the rise of AI tools are reshaping what it means to be visible and valuable in the digital marketplace.</w:t>
      </w:r>
    </w:p>
    <w:p>
      <w:pPr>
        <w:pStyle w:val="Heading2"/>
      </w:pPr>
      <w:r>
        <w:t>Chapter 1: The Knowledge Worker Reimagined</w:t>
      </w:r>
    </w:p>
    <w:p>
      <w:r>
        <w:t>Peter Drucker first described the 'knowledge worker' as someone whose primary asset is their ability to think. In the modern remote landscape, that thinking is amplified through technology. The ability to express ideas clearly—visually, verbally, and strategically—now defines success.</w:t>
      </w:r>
    </w:p>
    <w:p>
      <w:pPr>
        <w:pStyle w:val="Heading2"/>
      </w:pPr>
      <w:r>
        <w:t>Chapter 2: The Network Society and Visibility</w:t>
      </w:r>
    </w:p>
    <w:p>
      <w:r>
        <w:t>Manuel Castells’s concept of the network society highlights how visibility within networks creates opportunity. For remote professionals, personal branding is the mechanism for achieving visibility. It allows your expertise to travel beyond geography and time zones.</w:t>
      </w:r>
    </w:p>
    <w:p>
      <w:pPr>
        <w:pStyle w:val="Heading2"/>
      </w:pPr>
      <w:r>
        <w:t>Chapter 3: Automation, AI, and the New Professional Edge</w:t>
      </w:r>
    </w:p>
    <w:p>
      <w:r>
        <w:t>Brynjolfsson and McAfee emphasize that digital technologies are not replacing professionals—they’re magnifying their reach. Those who combine human creativity with machine efficiency form the new class of 'augmented professionals.' Your brand becomes the bridge that connects your expertise to impact.</w:t>
      </w:r>
    </w:p>
    <w:p>
      <w:pPr>
        <w:pStyle w:val="Heading1"/>
      </w:pPr>
      <w:r>
        <w:t>Part II — Core Tools for Remote Professionals</w:t>
      </w:r>
    </w:p>
    <w:p>
      <w:r>
        <w:t>Part II turns insight into action. Each chapter introduces a core tool that supports your personal brand—helping you communicate ideas, organize knowledge, and automate repetitive work. Together, they create a unified professional system built on clarity, consistency, and credibility.</w:t>
      </w:r>
    </w:p>
    <w:p>
      <w:pPr>
        <w:pStyle w:val="Heading2"/>
      </w:pPr>
      <w:r>
        <w:t>Chapter 4: ChatGPT — Your Thinking Partner</w:t>
      </w:r>
    </w:p>
    <w:p>
      <w:r>
        <w:t>ChatGPT helps you think, plan, and communicate more effectively. By mastering prompt structures—role, task, format, tone—you can make the AI work like a true collaborator. Used strategically, it strengthens your brand by improving how you express and refine your ideas.</w:t>
      </w:r>
    </w:p>
    <w:p>
      <w:pPr>
        <w:pStyle w:val="Heading2"/>
      </w:pPr>
      <w:r>
        <w:t>Chapter 5: Canva — Visual Communication Made Easy</w:t>
      </w:r>
    </w:p>
    <w:p>
      <w:r>
        <w:t>Every professional is now a brand. Canva democratizes design, giving non-designers the power to craft consistent, polished visuals. From social posts to pitch decks, your visual identity communicates your professionalism before you ever speak. Design principles like hierarchy, contrast, and white space ensure clarity and impact.</w:t>
      </w:r>
    </w:p>
    <w:p>
      <w:r>
        <w:t>Building your personal brand through Canva means aligning visuals with values. A consistent color palette, typography, and image style reflect your identity across platforms—reinforcing trust and recognition. Later, imagine these assets syncing seamlessly into your SaaS workspace.</w:t>
      </w:r>
    </w:p>
    <w:p>
      <w:pPr>
        <w:pStyle w:val="Heading2"/>
      </w:pPr>
      <w:r>
        <w:t>Chapter 6: Notion — Your Knowledge Base</w:t>
      </w:r>
    </w:p>
    <w:p>
      <w:r>
        <w:t>Your brand is not just how you look—it’s how you think. Notion becomes your external brain: a place to capture insights, organize work, and connect ideas. Well-structured pages and databases ensure your intellectual capital is visible, usable, and sharable.</w:t>
      </w:r>
    </w:p>
    <w:p>
      <w:pPr>
        <w:pStyle w:val="Heading2"/>
      </w:pPr>
      <w:r>
        <w:t>Chapter 7: Zapier &amp; Make — Your Automation Layer</w:t>
      </w:r>
    </w:p>
    <w:p>
      <w:r>
        <w:t>A strong personal brand is supported by systems. Zapier and Make automate repetitive workflows, freeing you to focus on creative work. Automation links your communication, design, and organization tools—ensuring your brand operates smoothly across platforms.</w:t>
      </w:r>
    </w:p>
    <w:p>
      <w:r>
        <w:t>Taken together, these tools form the foundation of your digital presence. Used thoughtfully, they let you express, manage, and scale your professional identity—no matter where or how you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