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(2023-08-15)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r>
        <w:t xml:space="preserve">#WORKING:FIREBASE</w:t>
      </w:r>
      <w:r>
        <w:t xml:space="preserve"> </w:t>
      </w:r>
      <w:hyperlink r:id="rId50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for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/ DOFORCE?</w:t>
      </w:r>
    </w:p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79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4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0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0"/>
    <w:bookmarkStart w:id="61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1"/>
    <w:bookmarkStart w:id="62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2"/>
    <w:bookmarkStart w:id="63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3"/>
    <w:bookmarkEnd w:id="64"/>
    <w:bookmarkStart w:id="73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End w:id="65"/>
    <w:bookmarkStart w:id="66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6"/>
    <w:bookmarkStart w:id="67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67"/>
    <w:bookmarkStart w:id="68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68"/>
    <w:bookmarkStart w:id="69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p>
      <w:pPr>
        <w:pStyle w:val="FirstParagraph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69"/>
    <w:bookmarkStart w:id="70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0"/>
    <w:bookmarkStart w:id="71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1"/>
    <w:bookmarkStart w:id="72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2"/>
    <w:bookmarkEnd w:id="73"/>
    <w:bookmarkStart w:id="74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74"/>
    <w:bookmarkStart w:id="75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75"/>
    <w:bookmarkStart w:id="76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76"/>
    <w:bookmarkStart w:id="77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77"/>
    <w:bookmarkStart w:id="78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#WORKING:FIREBASE</w:t>
      </w:r>
      <w:r>
        <w:t xml:space="preserve"> </w:t>
      </w:r>
      <w:hyperlink r:id="rId50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for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/ DOFORCE?</w:t>
      </w:r>
    </w:p>
    <w:p>
      <w:pPr>
        <w:pStyle w:val="BodyText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116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90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0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0"/>
    <w:bookmarkStart w:id="81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1"/>
    <w:bookmarkStart w:id="82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2"/>
    <w:bookmarkStart w:id="83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83"/>
    <w:bookmarkStart w:id="84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84"/>
    <w:bookmarkStart w:id="85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85"/>
    <w:bookmarkStart w:id="86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86"/>
    <w:bookmarkStart w:id="87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87"/>
    <w:bookmarkStart w:id="88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88"/>
    <w:bookmarkStart w:id="89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89"/>
    <w:bookmarkEnd w:id="90"/>
    <w:bookmarkStart w:id="104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1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1"/>
    <w:bookmarkStart w:id="92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2"/>
    <w:bookmarkStart w:id="93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93"/>
    <w:bookmarkStart w:id="94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94"/>
    <w:bookmarkStart w:id="95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95"/>
    <w:bookmarkStart w:id="96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96"/>
    <w:bookmarkStart w:id="97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97"/>
    <w:bookmarkStart w:id="99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9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99"/>
    <w:bookmarkStart w:id="100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0"/>
    <w:bookmarkStart w:id="101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1"/>
    <w:bookmarkStart w:id="102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02"/>
    <w:bookmarkStart w:id="103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03"/>
    <w:bookmarkEnd w:id="104"/>
    <w:bookmarkStart w:id="115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05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05"/>
    <w:bookmarkStart w:id="106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#WORKING:DOCS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06"/>
    <w:bookmarkStart w:id="107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07"/>
    <w:bookmarkStart w:id="108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08"/>
    <w:bookmarkStart w:id="109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[_EXPORT_GIT_BNCH]</w:t>
      </w:r>
    </w:p>
    <w:p>
      <w:pPr>
        <w:numPr>
          <w:ilvl w:val="0"/>
          <w:numId w:val="1027"/>
        </w:numPr>
        <w:pStyle w:val="Compact"/>
      </w:pPr>
      <w:r>
        <w:t xml:space="preserve">[_EXPORT_FIRE_ACCT]</w:t>
      </w:r>
    </w:p>
    <w:p>
      <w:pPr>
        <w:numPr>
          <w:ilvl w:val="0"/>
          <w:numId w:val="1027"/>
        </w:numPr>
        <w:pStyle w:val="Compact"/>
      </w:pPr>
      <w:r>
        <w:t xml:space="preserve">[_EXPORT_FIRE_PROJ]</w:t>
      </w:r>
    </w:p>
    <w:bookmarkEnd w:id="109"/>
    <w:bookmarkStart w:id="110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0"/>
    <w:bookmarkStart w:id="111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1"/>
    <w:bookmarkStart w:id="112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2"/>
    <w:bookmarkStart w:id="113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13"/>
    <w:bookmarkStart w:id="114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End w:id="116"/>
    <w:bookmarkStart w:id="138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26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17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17"/>
    <w:bookmarkStart w:id="118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18"/>
    <w:bookmarkStart w:id="119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19"/>
    <w:bookmarkStart w:id="120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0"/>
    <w:bookmarkStart w:id="121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1"/>
    <w:bookmarkStart w:id="122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2"/>
    <w:bookmarkStart w:id="123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23"/>
    <w:bookmarkStart w:id="124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24"/>
    <w:bookmarkStart w:id="125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25"/>
    <w:bookmarkEnd w:id="126"/>
    <w:bookmarkStart w:id="136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27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27"/>
    <w:bookmarkStart w:id="128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28"/>
    <w:bookmarkStart w:id="129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0"/>
    <w:bookmarkStart w:id="131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1"/>
    <w:bookmarkStart w:id="132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5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2023-08-15T01:35:51-07:00]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2"/>
    <w:bookmarkStart w:id="133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33"/>
    <w:bookmarkStart w:id="134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34"/>
    <w:bookmarkStart w:id="135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35"/>
    <w:bookmarkEnd w:id="136"/>
    <w:bookmarkStart w:id="137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6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42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39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39"/>
    <w:bookmarkStart w:id="140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2023-08-15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0"/>
    <w:bookmarkStart w:id="141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1"/>
    <w:bookmarkEnd w:id="142"/>
    <w:bookmarkStart w:id="145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43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43"/>
    <w:bookmarkStart w:id="144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44"/>
    <w:bookmarkEnd w:id="145"/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1" Target="http://www.gnu.org/software/bash" TargetMode="External" /><Relationship Type="http://schemas.openxmlformats.org/officeDocument/2006/relationships/hyperlink" Id="rId52" Target="http://www.gnu.org/software/coreutils" TargetMode="External" /><Relationship Type="http://schemas.openxmlformats.org/officeDocument/2006/relationships/hyperlink" Id="rId56" Target="http://www.gnu.org/software/diffutils" TargetMode="External" /><Relationship Type="http://schemas.openxmlformats.org/officeDocument/2006/relationships/hyperlink" Id="rId53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4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50" Target="https://firebase.google.com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5" Target="https://git-scm.com" TargetMode="External" /><Relationship Type="http://schemas.openxmlformats.org/officeDocument/2006/relationships/hyperlink" Id="rId98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7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1" Target="http://www.gnu.org/software/bash" TargetMode="External" /><Relationship Type="http://schemas.openxmlformats.org/officeDocument/2006/relationships/hyperlink" Id="rId52" Target="http://www.gnu.org/software/coreutils" TargetMode="External" /><Relationship Type="http://schemas.openxmlformats.org/officeDocument/2006/relationships/hyperlink" Id="rId56" Target="http://www.gnu.org/software/diffutils" TargetMode="External" /><Relationship Type="http://schemas.openxmlformats.org/officeDocument/2006/relationships/hyperlink" Id="rId53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4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50" Target="https://firebase.google.com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5" Target="https://git-scm.com" TargetMode="External" /><Relationship Type="http://schemas.openxmlformats.org/officeDocument/2006/relationships/hyperlink" Id="rId98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7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2023-08-15T08:36:23Z</dcterms:created>
  <dcterms:modified xsi:type="dcterms:W3CDTF">2023-08-15T08:36:23Z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(2023-08-15)</vt:lpwstr>
  </property>
</Properties>
</file>