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292" w:rsidRDefault="00186226" w:rsidP="00B2424B">
      <w:pPr>
        <w:pStyle w:val="NormalWeb"/>
      </w:pPr>
      <w:r>
        <w:t xml:space="preserve">Approvals </w:t>
      </w:r>
    </w:p>
    <w:tbl>
      <w:tblPr>
        <w:tblW w:w="9360" w:type="dxa"/>
        <w:tblCellMar>
          <w:top w:w="15" w:type="dxa"/>
          <w:left w:w="15" w:type="dxa"/>
          <w:bottom w:w="15" w:type="dxa"/>
          <w:right w:w="15" w:type="dxa"/>
        </w:tblCellMar>
        <w:tblLook w:val="04A0" w:firstRow="1" w:lastRow="0" w:firstColumn="1" w:lastColumn="0" w:noHBand="0" w:noVBand="1"/>
      </w:tblPr>
      <w:tblGrid>
        <w:gridCol w:w="2528"/>
        <w:gridCol w:w="2527"/>
        <w:gridCol w:w="2527"/>
        <w:gridCol w:w="1778"/>
      </w:tblGrid>
      <w:tr w:rsidR="00E55292">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Title</w:t>
            </w:r>
          </w:p>
        </w:tc>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Name</w:t>
            </w:r>
          </w:p>
        </w:tc>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Signature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Date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Author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AC6A5C" w:rsidP="00B2424B">
            <w:r w:rsidRPr="00AC6A5C">
              <w:t>Gary Chopcinski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Director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Project Engineer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r>
    </w:tbl>
    <w:p w:rsidR="00E55292" w:rsidRDefault="00E55292" w:rsidP="00B2424B"/>
    <w:p w:rsidR="00E55292" w:rsidRDefault="00186226" w:rsidP="00B2424B">
      <w:pPr>
        <w:pStyle w:val="NormalWeb"/>
      </w:pPr>
      <w:r>
        <w:t xml:space="preserve">Change History </w:t>
      </w:r>
    </w:p>
    <w:tbl>
      <w:tblPr>
        <w:tblW w:w="9360" w:type="dxa"/>
        <w:tblCellMar>
          <w:top w:w="15" w:type="dxa"/>
          <w:left w:w="15" w:type="dxa"/>
          <w:bottom w:w="15" w:type="dxa"/>
          <w:right w:w="15" w:type="dxa"/>
        </w:tblCellMar>
        <w:tblLook w:val="04A0" w:firstRow="1" w:lastRow="0" w:firstColumn="1" w:lastColumn="0" w:noHBand="0" w:noVBand="1"/>
      </w:tblPr>
      <w:tblGrid>
        <w:gridCol w:w="1404"/>
        <w:gridCol w:w="1872"/>
        <w:gridCol w:w="2340"/>
        <w:gridCol w:w="3744"/>
      </w:tblGrid>
      <w:tr w:rsidR="00E55292">
        <w:tc>
          <w:tcPr>
            <w:tcW w:w="7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086DE3">
            <w:pPr>
              <w:jc w:val="center"/>
            </w:pPr>
            <w:r>
              <w:t>Revision</w:t>
            </w:r>
          </w:p>
        </w:tc>
        <w:tc>
          <w:tcPr>
            <w:tcW w:w="1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13313C">
            <w:pPr>
              <w:jc w:val="center"/>
            </w:pPr>
            <w:r>
              <w:t>Revision Date</w:t>
            </w:r>
          </w:p>
        </w:tc>
        <w:tc>
          <w:tcPr>
            <w:tcW w:w="12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086DE3">
            <w:pPr>
              <w:jc w:val="center"/>
            </w:pPr>
            <w:r>
              <w:t>Name</w:t>
            </w:r>
          </w:p>
        </w:tc>
        <w:tc>
          <w:tcPr>
            <w:tcW w:w="2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Description of Change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016A67" w:rsidP="00086DE3">
            <w:pPr>
              <w:jc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B26E3F" w:rsidP="0013313C">
            <w:pPr>
              <w:jc w:val="center"/>
            </w:pPr>
            <w:r>
              <w:t>10/8/19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AC6A5C" w:rsidP="00B2424B">
            <w:r w:rsidRPr="00AC6A5C">
              <w:t>Gary Chopcinski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Initial Release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086DE3" w:rsidP="00086DE3">
            <w:pPr>
              <w:jc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086DE3" w:rsidP="0013313C">
            <w:pPr>
              <w:jc w:val="center"/>
            </w:pPr>
            <w:r>
              <w:t>10/16/19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086DE3" w:rsidP="00B2424B">
            <w:r>
              <w:t>Gary Chopcinski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086DE3" w:rsidP="00B2424B">
            <w:r>
              <w:t>Added Real-time clock discussion.</w:t>
            </w:r>
          </w:p>
          <w:p w:rsidR="00086DE3" w:rsidRDefault="00086DE3" w:rsidP="00B2424B">
            <w:r>
              <w:t>Added Display Unit compatibility discussion.</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086DE3">
            <w:pPr>
              <w:jc w:val="cente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13313C">
            <w:pPr>
              <w:jc w:val="cente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086DE3">
            <w:pPr>
              <w:jc w:val="cente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13313C">
            <w:pPr>
              <w:jc w:val="cente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B2424B">
            <w:r>
              <w:t> </w:t>
            </w:r>
          </w:p>
        </w:tc>
      </w:tr>
    </w:tbl>
    <w:p w:rsidR="00E55292" w:rsidRDefault="00E55292" w:rsidP="00B2424B"/>
    <w:p w:rsidR="00E55292" w:rsidRPr="00B2424B" w:rsidRDefault="00186226" w:rsidP="00B2424B">
      <w:pPr>
        <w:pStyle w:val="Heading1"/>
        <w:rPr>
          <w:rFonts w:eastAsia="Times New Roman"/>
        </w:rPr>
      </w:pPr>
      <w:r>
        <w:t xml:space="preserve">  </w:t>
      </w:r>
      <w:r w:rsidRPr="00B2424B">
        <w:rPr>
          <w:rFonts w:eastAsia="Times New Roman"/>
        </w:rPr>
        <w:t>Introduction</w:t>
      </w:r>
    </w:p>
    <w:p w:rsidR="00E55292" w:rsidRPr="00B2424B" w:rsidRDefault="00186226" w:rsidP="00B2424B">
      <w:r w:rsidRPr="00B2424B">
        <w:t xml:space="preserve">This document describes the </w:t>
      </w:r>
      <w:r w:rsidR="007974CF" w:rsidRPr="00B2424B">
        <w:t xml:space="preserve">Functional Expectations of </w:t>
      </w:r>
      <w:r w:rsidRPr="00B2424B">
        <w:t>the</w:t>
      </w:r>
      <w:r w:rsidR="007974CF" w:rsidRPr="00B2424B">
        <w:t xml:space="preserve"> ASL110 Proportional Head Array with optional ASL110 Display Unit</w:t>
      </w:r>
      <w:r w:rsidR="00016A67" w:rsidRPr="00B2424B">
        <w:t>.</w:t>
      </w:r>
    </w:p>
    <w:p w:rsidR="00E55292" w:rsidRPr="00B2424B" w:rsidRDefault="00186226" w:rsidP="00B2424B">
      <w:pPr>
        <w:pStyle w:val="Heading1"/>
        <w:rPr>
          <w:rFonts w:eastAsia="Times New Roman"/>
        </w:rPr>
      </w:pPr>
      <w:r w:rsidRPr="00B2424B">
        <w:rPr>
          <w:rFonts w:eastAsia="Times New Roman"/>
        </w:rPr>
        <w:t>Product Description</w:t>
      </w:r>
    </w:p>
    <w:p w:rsidR="00E55292" w:rsidRDefault="00B630B1" w:rsidP="00B2424B">
      <w:r>
        <w:t>The ASL110 Proportional Head Array and Display Unit provide the means for controlling Powered Mobility Devices (PMD’s) features</w:t>
      </w:r>
      <w:r w:rsidR="00243C2A">
        <w:t>.</w:t>
      </w:r>
    </w:p>
    <w:p w:rsidR="00B630B1" w:rsidRDefault="00B630B1" w:rsidP="00B2424B">
      <w:r>
        <w:t>The ASL110 has two major components. The Head Array component is a Proportional and Digital enabled, 3 quadrant control apparatus mounted near the patient’s head. The second component is the Display Unit which provides information to the patient and has programming and setup capability.</w:t>
      </w:r>
    </w:p>
    <w:p w:rsidR="00B82948" w:rsidRDefault="00B82948" w:rsidP="00B2424B"/>
    <w:p w:rsidR="00E55292" w:rsidRPr="00B2424B" w:rsidRDefault="00B82948" w:rsidP="00B2424B">
      <w:pPr>
        <w:pStyle w:val="Heading1"/>
        <w:rPr>
          <w:rFonts w:eastAsia="Times New Roman"/>
        </w:rPr>
      </w:pPr>
      <w:r w:rsidRPr="00B2424B">
        <w:rPr>
          <w:rFonts w:eastAsia="Times New Roman"/>
        </w:rPr>
        <w:t>ASL110 Proportional Head Array</w:t>
      </w:r>
    </w:p>
    <w:p w:rsidR="00B82948" w:rsidRPr="00B82948" w:rsidRDefault="00B82948" w:rsidP="00086DE3">
      <w:pPr>
        <w:pStyle w:val="Heading2"/>
        <w:numPr>
          <w:ilvl w:val="1"/>
          <w:numId w:val="2"/>
        </w:numPr>
      </w:pPr>
      <w:r>
        <w:t xml:space="preserve">Pad </w:t>
      </w:r>
      <w:r w:rsidRPr="00B2424B">
        <w:t>Operation</w:t>
      </w:r>
    </w:p>
    <w:p w:rsidR="00B82948" w:rsidRDefault="00B82948" w:rsidP="00B2424B">
      <w:r>
        <w:t>The Head Array unit has 3 pads with a Digital Proximity Sensor and a Pressure sensor in each pad. These pads are used by the patient to control the wheelchair features in a Digital or a Proportional fashion.</w:t>
      </w:r>
    </w:p>
    <w:p w:rsidR="00B82948" w:rsidRDefault="00B82948" w:rsidP="00B2424B">
      <w:r>
        <w:t>The pads signals are processed and sent to the respective Speed and Direction signals to the wheelchair’s control system via the 9-Pin D-SUB connector.</w:t>
      </w:r>
    </w:p>
    <w:p w:rsidR="00F16E18" w:rsidRDefault="00F16E18" w:rsidP="00B2424B">
      <w:r>
        <w:t>Each of the 3 pads can be programmed to operate in a Digital-Only or a Proportional (Hybrid) scheme, independently. When set to Digital-Only, the pad will provide a “proportional” signal equivalent to the maximum proportional demand</w:t>
      </w:r>
      <w:r w:rsidR="004B7B00">
        <w:t xml:space="preserve"> as follows.</w:t>
      </w:r>
    </w:p>
    <w:p w:rsidR="004B7B00" w:rsidRDefault="004B7B00" w:rsidP="004B7B00">
      <w:pPr>
        <w:pStyle w:val="ListParagraph"/>
        <w:numPr>
          <w:ilvl w:val="0"/>
          <w:numId w:val="5"/>
        </w:numPr>
      </w:pPr>
      <w:r>
        <w:t>Center Pad = Speed value of ______.</w:t>
      </w:r>
    </w:p>
    <w:p w:rsidR="004B7B00" w:rsidRDefault="004B7B00" w:rsidP="004B7B00">
      <w:pPr>
        <w:pStyle w:val="ListParagraph"/>
        <w:numPr>
          <w:ilvl w:val="0"/>
          <w:numId w:val="5"/>
        </w:numPr>
      </w:pPr>
      <w:r>
        <w:t>Left Pad = Directional value of ______.</w:t>
      </w:r>
    </w:p>
    <w:p w:rsidR="004B7B00" w:rsidRDefault="004B7B00" w:rsidP="004B7B00">
      <w:pPr>
        <w:pStyle w:val="ListParagraph"/>
        <w:numPr>
          <w:ilvl w:val="0"/>
          <w:numId w:val="5"/>
        </w:numPr>
      </w:pPr>
      <w:r>
        <w:t>Right Pad = Directional value of ______.</w:t>
      </w:r>
    </w:p>
    <w:p w:rsidR="004B7B00" w:rsidRDefault="004B7B00" w:rsidP="004B7B00">
      <w:r>
        <w:t>When the pad(s) is set for Proportional, the pressure sensor is monitored and translated to p</w:t>
      </w:r>
      <w:r w:rsidR="00945E63">
        <w:t>rovide an equivalent analog value to the Speed and Direction pins on the 9-pin connector. However, the pressure sensor is NOT processed unless the Digital (proximity) sensor is activated.</w:t>
      </w:r>
    </w:p>
    <w:p w:rsidR="00E55292" w:rsidRPr="00B2424B" w:rsidRDefault="00B82948" w:rsidP="00086DE3">
      <w:pPr>
        <w:pStyle w:val="Heading2"/>
        <w:numPr>
          <w:ilvl w:val="1"/>
          <w:numId w:val="2"/>
        </w:numPr>
      </w:pPr>
      <w:r w:rsidRPr="00086DE3">
        <w:t>Switch</w:t>
      </w:r>
      <w:r w:rsidRPr="00B2424B">
        <w:t xml:space="preserve"> Input Operation</w:t>
      </w:r>
    </w:p>
    <w:p w:rsidR="00B82948" w:rsidRDefault="00B82948" w:rsidP="00B2424B">
      <w:r>
        <w:t>The Head Array unit uses a Switch Input to operate 1 of 4 operating modes. The switch is a simple mono/single buddy button plugged into the ASL110 Head Array</w:t>
      </w:r>
      <w:r w:rsidR="0045771A">
        <w:t xml:space="preserve"> and referred to as “Buddy Button”</w:t>
      </w:r>
      <w:r>
        <w:t>. This switch is typically located convenient</w:t>
      </w:r>
      <w:r w:rsidR="0045771A">
        <w:t>ly</w:t>
      </w:r>
      <w:r>
        <w:t xml:space="preserve"> for use by the patient.</w:t>
      </w:r>
    </w:p>
    <w:p w:rsidR="00B82948" w:rsidRDefault="00B82948" w:rsidP="00B2424B">
      <w:r>
        <w:t>The switch controls the “mode” selection features and executes the selected feature. If the switch is momentarily pressed and released, the selected feature is executed. If the switch is pressed and held, the unit advances to the next feature.</w:t>
      </w:r>
    </w:p>
    <w:p w:rsidR="00A5506E" w:rsidRDefault="00A5506E" w:rsidP="00B2424B">
      <w:r>
        <w:t>A “short press” and “long press” of the Buddy Button is programmable with a default of 1.5 seconds. That means that Buddy Button press of less than the programmed time will be recognized as a “Short Press”</w:t>
      </w:r>
      <w:r w:rsidR="007A7EEB">
        <w:t xml:space="preserve"> or “Momentary”</w:t>
      </w:r>
      <w:r>
        <w:t xml:space="preserve">. A Buddy Button press </w:t>
      </w:r>
      <w:r w:rsidR="007A7EEB">
        <w:t>(</w:t>
      </w:r>
      <w:r>
        <w:t>and hold</w:t>
      </w:r>
      <w:r w:rsidR="007A7EEB">
        <w:t>)</w:t>
      </w:r>
      <w:r>
        <w:t xml:space="preserve"> longer than the programmed time will be recognized as a “Long Press”</w:t>
      </w:r>
    </w:p>
    <w:p w:rsidR="00B82948" w:rsidRDefault="00B82948" w:rsidP="00B2424B">
      <w:r>
        <w:t>The available features are listed below.</w:t>
      </w:r>
    </w:p>
    <w:p w:rsidR="00B82948" w:rsidRDefault="00B82948" w:rsidP="00B2424B">
      <w:pPr>
        <w:pStyle w:val="Heading3"/>
      </w:pPr>
      <w:r>
        <w:t>Power On/Off</w:t>
      </w:r>
    </w:p>
    <w:p w:rsidR="00B82948" w:rsidRDefault="00B82948" w:rsidP="00B2424B">
      <w:r>
        <w:t>When this mode is active</w:t>
      </w:r>
      <w:r w:rsidR="00B2424B">
        <w:t xml:space="preserve">, a </w:t>
      </w:r>
      <w:r w:rsidR="0045771A">
        <w:t xml:space="preserve">Buddy Button </w:t>
      </w:r>
      <w:r w:rsidR="00B2424B">
        <w:t xml:space="preserve">momentary press turns put the Head Array into a “Sleep” or </w:t>
      </w:r>
      <w:proofErr w:type="gramStart"/>
      <w:r w:rsidR="00B2424B">
        <w:t>Idle</w:t>
      </w:r>
      <w:proofErr w:type="gramEnd"/>
      <w:r w:rsidR="00B2424B">
        <w:t xml:space="preserve"> mode. Some people refer to it as “</w:t>
      </w:r>
      <w:r w:rsidR="0045771A">
        <w:t>Turning the Head Array ON</w:t>
      </w:r>
      <w:r w:rsidR="00B2424B">
        <w:t xml:space="preserve"> and O</w:t>
      </w:r>
      <w:r w:rsidR="0045771A">
        <w:t>FF</w:t>
      </w:r>
      <w:r w:rsidR="00B2424B">
        <w:t>”. It’s really not “O</w:t>
      </w:r>
      <w:r w:rsidR="0045771A">
        <w:t>N</w:t>
      </w:r>
      <w:r w:rsidR="00B2424B">
        <w:t>” nor “</w:t>
      </w:r>
      <w:r w:rsidR="0045771A">
        <w:t>OFF</w:t>
      </w:r>
      <w:r w:rsidR="00B2424B">
        <w:t>” but in a state where the pads do not react to the patient’s demand</w:t>
      </w:r>
      <w:r w:rsidR="0045771A">
        <w:t xml:space="preserve"> and </w:t>
      </w:r>
      <w:r w:rsidR="0045771A">
        <w:lastRenderedPageBreak/>
        <w:t>will, therefore, not control any wheelchair nor Bluetooth operations</w:t>
      </w:r>
      <w:r w:rsidR="00B2424B">
        <w:t>. For this discussion, we will refer to the Sleep State as “</w:t>
      </w:r>
      <w:r w:rsidR="0045771A">
        <w:t>OFF</w:t>
      </w:r>
      <w:r w:rsidR="00B2424B">
        <w:t>” and the other state as “</w:t>
      </w:r>
      <w:r w:rsidR="0045771A">
        <w:t>ON</w:t>
      </w:r>
      <w:r w:rsidR="00B2424B">
        <w:t>”.</w:t>
      </w:r>
    </w:p>
    <w:p w:rsidR="00B2424B" w:rsidRDefault="00B2424B" w:rsidP="00B2424B">
      <w:r>
        <w:t xml:space="preserve">A second momentary press of the </w:t>
      </w:r>
      <w:r w:rsidR="0045771A">
        <w:t>Buddy Button</w:t>
      </w:r>
      <w:r>
        <w:t>, turns the Head Array back “</w:t>
      </w:r>
      <w:r w:rsidR="0045771A">
        <w:t>ON</w:t>
      </w:r>
      <w:r>
        <w:t>” allowing the Pad</w:t>
      </w:r>
      <w:r w:rsidR="0045771A">
        <w:t>s</w:t>
      </w:r>
      <w:r>
        <w:t xml:space="preserve"> to respond to the patient’s demand.</w:t>
      </w:r>
    </w:p>
    <w:p w:rsidR="00B2424B" w:rsidRDefault="00B2424B" w:rsidP="00B2424B">
      <w:r>
        <w:t>The ASL110 Display Unit will indicate “</w:t>
      </w:r>
      <w:r w:rsidR="0045771A">
        <w:t>ON</w:t>
      </w:r>
      <w:r>
        <w:t>” and “O</w:t>
      </w:r>
      <w:r w:rsidR="0045771A">
        <w:t>FF</w:t>
      </w:r>
      <w:r>
        <w:t>” status. The status indication is “To Be Decided”.</w:t>
      </w:r>
    </w:p>
    <w:p w:rsidR="00B2424B" w:rsidRDefault="00B2424B" w:rsidP="00B2424B">
      <w:r>
        <w:t>When t</w:t>
      </w:r>
      <w:r w:rsidR="0045771A">
        <w:t>he Buddy Switch is held for a Long Press and the unit is “On”, the next programmed mode is selected. If this unit is “Off”, the switch will not respond to a long press. If there is no other programmed mode, the long press will toggle the “Sleep” state from “On” to “Off” or “Off” to “On” when the Buddy Button is released.</w:t>
      </w:r>
    </w:p>
    <w:p w:rsidR="00B2424B" w:rsidRDefault="00B2424B" w:rsidP="00B2424B">
      <w:pPr>
        <w:pStyle w:val="Heading3"/>
      </w:pPr>
      <w:r>
        <w:t>Bluetooth Operation</w:t>
      </w:r>
    </w:p>
    <w:p w:rsidR="00B2424B" w:rsidRDefault="0045771A" w:rsidP="00B2424B">
      <w:r>
        <w:t>This mode sends the Pads signals to the on-board Bluetooth device.</w:t>
      </w:r>
    </w:p>
    <w:p w:rsidR="0045771A" w:rsidRDefault="0045771A" w:rsidP="00B2424B">
      <w:r>
        <w:t>A short press cycles to the next programmed/setup Bluetooth device. More information is needed.</w:t>
      </w:r>
    </w:p>
    <w:p w:rsidR="0045771A" w:rsidRPr="00B2424B" w:rsidRDefault="0045771A" w:rsidP="00B2424B">
      <w:r>
        <w:t>A long press of the Buddy switch advances to the next programmed feature.</w:t>
      </w:r>
    </w:p>
    <w:p w:rsidR="00B2424B" w:rsidRDefault="0045771A" w:rsidP="0045771A">
      <w:pPr>
        <w:pStyle w:val="Heading3"/>
      </w:pPr>
      <w:r>
        <w:t>Next Function</w:t>
      </w:r>
    </w:p>
    <w:p w:rsidR="0045771A" w:rsidRPr="0045771A" w:rsidRDefault="0045771A" w:rsidP="0045771A">
      <w:r>
        <w:t xml:space="preserve">This mode essentially control the Pin 5 and 6 of the 9-pin connector. When this feature is selected, a Buddy Button </w:t>
      </w:r>
      <w:r w:rsidR="00A5506E">
        <w:t>momentary</w:t>
      </w:r>
      <w:r>
        <w:t xml:space="preserve"> press briefly asserts Pins 5 and 6 of the 9-pin connector. The duration of this </w:t>
      </w:r>
      <w:r w:rsidR="00A5506E">
        <w:t>asserted signal is 1 second.</w:t>
      </w:r>
    </w:p>
    <w:p w:rsidR="00A5506E" w:rsidRDefault="00A5506E" w:rsidP="00A5506E">
      <w:r>
        <w:t>A long press of the Buddy switch advances to the next programmed feature.</w:t>
      </w:r>
    </w:p>
    <w:p w:rsidR="007A7EEB" w:rsidRDefault="007A7EEB" w:rsidP="007A7EEB">
      <w:pPr>
        <w:pStyle w:val="Heading3"/>
      </w:pPr>
      <w:r>
        <w:t>Next Profile</w:t>
      </w:r>
    </w:p>
    <w:p w:rsidR="007A7EEB" w:rsidRPr="0045771A" w:rsidRDefault="007A7EEB" w:rsidP="007A7EEB">
      <w:r>
        <w:t>This mode essentially control the Pin 5 and 6 of the 9-pin connector. When this feature is selected, a Buddy Button momentary press asserts Pins 5 and 6 of the 9-pin connector for 2 seconds. Repeatedly momentarily pressing Buddy Button continues to assert Pins 5 and 6.</w:t>
      </w:r>
    </w:p>
    <w:p w:rsidR="007A7EEB" w:rsidRDefault="007A7EEB" w:rsidP="007A7EEB">
      <w:r>
        <w:t>A long press of the Buddy switch advances to the next programmed feature.</w:t>
      </w:r>
    </w:p>
    <w:p w:rsidR="007A7EEB" w:rsidRDefault="00086DE3" w:rsidP="00086DE3">
      <w:pPr>
        <w:pStyle w:val="Heading2"/>
      </w:pPr>
      <w:r>
        <w:t>Real Time Clock</w:t>
      </w:r>
    </w:p>
    <w:p w:rsidR="00086DE3" w:rsidRDefault="00086DE3" w:rsidP="007A7EEB">
      <w:r>
        <w:t>The ASL Display Unit has real-time clock capability. This is not being utilized at this time. (Editorial by G. Chopcinski. Clocks on this this device are a distraction, difficult to set for the patients, are not very accurate and, other than displaying the time, have no other useful purpose.)</w:t>
      </w:r>
    </w:p>
    <w:p w:rsidR="00086DE3" w:rsidRDefault="00086DE3" w:rsidP="00086DE3">
      <w:pPr>
        <w:pStyle w:val="Heading2"/>
      </w:pPr>
      <w:r>
        <w:t>ASL Display Unit compatibility</w:t>
      </w:r>
    </w:p>
    <w:p w:rsidR="00086DE3" w:rsidRDefault="0013313C" w:rsidP="00086DE3">
      <w:r>
        <w:t xml:space="preserve">There is firmware in the ASL110 Proportional Head Array and there is firmware in the ASL110 Display Unit. Unfortunately, neither device is “field upgradable”. However, there is strong desire </w:t>
      </w:r>
      <w:r>
        <w:lastRenderedPageBreak/>
        <w:t>to ensure at least that any version of the firmware in the ASL110 HHP/Display Unit will “work” with any version of the ASL110 Proportional Head Array.</w:t>
      </w:r>
    </w:p>
    <w:p w:rsidR="0013313C" w:rsidRDefault="0013313C" w:rsidP="00086DE3">
      <w:r>
        <w:t xml:space="preserve">The requirement is to allow the ASL110 Head Array to be setup using the ASL110 HHP Display Unit’s </w:t>
      </w:r>
      <w:r w:rsidR="000D2E40">
        <w:t>available</w:t>
      </w:r>
      <w:r>
        <w:t xml:space="preserve"> feature</w:t>
      </w:r>
      <w:r w:rsidR="000D2E40">
        <w:t>s</w:t>
      </w:r>
      <w:r>
        <w:t>. The initial release will have certain features available in both the Head Array and HHP/Display Unit. Th</w:t>
      </w:r>
      <w:r w:rsidR="000D2E40">
        <w:t>ese</w:t>
      </w:r>
      <w:r>
        <w:t xml:space="preserve"> features Setup of </w:t>
      </w:r>
      <w:r>
        <w:t xml:space="preserve">Proportional </w:t>
      </w:r>
      <w:r>
        <w:t xml:space="preserve">/Digital, setup of </w:t>
      </w:r>
      <w:r w:rsidR="000D2E40">
        <w:t>time delay and others. We will call this version “A”. Both devices have an understanding of these features.</w:t>
      </w:r>
    </w:p>
    <w:p w:rsidR="000D2E40" w:rsidRDefault="000D2E40" w:rsidP="00086DE3">
      <w:r>
        <w:t>As the products get developed to revision “B” with a new feature, as an example, “</w:t>
      </w:r>
      <w:r w:rsidR="00AB1BE5">
        <w:t>Set Proportional Min and Max</w:t>
      </w:r>
      <w:r>
        <w:t>”</w:t>
      </w:r>
      <w:r w:rsidR="00AB1BE5">
        <w:t>, “Set Color”</w:t>
      </w:r>
      <w:r>
        <w:t xml:space="preserve"> </w:t>
      </w:r>
      <w:r w:rsidR="00AB1BE5">
        <w:t>are</w:t>
      </w:r>
      <w:r>
        <w:t xml:space="preserve"> added. Both the Head Array and the HHP/Display Unit will have firmware to support the new feature(s)</w:t>
      </w:r>
      <w:r w:rsidR="00AB1BE5">
        <w:t xml:space="preserve"> in Version “B”</w:t>
      </w:r>
    </w:p>
    <w:p w:rsidR="000D2E40" w:rsidRDefault="000D2E40" w:rsidP="00086DE3">
      <w:r>
        <w:t>Version A has the following features (as an example).</w:t>
      </w:r>
    </w:p>
    <w:p w:rsidR="000D2E40" w:rsidRDefault="000D2E40" w:rsidP="000D2E40">
      <w:pPr>
        <w:pStyle w:val="ListParagraph"/>
        <w:numPr>
          <w:ilvl w:val="0"/>
          <w:numId w:val="6"/>
        </w:numPr>
      </w:pPr>
      <w:r>
        <w:t xml:space="preserve">Proportional vs Digital </w:t>
      </w:r>
      <w:r w:rsidR="00AB1BE5">
        <w:t xml:space="preserve">type </w:t>
      </w:r>
      <w:r>
        <w:t>per pad</w:t>
      </w:r>
    </w:p>
    <w:p w:rsidR="00AB1BE5" w:rsidRDefault="00AB1BE5" w:rsidP="000D2E40">
      <w:pPr>
        <w:pStyle w:val="ListParagraph"/>
        <w:numPr>
          <w:ilvl w:val="0"/>
          <w:numId w:val="6"/>
        </w:numPr>
      </w:pPr>
      <w:r>
        <w:t>Setting time delay</w:t>
      </w:r>
    </w:p>
    <w:p w:rsidR="000D2E40" w:rsidRDefault="000D2E40" w:rsidP="000D2E40">
      <w:r>
        <w:t>Version “B” has the additional features (as an example).</w:t>
      </w:r>
    </w:p>
    <w:p w:rsidR="000D2E40" w:rsidRDefault="00AB1BE5" w:rsidP="00AB1BE5">
      <w:pPr>
        <w:pStyle w:val="ListParagraph"/>
        <w:numPr>
          <w:ilvl w:val="0"/>
          <w:numId w:val="7"/>
        </w:numPr>
      </w:pPr>
      <w:r>
        <w:t>Set Proportional Min and Max values.</w:t>
      </w:r>
    </w:p>
    <w:p w:rsidR="00AB1BE5" w:rsidRDefault="00AB1BE5" w:rsidP="00AB1BE5">
      <w:pPr>
        <w:pStyle w:val="ListParagraph"/>
        <w:numPr>
          <w:ilvl w:val="0"/>
          <w:numId w:val="7"/>
        </w:numPr>
      </w:pPr>
      <w:r>
        <w:t>Set Color of something.</w:t>
      </w:r>
    </w:p>
    <w:p w:rsidR="000D2E40" w:rsidRDefault="000D2E40" w:rsidP="00086DE3">
      <w:r>
        <w:t>The following chart attempts to</w:t>
      </w:r>
      <w:r w:rsidR="00AB1BE5">
        <w:t xml:space="preserve"> capture the feature capability with devices at different Version levels.</w:t>
      </w:r>
    </w:p>
    <w:p w:rsidR="000D2E40" w:rsidRDefault="000D2E40" w:rsidP="00086DE3"/>
    <w:tbl>
      <w:tblPr>
        <w:tblStyle w:val="TableGrid"/>
        <w:tblW w:w="0" w:type="auto"/>
        <w:tblLook w:val="04A0" w:firstRow="1" w:lastRow="0" w:firstColumn="1" w:lastColumn="0" w:noHBand="0" w:noVBand="1"/>
      </w:tblPr>
      <w:tblGrid>
        <w:gridCol w:w="1705"/>
        <w:gridCol w:w="2070"/>
        <w:gridCol w:w="3237"/>
        <w:gridCol w:w="2338"/>
      </w:tblGrid>
      <w:tr w:rsidR="000D2E40" w:rsidTr="000D2E40">
        <w:tc>
          <w:tcPr>
            <w:tcW w:w="1705" w:type="dxa"/>
          </w:tcPr>
          <w:p w:rsidR="000D2E40" w:rsidRDefault="000D2E40" w:rsidP="000D2E40">
            <w:pPr>
              <w:jc w:val="center"/>
            </w:pPr>
            <w:r>
              <w:t>Head Array Version</w:t>
            </w:r>
          </w:p>
        </w:tc>
        <w:tc>
          <w:tcPr>
            <w:tcW w:w="2070" w:type="dxa"/>
          </w:tcPr>
          <w:p w:rsidR="000D2E40" w:rsidRDefault="000D2E40" w:rsidP="000D2E40">
            <w:pPr>
              <w:jc w:val="center"/>
            </w:pPr>
            <w:r>
              <w:t>HHP/Display Unit Version</w:t>
            </w:r>
          </w:p>
        </w:tc>
        <w:tc>
          <w:tcPr>
            <w:tcW w:w="3237" w:type="dxa"/>
          </w:tcPr>
          <w:p w:rsidR="000D2E40" w:rsidRDefault="000D2E40" w:rsidP="000D2E40">
            <w:pPr>
              <w:jc w:val="center"/>
            </w:pPr>
            <w:r>
              <w:t>Capability</w:t>
            </w:r>
          </w:p>
        </w:tc>
        <w:tc>
          <w:tcPr>
            <w:tcW w:w="2338" w:type="dxa"/>
          </w:tcPr>
          <w:p w:rsidR="000D2E40" w:rsidRDefault="000D2E40" w:rsidP="000D2E40">
            <w:pPr>
              <w:jc w:val="center"/>
            </w:pPr>
            <w:r>
              <w:t>Comments</w:t>
            </w:r>
          </w:p>
        </w:tc>
      </w:tr>
      <w:tr w:rsidR="000D2E40" w:rsidTr="000D2E40">
        <w:tc>
          <w:tcPr>
            <w:tcW w:w="1705" w:type="dxa"/>
          </w:tcPr>
          <w:p w:rsidR="000D2E40" w:rsidRDefault="000D2E40" w:rsidP="000D2E40">
            <w:pPr>
              <w:jc w:val="center"/>
            </w:pPr>
            <w:r>
              <w:t>A</w:t>
            </w:r>
          </w:p>
        </w:tc>
        <w:tc>
          <w:tcPr>
            <w:tcW w:w="2070" w:type="dxa"/>
          </w:tcPr>
          <w:p w:rsidR="000D2E40" w:rsidRDefault="00AB1BE5" w:rsidP="000D2E40">
            <w:pPr>
              <w:jc w:val="center"/>
            </w:pPr>
            <w:r>
              <w:t>A</w:t>
            </w:r>
          </w:p>
        </w:tc>
        <w:tc>
          <w:tcPr>
            <w:tcW w:w="3237" w:type="dxa"/>
          </w:tcPr>
          <w:p w:rsidR="000D2E40" w:rsidRDefault="00AB1BE5" w:rsidP="00086DE3">
            <w:r>
              <w:t>Head Array supports Digital and Proportional driver control.</w:t>
            </w:r>
          </w:p>
          <w:p w:rsidR="00AB1BE5" w:rsidRDefault="00AB1BE5" w:rsidP="00086DE3">
            <w:r>
              <w:t>HHP/Display supports setting the Digital/Proportional type</w:t>
            </w:r>
          </w:p>
        </w:tc>
        <w:tc>
          <w:tcPr>
            <w:tcW w:w="2338" w:type="dxa"/>
          </w:tcPr>
          <w:p w:rsidR="000D2E40" w:rsidRDefault="00AB1BE5" w:rsidP="00AB1BE5">
            <w:r>
              <w:t>As an example, the proportional Min/Max values are fixed, non-programmable.</w:t>
            </w:r>
          </w:p>
        </w:tc>
      </w:tr>
      <w:tr w:rsidR="000D2E40" w:rsidTr="000D2E40">
        <w:tc>
          <w:tcPr>
            <w:tcW w:w="1705" w:type="dxa"/>
          </w:tcPr>
          <w:p w:rsidR="000D2E40" w:rsidRDefault="00AB1BE5" w:rsidP="000D2E40">
            <w:pPr>
              <w:jc w:val="center"/>
            </w:pPr>
            <w:r>
              <w:t>B</w:t>
            </w:r>
          </w:p>
        </w:tc>
        <w:tc>
          <w:tcPr>
            <w:tcW w:w="2070" w:type="dxa"/>
          </w:tcPr>
          <w:p w:rsidR="000D2E40" w:rsidRDefault="00AB1BE5" w:rsidP="000D2E40">
            <w:pPr>
              <w:jc w:val="center"/>
            </w:pPr>
            <w:r>
              <w:t>B</w:t>
            </w:r>
          </w:p>
        </w:tc>
        <w:tc>
          <w:tcPr>
            <w:tcW w:w="3237" w:type="dxa"/>
          </w:tcPr>
          <w:p w:rsidR="00AB1BE5" w:rsidRDefault="00AB1BE5" w:rsidP="00AB1BE5">
            <w:r>
              <w:t>Head Array supports Digital and Proportional driver control.</w:t>
            </w:r>
          </w:p>
          <w:p w:rsidR="000D2E40" w:rsidRDefault="00AB1BE5" w:rsidP="00AB1BE5">
            <w:r>
              <w:t>HHP/Display supports setting the Digital/Proportional type</w:t>
            </w:r>
            <w:r>
              <w:t xml:space="preserve"> and Min/Max values.</w:t>
            </w:r>
          </w:p>
          <w:p w:rsidR="00AB1BE5" w:rsidRDefault="00AB1BE5" w:rsidP="00AB1BE5">
            <w:r>
              <w:lastRenderedPageBreak/>
              <w:t>Both devices support displaying and changing colors.</w:t>
            </w:r>
          </w:p>
        </w:tc>
        <w:tc>
          <w:tcPr>
            <w:tcW w:w="2338" w:type="dxa"/>
          </w:tcPr>
          <w:p w:rsidR="000D2E40" w:rsidRDefault="00AB1BE5" w:rsidP="00086DE3">
            <w:r>
              <w:lastRenderedPageBreak/>
              <w:t>As an example, the Min/Max values are programmable in the field.</w:t>
            </w:r>
          </w:p>
        </w:tc>
      </w:tr>
      <w:tr w:rsidR="000D2E40" w:rsidTr="000D2E40">
        <w:tc>
          <w:tcPr>
            <w:tcW w:w="1705" w:type="dxa"/>
          </w:tcPr>
          <w:p w:rsidR="000D2E40" w:rsidRDefault="00AB1BE5" w:rsidP="000D2E40">
            <w:pPr>
              <w:jc w:val="center"/>
            </w:pPr>
            <w:r>
              <w:t>A</w:t>
            </w:r>
          </w:p>
        </w:tc>
        <w:tc>
          <w:tcPr>
            <w:tcW w:w="2070" w:type="dxa"/>
          </w:tcPr>
          <w:p w:rsidR="000D2E40" w:rsidRDefault="00AB1BE5" w:rsidP="000D2E40">
            <w:pPr>
              <w:jc w:val="center"/>
            </w:pPr>
            <w:r>
              <w:t>B</w:t>
            </w:r>
          </w:p>
        </w:tc>
        <w:tc>
          <w:tcPr>
            <w:tcW w:w="3237" w:type="dxa"/>
          </w:tcPr>
          <w:p w:rsidR="00AB1BE5" w:rsidRDefault="00AB1BE5" w:rsidP="00AB1BE5">
            <w:r>
              <w:t>Head Array supports Digital and Proportional driver control.</w:t>
            </w:r>
          </w:p>
          <w:p w:rsidR="000D2E40" w:rsidRDefault="00AB1BE5" w:rsidP="00AB1BE5">
            <w:r>
              <w:t>HHP/Display supports setting the Digital/Proportional type and Min/Max values.</w:t>
            </w:r>
          </w:p>
        </w:tc>
        <w:tc>
          <w:tcPr>
            <w:tcW w:w="2338" w:type="dxa"/>
          </w:tcPr>
          <w:p w:rsidR="000D2E40" w:rsidRDefault="00AB1BE5" w:rsidP="00086DE3">
            <w:r>
              <w:t>As an example, the Min/Max values are programmable in the field.</w:t>
            </w:r>
          </w:p>
          <w:p w:rsidR="00AB1BE5" w:rsidRDefault="00AB1BE5" w:rsidP="00086DE3">
            <w:r>
              <w:t>However, setting the color is not available at the HHP because the Head Array is at “A” and does not support color.</w:t>
            </w:r>
          </w:p>
        </w:tc>
      </w:tr>
      <w:tr w:rsidR="00AB1BE5" w:rsidTr="000D2E40">
        <w:tc>
          <w:tcPr>
            <w:tcW w:w="1705" w:type="dxa"/>
          </w:tcPr>
          <w:p w:rsidR="00AB1BE5" w:rsidRDefault="00AB1BE5" w:rsidP="000D2E40">
            <w:pPr>
              <w:jc w:val="center"/>
            </w:pPr>
            <w:r>
              <w:t>B</w:t>
            </w:r>
          </w:p>
        </w:tc>
        <w:tc>
          <w:tcPr>
            <w:tcW w:w="2070" w:type="dxa"/>
          </w:tcPr>
          <w:p w:rsidR="00AB1BE5" w:rsidRDefault="00AB1BE5" w:rsidP="000D2E40">
            <w:pPr>
              <w:jc w:val="center"/>
            </w:pPr>
            <w:r>
              <w:t>A</w:t>
            </w:r>
          </w:p>
        </w:tc>
        <w:tc>
          <w:tcPr>
            <w:tcW w:w="3237" w:type="dxa"/>
          </w:tcPr>
          <w:p w:rsidR="00AB1BE5" w:rsidRDefault="00AB1BE5" w:rsidP="00AB1BE5">
            <w:r>
              <w:t>Head Array supports Digital and Proportional driver control.</w:t>
            </w:r>
          </w:p>
          <w:p w:rsidR="00AB1BE5" w:rsidRDefault="00AB1BE5" w:rsidP="00AB1BE5"/>
        </w:tc>
        <w:tc>
          <w:tcPr>
            <w:tcW w:w="2338" w:type="dxa"/>
          </w:tcPr>
          <w:p w:rsidR="00AB1BE5" w:rsidRDefault="00AB1BE5" w:rsidP="00086DE3">
            <w:r>
              <w:t>HHP does not support setting Min/Max values, however, the Head Array will use its defaults.</w:t>
            </w:r>
          </w:p>
          <w:p w:rsidR="00414C20" w:rsidRDefault="00414C20" w:rsidP="00086DE3">
            <w:r>
              <w:t>The Head Array will use the default color.</w:t>
            </w:r>
          </w:p>
        </w:tc>
      </w:tr>
    </w:tbl>
    <w:p w:rsidR="000D2E40" w:rsidRDefault="000D2E40" w:rsidP="00086DE3"/>
    <w:p w:rsidR="00414C20" w:rsidRPr="00086DE3" w:rsidRDefault="00414C20" w:rsidP="00086DE3">
      <w:r>
        <w:t>Bottom Line: Any combination of Head Array and HHP version shall allow some sort of operation and programmability. At a minimum, the original, released at Version “A”, feature set will be available.</w:t>
      </w:r>
      <w:bookmarkStart w:id="0" w:name="_GoBack"/>
      <w:bookmarkEnd w:id="0"/>
    </w:p>
    <w:tbl>
      <w:tblPr>
        <w:tblW w:w="1267" w:type="dxa"/>
        <w:tblCellSpacing w:w="0" w:type="dxa"/>
        <w:tblInd w:w="28800" w:type="dxa"/>
        <w:tblCellMar>
          <w:left w:w="0" w:type="dxa"/>
          <w:right w:w="0" w:type="dxa"/>
        </w:tblCellMar>
        <w:tblLook w:val="04A0" w:firstRow="1" w:lastRow="0" w:firstColumn="1" w:lastColumn="0" w:noHBand="0" w:noVBand="1"/>
      </w:tblPr>
      <w:tblGrid>
        <w:gridCol w:w="1267"/>
      </w:tblGrid>
      <w:tr w:rsidR="00E55292" w:rsidTr="007A7EEB">
        <w:trPr>
          <w:tblCellSpacing w:w="0" w:type="dxa"/>
        </w:trPr>
        <w:tc>
          <w:tcPr>
            <w:tcW w:w="0" w:type="auto"/>
            <w:vAlign w:val="center"/>
            <w:hideMark/>
          </w:tcPr>
          <w:p w:rsidR="00E55292" w:rsidRDefault="00186226" w:rsidP="00B2424B">
            <w:pPr>
              <w:pStyle w:val="Footer"/>
              <w:divId w:val="31423652"/>
            </w:pPr>
            <w:proofErr w:type="spellStart"/>
            <w:r>
              <w:t>ser</w:t>
            </w:r>
            <w:proofErr w:type="spellEnd"/>
            <w:r>
              <w:t xml:space="preserve"> Requirement Specification Rev A</w:t>
            </w:r>
            <w:r>
              <w:ptab w:relativeTo="margin" w:alignment="center" w:leader="none"/>
            </w:r>
            <w:r>
              <w:t>Invacare Confidential</w:t>
            </w:r>
          </w:p>
        </w:tc>
      </w:tr>
    </w:tbl>
    <w:p w:rsidR="00186226" w:rsidRDefault="00186226" w:rsidP="00B2424B"/>
    <w:sectPr w:rsidR="00186226" w:rsidSect="00DE732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2187" w:rsidRDefault="00B62187" w:rsidP="00B2424B">
      <w:r>
        <w:separator/>
      </w:r>
    </w:p>
  </w:endnote>
  <w:endnote w:type="continuationSeparator" w:id="0">
    <w:p w:rsidR="00B62187" w:rsidRDefault="00B62187" w:rsidP="00B24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5292" w:rsidRDefault="00186226" w:rsidP="00B2424B">
    <w:pPr>
      <w:pStyle w:val="Footer"/>
      <w:jc w:val="center"/>
    </w:pPr>
    <w:r>
      <w:t>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2187" w:rsidRDefault="00B62187" w:rsidP="00B2424B">
      <w:r>
        <w:separator/>
      </w:r>
    </w:p>
  </w:footnote>
  <w:footnote w:type="continuationSeparator" w:id="0">
    <w:p w:rsidR="00B62187" w:rsidRDefault="00B62187" w:rsidP="00B242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1716"/>
      <w:gridCol w:w="2570"/>
      <w:gridCol w:w="1199"/>
      <w:gridCol w:w="1930"/>
      <w:gridCol w:w="1935"/>
    </w:tblGrid>
    <w:tr w:rsidR="003D30D9" w:rsidTr="00EA1984">
      <w:tc>
        <w:tcPr>
          <w:tcW w:w="1716" w:type="dxa"/>
        </w:tcPr>
        <w:p w:rsidR="003D30D9" w:rsidRDefault="003D30D9" w:rsidP="00B2424B">
          <w:r>
            <w:rPr>
              <w:rFonts w:ascii="Times New Roman" w:eastAsia="Times New Roman" w:hAnsi="Times New Roman"/>
            </w:rPr>
            <w:object w:dxaOrig="3930" w:dyaOrig="3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05pt;height:51.6pt" o:ole="">
                <v:imagedata r:id="rId1" o:title=""/>
              </v:shape>
              <o:OLEObject Type="Embed" ProgID="PBrush" ShapeID="_x0000_i1025" DrawAspect="Content" ObjectID="_1632726782" r:id="rId2"/>
            </w:object>
          </w:r>
        </w:p>
      </w:tc>
      <w:tc>
        <w:tcPr>
          <w:tcW w:w="7634" w:type="dxa"/>
          <w:gridSpan w:val="4"/>
          <w:vAlign w:val="center"/>
        </w:tcPr>
        <w:p w:rsidR="003D30D9" w:rsidRPr="00B2424B" w:rsidRDefault="00B26E3F" w:rsidP="00B2424B">
          <w:pPr>
            <w:rPr>
              <w:sz w:val="48"/>
              <w:szCs w:val="48"/>
            </w:rPr>
          </w:pPr>
          <w:r w:rsidRPr="00B2424B">
            <w:rPr>
              <w:sz w:val="48"/>
              <w:szCs w:val="48"/>
            </w:rPr>
            <w:t>ASL110</w:t>
          </w:r>
          <w:r w:rsidR="000152DD" w:rsidRPr="00B2424B">
            <w:rPr>
              <w:sz w:val="48"/>
              <w:szCs w:val="48"/>
            </w:rPr>
            <w:t xml:space="preserve"> </w:t>
          </w:r>
          <w:r w:rsidR="007974CF" w:rsidRPr="00B2424B">
            <w:rPr>
              <w:sz w:val="48"/>
              <w:szCs w:val="48"/>
            </w:rPr>
            <w:t>Operational</w:t>
          </w:r>
          <w:r w:rsidRPr="00B2424B">
            <w:rPr>
              <w:sz w:val="48"/>
              <w:szCs w:val="48"/>
            </w:rPr>
            <w:t xml:space="preserve"> Concept</w:t>
          </w:r>
        </w:p>
      </w:tc>
    </w:tr>
    <w:tr w:rsidR="003D30D9" w:rsidTr="00EA1984">
      <w:tc>
        <w:tcPr>
          <w:tcW w:w="5485" w:type="dxa"/>
          <w:gridSpan w:val="3"/>
        </w:tcPr>
        <w:p w:rsidR="003D30D9" w:rsidRPr="00B2424B" w:rsidRDefault="003D30D9" w:rsidP="00B2424B">
          <w:pPr>
            <w:rPr>
              <w:sz w:val="20"/>
              <w:szCs w:val="20"/>
            </w:rPr>
          </w:pPr>
          <w:r w:rsidRPr="00B2424B">
            <w:rPr>
              <w:sz w:val="20"/>
              <w:szCs w:val="20"/>
            </w:rPr>
            <w:t xml:space="preserve">Document Title: ASL </w:t>
          </w:r>
          <w:r w:rsidR="007974CF" w:rsidRPr="00B2424B">
            <w:rPr>
              <w:sz w:val="20"/>
              <w:szCs w:val="20"/>
            </w:rPr>
            <w:t>Operational</w:t>
          </w:r>
          <w:r w:rsidR="00B26E3F" w:rsidRPr="00B2424B">
            <w:rPr>
              <w:sz w:val="20"/>
              <w:szCs w:val="20"/>
            </w:rPr>
            <w:t xml:space="preserve"> Concept</w:t>
          </w:r>
        </w:p>
      </w:tc>
      <w:tc>
        <w:tcPr>
          <w:tcW w:w="3865" w:type="dxa"/>
          <w:gridSpan w:val="2"/>
        </w:tcPr>
        <w:p w:rsidR="003D30D9" w:rsidRPr="00B2424B" w:rsidRDefault="003D30D9" w:rsidP="00B2424B">
          <w:pPr>
            <w:rPr>
              <w:sz w:val="20"/>
              <w:szCs w:val="20"/>
            </w:rPr>
          </w:pPr>
          <w:r w:rsidRPr="00B2424B">
            <w:rPr>
              <w:sz w:val="20"/>
              <w:szCs w:val="20"/>
            </w:rPr>
            <w:t>D</w:t>
          </w:r>
          <w:r w:rsidR="00B26E3F" w:rsidRPr="00B2424B">
            <w:rPr>
              <w:sz w:val="20"/>
              <w:szCs w:val="20"/>
            </w:rPr>
            <w:t>ocument Number: ASL110</w:t>
          </w:r>
          <w:r w:rsidRPr="00B2424B">
            <w:rPr>
              <w:sz w:val="20"/>
              <w:szCs w:val="20"/>
            </w:rPr>
            <w:t xml:space="preserve"> – </w:t>
          </w:r>
          <w:r w:rsidR="007974CF" w:rsidRPr="00B2424B">
            <w:rPr>
              <w:sz w:val="20"/>
              <w:szCs w:val="20"/>
            </w:rPr>
            <w:t>OPCON</w:t>
          </w:r>
        </w:p>
      </w:tc>
    </w:tr>
    <w:tr w:rsidR="003D30D9" w:rsidTr="00EA1984">
      <w:tc>
        <w:tcPr>
          <w:tcW w:w="4286" w:type="dxa"/>
          <w:gridSpan w:val="2"/>
        </w:tcPr>
        <w:p w:rsidR="003D30D9" w:rsidRPr="00C2604B" w:rsidRDefault="003D30D9" w:rsidP="00B2424B">
          <w:pPr>
            <w:rPr>
              <w:sz w:val="20"/>
              <w:szCs w:val="20"/>
            </w:rPr>
          </w:pPr>
          <w:r w:rsidRPr="00C2604B">
            <w:rPr>
              <w:sz w:val="20"/>
              <w:szCs w:val="20"/>
            </w:rPr>
            <w:t>Issue Date:</w:t>
          </w:r>
        </w:p>
      </w:tc>
      <w:tc>
        <w:tcPr>
          <w:tcW w:w="3129" w:type="dxa"/>
          <w:gridSpan w:val="2"/>
        </w:tcPr>
        <w:p w:rsidR="003D30D9" w:rsidRPr="00C2604B" w:rsidRDefault="003D30D9" w:rsidP="00B2424B">
          <w:pPr>
            <w:rPr>
              <w:sz w:val="20"/>
              <w:szCs w:val="20"/>
            </w:rPr>
          </w:pPr>
          <w:r w:rsidRPr="00C2604B">
            <w:rPr>
              <w:sz w:val="20"/>
              <w:szCs w:val="20"/>
            </w:rPr>
            <w:t>Rev Level: A</w:t>
          </w:r>
        </w:p>
      </w:tc>
      <w:tc>
        <w:tcPr>
          <w:tcW w:w="1935" w:type="dxa"/>
        </w:tcPr>
        <w:p w:rsidR="003D30D9" w:rsidRPr="00C2604B" w:rsidRDefault="003D30D9" w:rsidP="00B2424B">
          <w:pPr>
            <w:rPr>
              <w:sz w:val="20"/>
              <w:szCs w:val="20"/>
            </w:rPr>
          </w:pPr>
          <w:r w:rsidRPr="00C2604B">
            <w:rPr>
              <w:sz w:val="20"/>
              <w:szCs w:val="20"/>
            </w:rPr>
            <w:t xml:space="preserve">Page </w:t>
          </w:r>
          <w:r w:rsidRPr="00C2604B">
            <w:rPr>
              <w:sz w:val="20"/>
              <w:szCs w:val="20"/>
            </w:rPr>
            <w:fldChar w:fldCharType="begin"/>
          </w:r>
          <w:r w:rsidRPr="00C2604B">
            <w:rPr>
              <w:sz w:val="20"/>
              <w:szCs w:val="20"/>
            </w:rPr>
            <w:instrText xml:space="preserve"> PAGE  \* Arabic  \* MERGEFORMAT </w:instrText>
          </w:r>
          <w:r w:rsidRPr="00C2604B">
            <w:rPr>
              <w:sz w:val="20"/>
              <w:szCs w:val="20"/>
            </w:rPr>
            <w:fldChar w:fldCharType="separate"/>
          </w:r>
          <w:r w:rsidR="00414C20">
            <w:rPr>
              <w:noProof/>
              <w:sz w:val="20"/>
              <w:szCs w:val="20"/>
            </w:rPr>
            <w:t>4</w:t>
          </w:r>
          <w:r w:rsidRPr="00C2604B">
            <w:rPr>
              <w:sz w:val="20"/>
              <w:szCs w:val="20"/>
            </w:rPr>
            <w:fldChar w:fldCharType="end"/>
          </w:r>
          <w:r w:rsidRPr="00C2604B">
            <w:rPr>
              <w:sz w:val="20"/>
              <w:szCs w:val="20"/>
            </w:rPr>
            <w:t xml:space="preserve"> of </w:t>
          </w:r>
          <w:r w:rsidR="00BC65EA" w:rsidRPr="00C2604B">
            <w:rPr>
              <w:sz w:val="20"/>
              <w:szCs w:val="20"/>
            </w:rPr>
            <w:fldChar w:fldCharType="begin"/>
          </w:r>
          <w:r w:rsidR="00BC65EA" w:rsidRPr="00C2604B">
            <w:rPr>
              <w:sz w:val="20"/>
              <w:szCs w:val="20"/>
            </w:rPr>
            <w:instrText xml:space="preserve"> NUMPAGES  \* Arabic  \* MERGEFORMAT </w:instrText>
          </w:r>
          <w:r w:rsidR="00BC65EA" w:rsidRPr="00C2604B">
            <w:rPr>
              <w:sz w:val="20"/>
              <w:szCs w:val="20"/>
            </w:rPr>
            <w:fldChar w:fldCharType="separate"/>
          </w:r>
          <w:r w:rsidR="00414C20">
            <w:rPr>
              <w:noProof/>
              <w:sz w:val="20"/>
              <w:szCs w:val="20"/>
            </w:rPr>
            <w:t>5</w:t>
          </w:r>
          <w:r w:rsidR="00BC65EA" w:rsidRPr="00C2604B">
            <w:rPr>
              <w:noProof/>
              <w:sz w:val="20"/>
              <w:szCs w:val="20"/>
            </w:rPr>
            <w:fldChar w:fldCharType="end"/>
          </w:r>
        </w:p>
      </w:tc>
    </w:tr>
  </w:tbl>
  <w:p w:rsidR="003D30D9" w:rsidRDefault="003D30D9" w:rsidP="00B2424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E85B76"/>
    <w:multiLevelType w:val="hybridMultilevel"/>
    <w:tmpl w:val="19AC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8124EA"/>
    <w:multiLevelType w:val="multilevel"/>
    <w:tmpl w:val="A5680920"/>
    <w:lvl w:ilvl="0">
      <w:start w:val="1"/>
      <w:numFmt w:val="decimal"/>
      <w:pStyle w:val="Heading1"/>
      <w:lvlText w:val="%1."/>
      <w:lvlJc w:val="left"/>
      <w:pPr>
        <w:ind w:left="360" w:hanging="360"/>
      </w:pPr>
    </w:lvl>
    <w:lvl w:ilvl="1">
      <w:start w:val="1"/>
      <w:numFmt w:val="decimal"/>
      <w:pStyle w:val="Heading2"/>
      <w:lvlText w:val="%1.%2"/>
      <w:lvlJc w:val="left"/>
      <w:pPr>
        <w:ind w:left="720" w:hanging="360"/>
      </w:pPr>
    </w:lvl>
    <w:lvl w:ilvl="2">
      <w:start w:val="1"/>
      <w:numFmt w:val="decimal"/>
      <w:pStyle w:val="Heading3"/>
      <w:lvlText w:val="%1.%2.%3"/>
      <w:lvlJc w:val="left"/>
      <w:pPr>
        <w:ind w:left="1080" w:hanging="360"/>
      </w:pPr>
    </w:lvl>
    <w:lvl w:ilvl="3">
      <w:start w:val="1"/>
      <w:numFmt w:val="decimal"/>
      <w:pStyle w:val="Heading4"/>
      <w:lvlText w:val="%1.%2.%3.%4"/>
      <w:lvlJc w:val="left"/>
      <w:pPr>
        <w:ind w:left="1440" w:hanging="360"/>
      </w:pPr>
    </w:lvl>
    <w:lvl w:ilvl="4">
      <w:start w:val="1"/>
      <w:numFmt w:val="decimal"/>
      <w:pStyle w:val="Heading5"/>
      <w:lvlText w:val="%1.%2.%3.%4.%5"/>
      <w:lvlJc w:val="left"/>
      <w:pPr>
        <w:ind w:left="1800" w:hanging="360"/>
      </w:pPr>
    </w:lvl>
    <w:lvl w:ilvl="5">
      <w:start w:val="1"/>
      <w:numFmt w:val="decimal"/>
      <w:pStyle w:val="Heading6"/>
      <w:lvlText w:val="%1.%2.%3.%4.%5.%6"/>
      <w:lvlJc w:val="left"/>
      <w:pPr>
        <w:ind w:left="2160" w:hanging="360"/>
      </w:pPr>
    </w:lvl>
    <w:lvl w:ilvl="6">
      <w:start w:val="1"/>
      <w:numFmt w:val="decimal"/>
      <w:pStyle w:val="Heading7"/>
      <w:lvlText w:val="%1.%2.%3.%4.%5.%6.%7"/>
      <w:lvlJc w:val="left"/>
      <w:pPr>
        <w:ind w:left="2520" w:hanging="360"/>
      </w:pPr>
    </w:lvl>
    <w:lvl w:ilvl="7">
      <w:start w:val="1"/>
      <w:numFmt w:val="decimal"/>
      <w:pStyle w:val="Heading8"/>
      <w:lvlText w:val="%1.%2.%3.%4.%5.%6.%7.%8"/>
      <w:lvlJc w:val="left"/>
      <w:pPr>
        <w:ind w:left="2880" w:hanging="360"/>
      </w:pPr>
    </w:lvl>
    <w:lvl w:ilvl="8">
      <w:start w:val="1"/>
      <w:numFmt w:val="decimal"/>
      <w:pStyle w:val="Heading9"/>
      <w:lvlText w:val="%1.%2.%3.%4.%5.%6.%7.%8.%9"/>
      <w:lvlJc w:val="left"/>
      <w:pPr>
        <w:ind w:left="3240" w:hanging="360"/>
      </w:pPr>
    </w:lvl>
  </w:abstractNum>
  <w:abstractNum w:abstractNumId="2" w15:restartNumberingAfterBreak="0">
    <w:nsid w:val="567335CF"/>
    <w:multiLevelType w:val="hybridMultilevel"/>
    <w:tmpl w:val="E6888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111A25"/>
    <w:multiLevelType w:val="multilevel"/>
    <w:tmpl w:val="0409001D"/>
    <w:styleLink w:val="Rav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51A36EE"/>
    <w:multiLevelType w:val="hybridMultilevel"/>
    <w:tmpl w:val="319CA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201"/>
    <w:rsid w:val="000152DD"/>
    <w:rsid w:val="00015A4D"/>
    <w:rsid w:val="00016A67"/>
    <w:rsid w:val="000638ED"/>
    <w:rsid w:val="000709ED"/>
    <w:rsid w:val="00073E42"/>
    <w:rsid w:val="00086DE3"/>
    <w:rsid w:val="0009044C"/>
    <w:rsid w:val="000A4A11"/>
    <w:rsid w:val="000A649A"/>
    <w:rsid w:val="000B0B34"/>
    <w:rsid w:val="000D2E40"/>
    <w:rsid w:val="0013313C"/>
    <w:rsid w:val="00181739"/>
    <w:rsid w:val="00186226"/>
    <w:rsid w:val="00191CA9"/>
    <w:rsid w:val="001968B7"/>
    <w:rsid w:val="00235DF9"/>
    <w:rsid w:val="00243C2A"/>
    <w:rsid w:val="0027511D"/>
    <w:rsid w:val="002D6BF2"/>
    <w:rsid w:val="00340697"/>
    <w:rsid w:val="003558B3"/>
    <w:rsid w:val="00371F59"/>
    <w:rsid w:val="003C1FFA"/>
    <w:rsid w:val="003D30D9"/>
    <w:rsid w:val="003D49CD"/>
    <w:rsid w:val="00414C20"/>
    <w:rsid w:val="00445F7F"/>
    <w:rsid w:val="00450BED"/>
    <w:rsid w:val="0045771A"/>
    <w:rsid w:val="00460476"/>
    <w:rsid w:val="00475488"/>
    <w:rsid w:val="004B4928"/>
    <w:rsid w:val="004B7B00"/>
    <w:rsid w:val="004D1581"/>
    <w:rsid w:val="00533553"/>
    <w:rsid w:val="005352B4"/>
    <w:rsid w:val="00547A4C"/>
    <w:rsid w:val="005B06AA"/>
    <w:rsid w:val="005B5DB2"/>
    <w:rsid w:val="005C45CD"/>
    <w:rsid w:val="0062288E"/>
    <w:rsid w:val="00664BCF"/>
    <w:rsid w:val="006B24A2"/>
    <w:rsid w:val="007974CF"/>
    <w:rsid w:val="007A7EEB"/>
    <w:rsid w:val="007E58F1"/>
    <w:rsid w:val="00822E1A"/>
    <w:rsid w:val="008B0AC8"/>
    <w:rsid w:val="008B48B8"/>
    <w:rsid w:val="008D4A17"/>
    <w:rsid w:val="009012E4"/>
    <w:rsid w:val="00911C9F"/>
    <w:rsid w:val="00914A8E"/>
    <w:rsid w:val="00931B6C"/>
    <w:rsid w:val="00945E63"/>
    <w:rsid w:val="00957D10"/>
    <w:rsid w:val="00966C8A"/>
    <w:rsid w:val="009920F0"/>
    <w:rsid w:val="009A5096"/>
    <w:rsid w:val="009D0B3D"/>
    <w:rsid w:val="00A2317E"/>
    <w:rsid w:val="00A30888"/>
    <w:rsid w:val="00A507FC"/>
    <w:rsid w:val="00A5506E"/>
    <w:rsid w:val="00A76B01"/>
    <w:rsid w:val="00A76F95"/>
    <w:rsid w:val="00A931F6"/>
    <w:rsid w:val="00AB1BE5"/>
    <w:rsid w:val="00AC6A5C"/>
    <w:rsid w:val="00B13007"/>
    <w:rsid w:val="00B2424B"/>
    <w:rsid w:val="00B26E3F"/>
    <w:rsid w:val="00B464AD"/>
    <w:rsid w:val="00B46B8A"/>
    <w:rsid w:val="00B62187"/>
    <w:rsid w:val="00B630B1"/>
    <w:rsid w:val="00B82948"/>
    <w:rsid w:val="00BA4275"/>
    <w:rsid w:val="00BA72F1"/>
    <w:rsid w:val="00BC65EA"/>
    <w:rsid w:val="00BD554C"/>
    <w:rsid w:val="00C04CEA"/>
    <w:rsid w:val="00C2604B"/>
    <w:rsid w:val="00C361F5"/>
    <w:rsid w:val="00CC0712"/>
    <w:rsid w:val="00CD5201"/>
    <w:rsid w:val="00D157F2"/>
    <w:rsid w:val="00D162C9"/>
    <w:rsid w:val="00D566A4"/>
    <w:rsid w:val="00D710EF"/>
    <w:rsid w:val="00DC537C"/>
    <w:rsid w:val="00DE732C"/>
    <w:rsid w:val="00E01B56"/>
    <w:rsid w:val="00E04F3E"/>
    <w:rsid w:val="00E075BD"/>
    <w:rsid w:val="00E2659E"/>
    <w:rsid w:val="00E55292"/>
    <w:rsid w:val="00E7664F"/>
    <w:rsid w:val="00ED7045"/>
    <w:rsid w:val="00EE6DBD"/>
    <w:rsid w:val="00F16E18"/>
    <w:rsid w:val="00F316E9"/>
    <w:rsid w:val="00F62F6F"/>
    <w:rsid w:val="00F77AD7"/>
    <w:rsid w:val="00F97771"/>
    <w:rsid w:val="00FF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FF0A0A7-A5C1-48FC-B39D-7F9A07A7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24B"/>
    <w:pPr>
      <w:spacing w:after="120"/>
      <w:outlineLvl w:val="0"/>
    </w:pPr>
    <w:rPr>
      <w:sz w:val="24"/>
      <w:szCs w:val="24"/>
    </w:rPr>
  </w:style>
  <w:style w:type="paragraph" w:styleId="Heading1">
    <w:name w:val="heading 1"/>
    <w:basedOn w:val="Normal"/>
    <w:next w:val="Normal"/>
    <w:link w:val="Heading1Char"/>
    <w:autoRedefine/>
    <w:uiPriority w:val="1"/>
    <w:qFormat/>
    <w:pPr>
      <w:keepNext/>
      <w:numPr>
        <w:numId w:val="2"/>
      </w:numPr>
    </w:pPr>
    <w:rPr>
      <w:rFonts w:eastAsiaTheme="minorEastAsia"/>
      <w:b/>
      <w:sz w:val="28"/>
    </w:rPr>
  </w:style>
  <w:style w:type="paragraph" w:styleId="Heading2">
    <w:name w:val="heading 2"/>
    <w:basedOn w:val="Normal"/>
    <w:next w:val="Normal"/>
    <w:link w:val="Heading2Char"/>
    <w:uiPriority w:val="1"/>
    <w:qFormat/>
    <w:rsid w:val="00086DE3"/>
    <w:pPr>
      <w:keepNext/>
      <w:numPr>
        <w:ilvl w:val="1"/>
        <w:numId w:val="1"/>
      </w:numPr>
      <w:outlineLvl w:val="1"/>
    </w:pPr>
    <w:rPr>
      <w:b/>
      <w:color w:val="262626"/>
    </w:rPr>
  </w:style>
  <w:style w:type="paragraph" w:styleId="Heading3">
    <w:name w:val="heading 3"/>
    <w:basedOn w:val="Normal"/>
    <w:next w:val="Normal"/>
    <w:link w:val="Heading3Char"/>
    <w:uiPriority w:val="1"/>
    <w:qFormat/>
    <w:pPr>
      <w:keepNext/>
      <w:numPr>
        <w:ilvl w:val="2"/>
        <w:numId w:val="2"/>
      </w:numPr>
      <w:outlineLvl w:val="2"/>
    </w:pPr>
    <w:rPr>
      <w:rFonts w:eastAsiaTheme="minorEastAsia"/>
      <w:b/>
    </w:rPr>
  </w:style>
  <w:style w:type="paragraph" w:styleId="Heading4">
    <w:name w:val="heading 4"/>
    <w:basedOn w:val="Normal"/>
    <w:next w:val="Normal"/>
    <w:link w:val="Heading4Char"/>
    <w:uiPriority w:val="1"/>
    <w:qFormat/>
    <w:pPr>
      <w:keepNext/>
      <w:numPr>
        <w:ilvl w:val="3"/>
        <w:numId w:val="2"/>
      </w:numPr>
      <w:outlineLvl w:val="3"/>
    </w:pPr>
    <w:rPr>
      <w:rFonts w:eastAsiaTheme="minorEastAsia"/>
      <w:lang w:val="x-none" w:eastAsia="x-none"/>
    </w:rPr>
  </w:style>
  <w:style w:type="paragraph" w:styleId="Heading5">
    <w:name w:val="heading 5"/>
    <w:basedOn w:val="Normal"/>
    <w:next w:val="Normal"/>
    <w:link w:val="Heading5Char"/>
    <w:uiPriority w:val="1"/>
    <w:qFormat/>
    <w:pPr>
      <w:keepNext/>
      <w:numPr>
        <w:ilvl w:val="4"/>
        <w:numId w:val="2"/>
      </w:numPr>
      <w:ind w:right="162"/>
      <w:jc w:val="both"/>
      <w:outlineLvl w:val="4"/>
    </w:pPr>
    <w:rPr>
      <w:rFonts w:eastAsiaTheme="minorEastAsia"/>
      <w:b/>
    </w:rPr>
  </w:style>
  <w:style w:type="paragraph" w:styleId="Heading6">
    <w:name w:val="heading 6"/>
    <w:basedOn w:val="Normal"/>
    <w:next w:val="Normal"/>
    <w:link w:val="Heading6Char"/>
    <w:uiPriority w:val="1"/>
    <w:qFormat/>
    <w:pPr>
      <w:numPr>
        <w:ilvl w:val="5"/>
        <w:numId w:val="2"/>
      </w:numPr>
      <w:spacing w:before="240" w:after="60"/>
      <w:outlineLvl w:val="5"/>
    </w:pPr>
    <w:rPr>
      <w:rFonts w:eastAsiaTheme="minorEastAsia"/>
      <w:b/>
      <w:bCs/>
      <w:sz w:val="22"/>
      <w:szCs w:val="22"/>
    </w:rPr>
  </w:style>
  <w:style w:type="paragraph" w:styleId="Heading7">
    <w:name w:val="heading 7"/>
    <w:basedOn w:val="Normal"/>
    <w:next w:val="Normal"/>
    <w:link w:val="Heading7Char"/>
    <w:uiPriority w:val="1"/>
    <w:qFormat/>
    <w:pPr>
      <w:numPr>
        <w:ilvl w:val="6"/>
        <w:numId w:val="2"/>
      </w:numPr>
      <w:spacing w:before="240" w:after="60"/>
      <w:outlineLvl w:val="6"/>
    </w:pPr>
  </w:style>
  <w:style w:type="paragraph" w:styleId="Heading8">
    <w:name w:val="heading 8"/>
    <w:basedOn w:val="Normal"/>
    <w:next w:val="Normal"/>
    <w:link w:val="Heading8Char"/>
    <w:uiPriority w:val="1"/>
    <w:qFormat/>
    <w:pPr>
      <w:numPr>
        <w:ilvl w:val="7"/>
        <w:numId w:val="2"/>
      </w:numPr>
      <w:spacing w:before="240" w:after="60"/>
      <w:outlineLvl w:val="7"/>
    </w:pPr>
    <w:rPr>
      <w:rFonts w:asciiTheme="minorHAnsi" w:eastAsiaTheme="minorEastAsia" w:hAnsiTheme="minorHAnsi" w:cstheme="minorBidi"/>
      <w:i/>
      <w:iCs/>
    </w:rPr>
  </w:style>
  <w:style w:type="paragraph" w:styleId="Heading9">
    <w:name w:val="heading 9"/>
    <w:basedOn w:val="Normal"/>
    <w:next w:val="Normal"/>
    <w:link w:val="Heading9Char"/>
    <w:uiPriority w:val="1"/>
    <w:qFormat/>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rFonts w:ascii="Times New Roman" w:hAnsi="Times New Roman" w:cs="Times New Roman" w:hint="default"/>
      <w:color w:val="0000FF"/>
      <w:u w:val="single"/>
    </w:rPr>
  </w:style>
  <w:style w:type="character" w:styleId="FollowedHyperlink">
    <w:name w:val="FollowedHyperlink"/>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1"/>
    <w:rsid w:val="00086DE3"/>
    <w:rPr>
      <w:b/>
      <w:color w:val="262626"/>
      <w:sz w:val="24"/>
      <w:szCs w:val="24"/>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link w:val="Heading4"/>
    <w:uiPriority w:val="1"/>
    <w:semiHidden/>
    <w:locked/>
    <w:rPr>
      <w:sz w:val="24"/>
      <w:lang w:val="x-none" w:eastAsia="x-none"/>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locked/>
    <w:rPr>
      <w:rFonts w:asciiTheme="minorHAnsi" w:eastAsiaTheme="minorEastAsia" w:hAnsiTheme="minorHAnsi" w:cstheme="minorBidi" w:hint="default"/>
      <w:i/>
      <w:iCs/>
      <w:sz w:val="24"/>
      <w:szCs w:val="24"/>
    </w:rPr>
  </w:style>
  <w:style w:type="character" w:customStyle="1" w:styleId="Heading9Char">
    <w:name w:val="Heading 9 Char"/>
    <w:basedOn w:val="DefaultParagraphFont"/>
    <w:link w:val="Heading9"/>
    <w:uiPriority w:val="1"/>
    <w:semiHidden/>
    <w:locked/>
    <w:rPr>
      <w:rFonts w:asciiTheme="majorHAnsi" w:eastAsiaTheme="majorEastAsia" w:hAnsiTheme="majorHAnsi" w:cstheme="majorBidi" w:hint="default"/>
      <w:sz w:val="22"/>
      <w:szCs w:val="22"/>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locked/>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link w:val="Footer"/>
    <w:uiPriority w:val="99"/>
    <w:locked/>
    <w:rPr>
      <w:lang w:val="en-US" w:eastAsia="en-US" w:bidi="ar-SA"/>
    </w:rPr>
  </w:style>
  <w:style w:type="paragraph" w:styleId="BodyText">
    <w:name w:val="Body Text"/>
    <w:basedOn w:val="Normal"/>
    <w:link w:val="BodyTextChar"/>
    <w:uiPriority w:val="99"/>
    <w:semiHidden/>
    <w:unhideWhenUsed/>
    <w:pPr>
      <w:jc w:val="both"/>
    </w:pPr>
  </w:style>
  <w:style w:type="character" w:customStyle="1" w:styleId="BodyTextChar">
    <w:name w:val="Body Text Char"/>
    <w:basedOn w:val="DefaultParagraphFont"/>
    <w:link w:val="BodyText"/>
    <w:uiPriority w:val="99"/>
    <w:semiHidden/>
  </w:style>
  <w:style w:type="paragraph" w:styleId="BodyTextIndent">
    <w:name w:val="Body Text Indent"/>
    <w:basedOn w:val="Normal"/>
    <w:link w:val="BodyTextIndentChar"/>
    <w:uiPriority w:val="99"/>
    <w:semiHidden/>
    <w:unhideWhenUsed/>
    <w:pPr>
      <w:ind w:left="1440" w:hanging="720"/>
      <w:jc w:val="both"/>
    </w:pPr>
    <w:rPr>
      <w:lang w:val="x-none" w:eastAsia="x-none"/>
    </w:rPr>
  </w:style>
  <w:style w:type="character" w:customStyle="1" w:styleId="BodyTextIndentChar">
    <w:name w:val="Body Text Indent Char"/>
    <w:link w:val="BodyTextIndent"/>
    <w:uiPriority w:val="99"/>
    <w:semiHidden/>
    <w:locked/>
    <w:rPr>
      <w:sz w:val="24"/>
    </w:rPr>
  </w:style>
  <w:style w:type="paragraph" w:styleId="BodyText2">
    <w:name w:val="Body Text 2"/>
    <w:basedOn w:val="Normal"/>
    <w:link w:val="BodyText2Char"/>
    <w:uiPriority w:val="99"/>
    <w:semiHidden/>
    <w:unhideWhenUsed/>
    <w:pPr>
      <w:spacing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Indent2">
    <w:name w:val="Body Text Indent 2"/>
    <w:basedOn w:val="Normal"/>
    <w:link w:val="BodyTextIndent2Char"/>
    <w:uiPriority w:val="99"/>
    <w:semiHidden/>
    <w:unhideWhenUsed/>
    <w:pPr>
      <w:ind w:left="2520" w:hanging="720"/>
      <w:jc w:val="both"/>
    </w:pPr>
  </w:style>
  <w:style w:type="character" w:customStyle="1" w:styleId="BodyTextIndent2Char">
    <w:name w:val="Body Text Indent 2 Char"/>
    <w:basedOn w:val="DefaultParagraphFont"/>
    <w:link w:val="BodyTextIndent2"/>
    <w:uiPriority w:val="99"/>
    <w:semiHidden/>
  </w:style>
  <w:style w:type="paragraph" w:styleId="BlockText">
    <w:name w:val="Block Text"/>
    <w:basedOn w:val="Normal"/>
    <w:uiPriority w:val="99"/>
    <w:semiHidden/>
    <w:unhideWhenUsed/>
    <w:pPr>
      <w:ind w:left="1440" w:right="-180" w:hanging="720"/>
    </w:pPr>
  </w:style>
  <w:style w:type="paragraph" w:styleId="CommentSubject">
    <w:name w:val="annotation subject"/>
    <w:basedOn w:val="CommentText"/>
    <w:next w:val="CommentText"/>
    <w:link w:val="CommentSubjectChar"/>
    <w:uiPriority w:val="99"/>
    <w:semiHidden/>
    <w:unhideWhenUsed/>
    <w:rPr>
      <w:b/>
      <w:bCs/>
      <w:lang w:val="x-none" w:eastAsia="x-none"/>
    </w:rPr>
  </w:style>
  <w:style w:type="character" w:customStyle="1" w:styleId="CommentSubjectChar">
    <w:name w:val="Comment Subject Char"/>
    <w:link w:val="CommentSubject"/>
    <w:uiPriority w:val="99"/>
    <w:semiHidden/>
    <w:locked/>
    <w:rPr>
      <w:b/>
      <w:bCs/>
    </w:rPr>
  </w:style>
  <w:style w:type="paragraph" w:styleId="BalloonText">
    <w:name w:val="Balloon Text"/>
    <w:basedOn w:val="Normal"/>
    <w:link w:val="BalloonTextChar"/>
    <w:uiPriority w:val="99"/>
    <w:semiHidden/>
    <w:unhideWhenUsed/>
    <w:rPr>
      <w:rFonts w:ascii="Tahoma" w:hAnsi="Tahoma"/>
      <w:sz w:val="16"/>
      <w:szCs w:val="16"/>
      <w:lang w:val="x-none" w:eastAsia="x-none"/>
    </w:rPr>
  </w:style>
  <w:style w:type="character" w:customStyle="1" w:styleId="BalloonTextChar">
    <w:name w:val="Balloon Text Char"/>
    <w:link w:val="BalloonText"/>
    <w:uiPriority w:val="99"/>
    <w:semiHidden/>
    <w:locked/>
    <w:rPr>
      <w:rFonts w:ascii="Tahoma" w:hAnsi="Tahoma" w:cs="Tahoma" w:hint="default"/>
      <w:sz w:val="16"/>
      <w:szCs w:val="16"/>
    </w:rPr>
  </w:style>
  <w:style w:type="paragraph" w:customStyle="1" w:styleId="Normal2">
    <w:name w:val="Normal 2"/>
    <w:basedOn w:val="Normal"/>
    <w:qFormat/>
    <w:pPr>
      <w:ind w:left="1440"/>
    </w:pPr>
  </w:style>
  <w:style w:type="paragraph" w:customStyle="1" w:styleId="Normal3">
    <w:name w:val="Normal 3"/>
    <w:basedOn w:val="Normal"/>
    <w:qFormat/>
    <w:pPr>
      <w:ind w:left="2160"/>
    </w:pPr>
  </w:style>
  <w:style w:type="paragraph" w:customStyle="1" w:styleId="Normal4">
    <w:name w:val="Normal 4"/>
    <w:basedOn w:val="Normal"/>
    <w:qFormat/>
    <w:pPr>
      <w:ind w:left="2880"/>
    </w:pPr>
  </w:style>
  <w:style w:type="paragraph" w:customStyle="1" w:styleId="msotablecolorfulshadingaccent10">
    <w:name w:val="msotablecolorfulshadingaccent1"/>
    <w:uiPriority w:val="99"/>
    <w:semiHidden/>
  </w:style>
  <w:style w:type="paragraph" w:customStyle="1" w:styleId="msotablecolorfullistaccent10">
    <w:name w:val="msotablecolorfullistaccent1"/>
    <w:basedOn w:val="Normal"/>
    <w:uiPriority w:val="34"/>
    <w:qFormat/>
    <w:pPr>
      <w:ind w:left="720"/>
      <w:contextualSpacing/>
    </w:pPr>
  </w:style>
  <w:style w:type="paragraph" w:customStyle="1" w:styleId="break">
    <w:name w:val="break"/>
    <w:basedOn w:val="Normal"/>
    <w:pPr>
      <w:pageBreakBefore/>
      <w:spacing w:before="100" w:beforeAutospacing="1" w:after="100" w:afterAutospacing="1"/>
      <w:outlineLvl w:val="9"/>
    </w:pPr>
    <w:rPr>
      <w:rFonts w:eastAsiaTheme="minorEastAsia"/>
    </w:rPr>
  </w:style>
  <w:style w:type="character" w:styleId="CommentReference">
    <w:name w:val="annotation reference"/>
    <w:uiPriority w:val="99"/>
    <w:semiHidden/>
    <w:unhideWhenUsed/>
    <w:rPr>
      <w:rFonts w:ascii="Times New Roman" w:hAnsi="Times New Roman" w:cs="Times New Roman" w:hint="default"/>
      <w:sz w:val="16"/>
      <w:szCs w:val="16"/>
    </w:rPr>
  </w:style>
  <w:style w:type="table" w:styleId="TableGrid">
    <w:name w:val="Table Grid"/>
    <w:basedOn w:val="TableNormal"/>
    <w:uiPriority w:val="39"/>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Pr>
      <w:rFonts w:ascii="Calibri" w:eastAsia="Calibri" w:hAnsi="Calibri"/>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bottom w:val="single" w:sz="8" w:space="0" w:color="000000"/>
        </w:tcBorders>
      </w:tcPr>
    </w:tblStylePr>
    <w:tblStylePr w:type="lastRow">
      <w:pPr>
        <w:spacing w:beforeLines="0" w:before="0" w:beforeAutospacing="0" w:afterLines="0" w:after="0" w:afterAutospacing="0" w:line="240" w:lineRule="auto"/>
      </w:pPr>
      <w:rPr>
        <w:b/>
        <w:bCs/>
      </w:rPr>
      <w:tblPr/>
      <w:tcPr>
        <w:tcBorders>
          <w:top w:val="single" w:sz="8" w:space="0" w:color="000000"/>
          <w:bottom w:val="single" w:sz="8" w:space="0" w:color="00000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paragraph" w:styleId="NormalWeb">
    <w:name w:val="Normal (Web)"/>
    <w:basedOn w:val="Normal"/>
    <w:uiPriority w:val="99"/>
    <w:unhideWhenUsed/>
    <w:pPr>
      <w:spacing w:before="100" w:beforeAutospacing="1" w:after="100" w:afterAutospacing="1"/>
      <w:outlineLvl w:val="9"/>
    </w:pPr>
    <w:rPr>
      <w:rFonts w:eastAsiaTheme="minorEastAsia"/>
    </w:rPr>
  </w:style>
  <w:style w:type="character" w:styleId="PageNumber">
    <w:name w:val="page number"/>
    <w:basedOn w:val="DefaultParagraphFont"/>
    <w:uiPriority w:val="99"/>
    <w:semiHidden/>
    <w:unhideWhenUsed/>
  </w:style>
  <w:style w:type="numbering" w:customStyle="1" w:styleId="Ravi">
    <w:name w:val="Ravi"/>
    <w:uiPriority w:val="99"/>
    <w:pPr>
      <w:numPr>
        <w:numId w:val="3"/>
      </w:numPr>
    </w:pPr>
  </w:style>
  <w:style w:type="paragraph" w:styleId="ListParagraph">
    <w:name w:val="List Paragraph"/>
    <w:basedOn w:val="Normal"/>
    <w:uiPriority w:val="34"/>
    <w:qFormat/>
    <w:rsid w:val="004B7B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23652">
      <w:marLeft w:val="0"/>
      <w:marRight w:val="0"/>
      <w:marTop w:val="0"/>
      <w:marBottom w:val="0"/>
      <w:divBdr>
        <w:top w:val="none" w:sz="0" w:space="0" w:color="auto"/>
        <w:left w:val="none" w:sz="0" w:space="0" w:color="auto"/>
        <w:bottom w:val="none" w:sz="0" w:space="0" w:color="auto"/>
        <w:right w:val="none" w:sz="0" w:space="0" w:color="auto"/>
      </w:divBdr>
    </w:div>
    <w:div w:id="417792263">
      <w:marLeft w:val="0"/>
      <w:marRight w:val="0"/>
      <w:marTop w:val="0"/>
      <w:marBottom w:val="0"/>
      <w:divBdr>
        <w:top w:val="none" w:sz="0" w:space="0" w:color="auto"/>
        <w:left w:val="none" w:sz="0" w:space="0" w:color="auto"/>
        <w:bottom w:val="none" w:sz="0" w:space="0" w:color="auto"/>
        <w:right w:val="none" w:sz="0" w:space="0" w:color="auto"/>
      </w:divBdr>
    </w:div>
    <w:div w:id="946891583">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BC839-48C5-4274-9810-51A8E5A20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IVC URS Report</vt:lpstr>
    </vt:vector>
  </TitlesOfParts>
  <Company/>
  <LinksUpToDate>false</LinksUpToDate>
  <CharactersWithSpaces>7759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IVC URS Report</dc:title>
  <dc:subject/>
  <dc:creator>Khaled Jundi</dc:creator>
  <cp:keywords/>
  <dc:description/>
  <cp:lastModifiedBy>Gary Chopcinski</cp:lastModifiedBy>
  <cp:revision>12</cp:revision>
  <cp:lastPrinted>2016-09-14T17:57:00Z</cp:lastPrinted>
  <dcterms:created xsi:type="dcterms:W3CDTF">2019-10-08T15:00:00Z</dcterms:created>
  <dcterms:modified xsi:type="dcterms:W3CDTF">2019-10-16T14:27:00Z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