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1" w:name="cedargrowth-organics"/>
    <w:p>
      <w:pPr>
        <w:pStyle w:val="Heading1"/>
      </w:pPr>
      <w:r>
        <w:t xml:space="preserve">CEDARGROWTH ORGANICS</w:t>
      </w:r>
    </w:p>
    <w:bookmarkStart w:id="21" w:name="X9ee34e0b2c6a4cc9b1cbfd228d828ebe3d5c674"/>
    <w:p>
      <w:pPr>
        <w:pStyle w:val="Heading2"/>
      </w:pPr>
      <w:r>
        <w:t xml:space="preserve">Claude Design Build Prompt: Corporate Website and Companion App</w:t>
      </w:r>
    </w:p>
    <w:bookmarkStart w:id="20" w:name="Xc90ef505838a2c45fe50b3cd83c81fb426d9a30"/>
    <w:p>
      <w:pPr>
        <w:pStyle w:val="Heading3"/>
      </w:pPr>
      <w:r>
        <w:t xml:space="preserve">Reference tone: aesop.com. Register: clinical, evidence-led, quiet.</w:t>
      </w:r>
    </w:p>
    <w:p>
      <w:pPr>
        <w:pStyle w:val="FirstParagraph"/>
      </w:pPr>
      <w:r>
        <w:t xml:space="preserve">Version 1.0 | July 27, 2026 | Source of truth: CedarGrowth Master Plan (DNA Integrated 2026, full)</w:t>
      </w:r>
    </w:p>
    <w:p>
      <w:r>
        <w:pict>
          <v:rect style="width:0;height:1.5pt" o:hralign="center" o:hrstd="t" o:hr="t"/>
        </w:pict>
      </w:r>
    </w:p>
    <w:bookmarkEnd w:id="20"/>
    <w:bookmarkEnd w:id="21"/>
    <w:bookmarkStart w:id="22" w:name="how-to-use-this-document"/>
    <w:p>
      <w:pPr>
        <w:pStyle w:val="Heading2"/>
      </w:pPr>
      <w:r>
        <w:t xml:space="preserve">0. HOW TO USE THIS DOCUMENT</w:t>
      </w:r>
    </w:p>
    <w:p>
      <w:pPr>
        <w:pStyle w:val="FirstParagraph"/>
      </w:pPr>
      <w:r>
        <w:t xml:space="preserve">This is a build prompt, not a brief. It is written to be pasted into Claude Design in phases (Section 13 gives the paste order). Sections 1 through 12 are the canon that every phase inherits. Do not summarize this document back before building: read it, then build Phase A.</w:t>
      </w:r>
    </w:p>
    <w:p>
      <w:pPr>
        <w:pStyle w:val="BodyText"/>
      </w:pPr>
      <w:r>
        <w:t xml:space="preserve">Three asset systems are in play and each has one job: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Job</w:t>
            </w:r>
          </w:p>
        </w:tc>
        <w:tc>
          <w:tcPr/>
          <w:p>
            <w:pPr>
              <w:pStyle w:val="Compact"/>
              <w:jc w:val="left"/>
            </w:pPr>
            <w:r>
              <w:t xml:space="preserve">Never</w:t>
            </w:r>
          </w:p>
        </w:tc>
      </w:tr>
      <w:tr>
        <w:tc>
          <w:tcPr/>
          <w:p>
            <w:pPr>
              <w:pStyle w:val="Compact"/>
              <w:jc w:val="left"/>
            </w:pPr>
            <w:r>
              <w:t xml:space="preserve">Figma</w:t>
            </w:r>
          </w:p>
        </w:tc>
        <w:tc>
          <w:tcPr/>
          <w:p>
            <w:pPr>
              <w:pStyle w:val="Compact"/>
              <w:jc w:val="left"/>
            </w:pPr>
            <w:r>
              <w:t xml:space="preserve">Design system source of truth: variables, styles, components, page frames, prototype flows</w:t>
            </w:r>
          </w:p>
        </w:tc>
        <w:tc>
          <w:tcPr/>
          <w:p>
            <w:pPr>
              <w:pStyle w:val="Compact"/>
              <w:jc w:val="left"/>
            </w:pPr>
            <w:r>
              <w:t xml:space="preserve">Final production markup</w:t>
            </w:r>
          </w:p>
        </w:tc>
      </w:tr>
      <w:tr>
        <w:tc>
          <w:tcPr/>
          <w:p>
            <w:pPr>
              <w:pStyle w:val="Compact"/>
              <w:jc w:val="left"/>
            </w:pPr>
            <w:r>
              <w:t xml:space="preserve">Framer</w:t>
            </w:r>
          </w:p>
        </w:tc>
        <w:tc>
          <w:tcPr/>
          <w:p>
            <w:pPr>
              <w:pStyle w:val="Compact"/>
              <w:jc w:val="left"/>
            </w:pPr>
            <w:r>
              <w:t xml:space="preserve">Production public marketing site, CMS-driven, published</w:t>
            </w:r>
          </w:p>
        </w:tc>
        <w:tc>
          <w:tcPr/>
          <w:p>
            <w:pPr>
              <w:pStyle w:val="Compact"/>
              <w:jc w:val="left"/>
            </w:pPr>
            <w:r>
              <w:t xml:space="preserve">The authenticated app, the wholesale portal internals, or COA data logic</w:t>
            </w:r>
          </w:p>
        </w:tc>
      </w:tr>
      <w:tr>
        <w:tc>
          <w:tcPr/>
          <w:p>
            <w:pPr>
              <w:pStyle w:val="Compact"/>
              <w:jc w:val="left"/>
            </w:pPr>
            <w:r>
              <w:t xml:space="preserve">21st.dev</w:t>
            </w:r>
          </w:p>
        </w:tc>
        <w:tc>
          <w:tcPr/>
          <w:p>
            <w:pPr>
              <w:pStyle w:val="Compact"/>
              <w:jc w:val="left"/>
            </w:pPr>
            <w:r>
              <w:t xml:space="preserve">Component harvesting for React and Tailwind patterns that Framer cannot express cleanly, and for the app shell</w:t>
            </w:r>
          </w:p>
        </w:tc>
        <w:tc>
          <w:tcPr/>
          <w:p>
            <w:pPr>
              <w:pStyle w:val="Compact"/>
              <w:jc w:val="left"/>
            </w:pPr>
            <w:r>
              <w:t xml:space="preserve">Used as-is. Every harvested component is stripped to CedarGrowth tokens before it enters the build</w:t>
            </w:r>
          </w:p>
        </w:tc>
      </w:tr>
    </w:tbl>
    <w:p>
      <w:r>
        <w:pict>
          <v:rect style="width:0;height:1.5pt" o:hralign="center" o:hrstd="t" o:hr="t"/>
        </w:pict>
      </w:r>
    </w:p>
    <w:bookmarkEnd w:id="22"/>
    <w:bookmarkStart w:id="23" w:name="the-one-line-brief"/>
    <w:p>
      <w:pPr>
        <w:pStyle w:val="Heading2"/>
      </w:pPr>
      <w:r>
        <w:t xml:space="preserve">1. THE ONE-LINE BRIEF</w:t>
      </w:r>
    </w:p>
    <w:p>
      <w:pPr>
        <w:pStyle w:val="FirstParagraph"/>
      </w:pPr>
      <w:r>
        <w:t xml:space="preserve">Build the digital home of a solventless cannabis wellness manufacturer that behaves like a research institute and looks like an apothecary.</w:t>
      </w:r>
    </w:p>
    <w:p>
      <w:pPr>
        <w:pStyle w:val="BodyText"/>
      </w:pPr>
      <w:r>
        <w:t xml:space="preserve">CedarGrowth Organics Solutions LLC is a NYSOCM-licensed processor in Buffalo, New York producing live rosin vapes, infused pre-rolls, and gummies from 100 percent dried sugar trim through ice water hash and rosin extraction. It is not a cannabis brand that promotes wellness. It is a wellness company that produces cannabis, organized around five effect-based product lines (REST, RELIEF, FOCUS, CALM, RESTORE) and a 13-trait Cannabis DNA Test that matches a person to a format, a ratio, and a protocol.</w:t>
      </w:r>
    </w:p>
    <w:p>
      <w:pPr>
        <w:pStyle w:val="BodyText"/>
      </w:pPr>
      <w:r>
        <w:t xml:space="preserve">The site must make a skeptical, health-literate adult think: these people are serious, and they show their work.</w:t>
      </w:r>
    </w:p>
    <w:p>
      <w:r>
        <w:pict>
          <v:rect style="width:0;height:1.5pt" o:hralign="center" o:hrstd="t" o:hr="t"/>
        </w:pict>
      </w:r>
    </w:p>
    <w:bookmarkEnd w:id="23"/>
    <w:bookmarkStart w:id="28" w:name="Xe10dfb680f66311aa52d366da1647b79ab1abe6"/>
    <w:p>
      <w:pPr>
        <w:pStyle w:val="Heading2"/>
      </w:pPr>
      <w:r>
        <w:t xml:space="preserve">2. TONE: WHAT WE ARE TAKING FROM AESOP, AND WHERE WE DEPART</w:t>
      </w:r>
    </w:p>
    <w:bookmarkStart w:id="24" w:name="Xa4cd636420a545655752ad1d479912d0e2aa22f"/>
    <w:p>
      <w:pPr>
        <w:pStyle w:val="Heading3"/>
      </w:pPr>
      <w:r>
        <w:t xml:space="preserve">2.1 What to take (study aesop.com before building)</w:t>
      </w:r>
    </w:p>
    <w:p>
      <w:pPr>
        <w:numPr>
          <w:ilvl w:val="0"/>
          <w:numId w:val="1001"/>
        </w:numPr>
        <w:pStyle w:val="Compact"/>
      </w:pPr>
      <w:r>
        <w:rPr>
          <w:bCs/>
          <w:b/>
        </w:rPr>
        <w:t xml:space="preserve">Restraint as a signal of quality.</w:t>
      </w:r>
      <w:r>
        <w:t xml:space="preserve"> </w:t>
      </w:r>
      <w:r>
        <w:t xml:space="preserve">One idea per screen. Enormous negative space. Nothing competes for attention.</w:t>
      </w:r>
    </w:p>
    <w:p>
      <w:pPr>
        <w:numPr>
          <w:ilvl w:val="0"/>
          <w:numId w:val="1001"/>
        </w:numPr>
        <w:pStyle w:val="Compact"/>
      </w:pPr>
      <w:r>
        <w:rPr>
          <w:bCs/>
          <w:b/>
        </w:rPr>
        <w:t xml:space="preserve">Ingredient-first cinematography.</w:t>
      </w:r>
      <w:r>
        <w:t xml:space="preserve"> </w:t>
      </w:r>
      <w:r>
        <w:t xml:space="preserve">Full-bleed macro photography of raw material, shallow depth of field, one soft directional light. Aesop leads with coriander seed, not with a bottle. CedarGrowth leads with cured trim, ice, resin, and pressure plates, not with a vape pen.</w:t>
      </w:r>
    </w:p>
    <w:p>
      <w:pPr>
        <w:numPr>
          <w:ilvl w:val="0"/>
          <w:numId w:val="1001"/>
        </w:numPr>
        <w:pStyle w:val="Compact"/>
      </w:pPr>
      <w:r>
        <w:rPr>
          <w:bCs/>
          <w:b/>
        </w:rPr>
        <w:t xml:space="preserve">The eyebrow and the statement.</w:t>
      </w:r>
      <w:r>
        <w:t xml:space="preserve"> </w:t>
      </w:r>
      <w:r>
        <w:t xml:space="preserve">A small centered label (</w:t>
      </w:r>
      <w:r>
        <w:t xml:space="preserve">“</w:t>
      </w:r>
      <w:r>
        <w:t xml:space="preserve">Introducing</w:t>
      </w:r>
      <w:r>
        <w:t xml:space="preserve">”</w:t>
      </w:r>
      <w:r>
        <w:t xml:space="preserve">,</w:t>
      </w:r>
      <w:r>
        <w:t xml:space="preserve"> </w:t>
      </w:r>
      <w:r>
        <w:t xml:space="preserve">“</w:t>
      </w:r>
      <w:r>
        <w:t xml:space="preserve">A sensory juxtaposition</w:t>
      </w:r>
      <w:r>
        <w:t xml:space="preserve">”</w:t>
      </w:r>
      <w:r>
        <w:t xml:space="preserve">,</w:t>
      </w:r>
      <w:r>
        <w:t xml:space="preserve"> </w:t>
      </w:r>
      <w:r>
        <w:t xml:space="preserve">“</w:t>
      </w:r>
      <w:r>
        <w:t xml:space="preserve">New addition</w:t>
      </w:r>
      <w:r>
        <w:t xml:space="preserve">”</w:t>
      </w:r>
      <w:r>
        <w:t xml:space="preserve">), then a large, quiet, sentence-case headline punctuated with periods, then one line of plain explanation. Never a slogan, never an exclamation mark.</w:t>
      </w:r>
    </w:p>
    <w:p>
      <w:pPr>
        <w:numPr>
          <w:ilvl w:val="0"/>
          <w:numId w:val="1001"/>
        </w:numPr>
        <w:pStyle w:val="Compact"/>
      </w:pPr>
      <w:r>
        <w:rPr>
          <w:bCs/>
          <w:b/>
        </w:rPr>
        <w:t xml:space="preserve">Literary product copy.</w:t>
      </w:r>
      <w:r>
        <w:t xml:space="preserve"> </w:t>
      </w:r>
      <w:r>
        <w:t xml:space="preserve">“</w:t>
      </w:r>
      <w:r>
        <w:t xml:space="preserve">A trio of fresh, green, citrus formulations.</w:t>
      </w:r>
      <w:r>
        <w:t xml:space="preserve">”</w:t>
      </w:r>
      <w:r>
        <w:t xml:space="preserve"> </w:t>
      </w:r>
      <w:r>
        <w:t xml:space="preserve">Nine words that describe rather than sell.</w:t>
      </w:r>
    </w:p>
    <w:p>
      <w:pPr>
        <w:numPr>
          <w:ilvl w:val="0"/>
          <w:numId w:val="1001"/>
        </w:numPr>
        <w:pStyle w:val="Compact"/>
      </w:pPr>
      <w:r>
        <w:rPr>
          <w:bCs/>
          <w:b/>
        </w:rPr>
        <w:t xml:space="preserve">Hairline architecture.</w:t>
      </w:r>
      <w:r>
        <w:t xml:space="preserve"> </w:t>
      </w:r>
      <w:r>
        <w:t xml:space="preserve">1px borders, square corners, no shadows, no gradients, no glass, no glow. Buttons are outlined rectangles with a label and a thin right arrow, or full-width solid rectangles in near-black.</w:t>
      </w:r>
    </w:p>
    <w:p>
      <w:pPr>
        <w:numPr>
          <w:ilvl w:val="0"/>
          <w:numId w:val="1001"/>
        </w:numPr>
        <w:pStyle w:val="Compact"/>
      </w:pPr>
      <w:r>
        <w:rPr>
          <w:bCs/>
          <w:b/>
        </w:rPr>
        <w:t xml:space="preserve">Utility humility.</w:t>
      </w:r>
      <w:r>
        <w:t xml:space="preserve"> </w:t>
      </w:r>
      <w:r>
        <w:t xml:space="preserve">Navigation is a single centered row of plain words with wide spacing. Cart, account, and search sit at the edges in the same weight as everything else. No badges, no color, no bounce.</w:t>
      </w:r>
    </w:p>
    <w:p>
      <w:pPr>
        <w:numPr>
          <w:ilvl w:val="0"/>
          <w:numId w:val="1001"/>
        </w:numPr>
        <w:pStyle w:val="Compact"/>
      </w:pPr>
      <w:r>
        <w:rPr>
          <w:bCs/>
          <w:b/>
        </w:rPr>
        <w:t xml:space="preserve">Prices stated, not shouted.</w:t>
      </w:r>
      <w:r>
        <w:t xml:space="preserve"> </w:t>
      </w:r>
      <w:r>
        <w:t xml:space="preserve">Plain numerals, no strikethroughs, no urgency, no countdowns.</w:t>
      </w:r>
    </w:p>
    <w:p>
      <w:pPr>
        <w:numPr>
          <w:ilvl w:val="0"/>
          <w:numId w:val="1001"/>
        </w:numPr>
        <w:pStyle w:val="Compact"/>
      </w:pPr>
      <w:r>
        <w:rPr>
          <w:bCs/>
          <w:b/>
        </w:rPr>
        <w:t xml:space="preserve">The announcement bar.</w:t>
      </w:r>
      <w:r>
        <w:t xml:space="preserve"> </w:t>
      </w:r>
      <w:r>
        <w:t xml:space="preserve">One centered sentence on a dark band. Used for one message, never rotated.</w:t>
      </w:r>
    </w:p>
    <w:bookmarkEnd w:id="24"/>
    <w:bookmarkStart w:id="25" w:name="X71ffde0887010808106601be8f9fe53c458e484"/>
    <w:p>
      <w:pPr>
        <w:pStyle w:val="Heading3"/>
      </w:pPr>
      <w:r>
        <w:t xml:space="preserve">2.2 Where CedarGrowth departs (this is the ask: more medical and research based)</w:t>
      </w:r>
    </w:p>
    <w:p>
      <w:pPr>
        <w:pStyle w:val="FirstParagraph"/>
      </w:pPr>
      <w:r>
        <w:t xml:space="preserve">Aesop is sensorial. CedarGrowth is sensorial plus evidential. The departure is a second visual layer that Aesop does not have:</w:t>
      </w:r>
      <w:r>
        <w:t xml:space="preserve"> </w:t>
      </w:r>
      <w:r>
        <w:rPr>
          <w:bCs/>
          <w:b/>
        </w:rPr>
        <w:t xml:space="preserve">the data layer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Aesop layer</w:t>
            </w:r>
          </w:p>
        </w:tc>
        <w:tc>
          <w:tcPr/>
          <w:p>
            <w:pPr>
              <w:pStyle w:val="Compact"/>
              <w:jc w:val="left"/>
            </w:pPr>
            <w:r>
              <w:t xml:space="preserve">CedarGrowth addition</w:t>
            </w:r>
          </w:p>
        </w:tc>
      </w:tr>
      <w:tr>
        <w:tc>
          <w:tcPr/>
          <w:p>
            <w:pPr>
              <w:pStyle w:val="Compact"/>
              <w:jc w:val="left"/>
            </w:pPr>
            <w:r>
              <w:t xml:space="preserve">Ingredient poetry</w:t>
            </w:r>
          </w:p>
        </w:tc>
        <w:tc>
          <w:tcPr/>
          <w:p>
            <w:pPr>
              <w:pStyle w:val="Compact"/>
              <w:jc w:val="left"/>
            </w:pPr>
            <w:r>
              <w:t xml:space="preserve">A monospaced specimen line under it: batch ID, harvest, cultivar, terpene dominance, test date</w:t>
            </w:r>
          </w:p>
        </w:tc>
      </w:tr>
      <w:tr>
        <w:tc>
          <w:tcPr/>
          <w:p>
            <w:pPr>
              <w:pStyle w:val="Compact"/>
              <w:jc w:val="left"/>
            </w:pPr>
            <w:r>
              <w:t xml:space="preserve">“</w:t>
            </w:r>
            <w:r>
              <w:t xml:space="preserve">Formulated with</w:t>
            </w:r>
            <w:r>
              <w:t xml:space="preserve">”</w:t>
            </w:r>
            <w:r>
              <w:t xml:space="preserve"> </w:t>
            </w:r>
            <w:r>
              <w:t xml:space="preserve">copy</w:t>
            </w:r>
          </w:p>
        </w:tc>
        <w:tc>
          <w:tcPr/>
          <w:p>
            <w:pPr>
              <w:pStyle w:val="Compact"/>
              <w:jc w:val="left"/>
            </w:pPr>
            <w:r>
              <w:t xml:space="preserve">A published Certificate of Analysis panel with real numbers, tabular figures, and a pass indicator</w:t>
            </w:r>
          </w:p>
        </w:tc>
      </w:tr>
      <w:tr>
        <w:tc>
          <w:tcPr/>
          <w:p>
            <w:pPr>
              <w:pStyle w:val="Compact"/>
              <w:jc w:val="left"/>
            </w:pPr>
            <w:r>
              <w:t xml:space="preserve">Fragrance families</w:t>
            </w:r>
          </w:p>
        </w:tc>
        <w:tc>
          <w:tcPr/>
          <w:p>
            <w:pPr>
              <w:pStyle w:val="Compact"/>
              <w:jc w:val="left"/>
            </w:pPr>
            <w:r>
              <w:t xml:space="preserve">Five wellness lines, each anchored to named terpenes and to the genetic traits that drive selection</w:t>
            </w:r>
          </w:p>
        </w:tc>
      </w:tr>
      <w:tr>
        <w:tc>
          <w:tcPr/>
          <w:p>
            <w:pPr>
              <w:pStyle w:val="Compact"/>
              <w:jc w:val="left"/>
            </w:pPr>
            <w:r>
              <w:t xml:space="preserve">Editorial</w:t>
            </w:r>
            <w:r>
              <w:t xml:space="preserve"> </w:t>
            </w:r>
            <w:r>
              <w:t xml:space="preserve">“</w:t>
            </w:r>
            <w:r>
              <w:t xml:space="preserve">Library</w:t>
            </w:r>
            <w:r>
              <w:t xml:space="preserve">”</w:t>
            </w:r>
          </w:p>
        </w:tc>
        <w:tc>
          <w:tcPr/>
          <w:p>
            <w:pPr>
              <w:pStyle w:val="Compact"/>
              <w:jc w:val="left"/>
            </w:pPr>
            <w:r>
              <w:t xml:space="preserve">A Research library with method notes, an endocannabinoid primer, a terpene index, and numbered citations</w:t>
            </w:r>
          </w:p>
        </w:tc>
      </w:tr>
      <w:tr>
        <w:tc>
          <w:tcPr/>
          <w:p>
            <w:pPr>
              <w:pStyle w:val="Compact"/>
              <w:jc w:val="left"/>
            </w:pPr>
            <w:r>
              <w:t xml:space="preserve">Product page</w:t>
            </w:r>
          </w:p>
        </w:tc>
        <w:tc>
          <w:tcPr/>
          <w:p>
            <w:pPr>
              <w:pStyle w:val="Compact"/>
              <w:jc w:val="left"/>
            </w:pPr>
            <w:r>
              <w:t xml:space="preserve">Product page plus Method page, written like a protocol: input, process, yield, verification</w:t>
            </w:r>
          </w:p>
        </w:tc>
      </w:tr>
    </w:tbl>
    <w:p>
      <w:pPr>
        <w:pStyle w:val="BodyText"/>
      </w:pPr>
      <w:r>
        <w:t xml:space="preserve">The rule for the data layer: it must look like it was set by a laboratory, not decorated by a marketer. Tabular numerals, hairline rules, generous row height, monospace for identifiers, no color except a single pass or attention state.</w:t>
      </w:r>
    </w:p>
    <w:bookmarkEnd w:id="25"/>
    <w:bookmarkStart w:id="26" w:name="the-bond-delta-explicit"/>
    <w:p>
      <w:pPr>
        <w:pStyle w:val="Heading3"/>
      </w:pPr>
      <w:r>
        <w:t xml:space="preserve">2.3 The Bond delta (explicit)</w:t>
      </w:r>
    </w:p>
    <w:p>
      <w:pPr>
        <w:pStyle w:val="FirstParagraph"/>
      </w:pPr>
      <w:r>
        <w:t xml:space="preserve">The Bond Vapes site is nocturnal, cinematic, luxurious, video-led, and seductive. CedarGrowth is the opposite temperature: daylight, paper, air, and evidence. Where Bond uses candlelit red velvet and motion, CedarGrowth uses bone paper, still photography, and whitespace. Where Bond says</w:t>
      </w:r>
      <w:r>
        <w:t xml:space="preserve"> </w:t>
      </w:r>
      <w:r>
        <w:t xml:space="preserve">“</w:t>
      </w:r>
      <w:r>
        <w:t xml:space="preserve">Bond with your highest self</w:t>
      </w:r>
      <w:r>
        <w:t xml:space="preserve">”</w:t>
      </w:r>
      <w:r>
        <w:t xml:space="preserve">, CedarGrowth says</w:t>
      </w:r>
      <w:r>
        <w:t xml:space="preserve"> </w:t>
      </w:r>
      <w:r>
        <w:t xml:space="preserve">“</w:t>
      </w:r>
      <w:r>
        <w:t xml:space="preserve">Thirteen traits. One protocol.</w:t>
      </w:r>
      <w:r>
        <w:t xml:space="preserve">”</w:t>
      </w:r>
      <w:r>
        <w:t xml:space="preserve"> </w:t>
      </w:r>
      <w:r>
        <w:t xml:space="preserve">Nothing from the Bond token set, type set, or motion language crosses into this build.</w:t>
      </w:r>
    </w:p>
    <w:bookmarkEnd w:id="26"/>
    <w:bookmarkStart w:id="27" w:name="voice-rules"/>
    <w:p>
      <w:pPr>
        <w:pStyle w:val="Heading3"/>
      </w:pPr>
      <w:r>
        <w:t xml:space="preserve">2.4 Voice rules</w:t>
      </w:r>
    </w:p>
    <w:p>
      <w:pPr>
        <w:numPr>
          <w:ilvl w:val="0"/>
          <w:numId w:val="1002"/>
        </w:numPr>
        <w:pStyle w:val="Compact"/>
      </w:pPr>
      <w:r>
        <w:t xml:space="preserve">Second person, sparing. Present tense. Declarative.</w:t>
      </w:r>
    </w:p>
    <w:p>
      <w:pPr>
        <w:numPr>
          <w:ilvl w:val="0"/>
          <w:numId w:val="1002"/>
        </w:numPr>
        <w:pStyle w:val="Compact"/>
      </w:pPr>
      <w:r>
        <w:t xml:space="preserve">No cannabis slang, no strain-culture references, no potency bragging, no THC percentages in headline positions.</w:t>
      </w:r>
    </w:p>
    <w:p>
      <w:pPr>
        <w:numPr>
          <w:ilvl w:val="0"/>
          <w:numId w:val="1002"/>
        </w:numPr>
        <w:pStyle w:val="Compact"/>
      </w:pPr>
      <w:r>
        <w:t xml:space="preserve">No exclamation marks. No rhetorical questions. No</w:t>
      </w:r>
      <w:r>
        <w:t xml:space="preserve"> </w:t>
      </w:r>
      <w:r>
        <w:t xml:space="preserve">“</w:t>
      </w:r>
      <w:r>
        <w:t xml:space="preserve">unlock</w:t>
      </w:r>
      <w:r>
        <w:t xml:space="preserve">”</w:t>
      </w:r>
      <w:r>
        <w:t xml:space="preserve">,</w:t>
      </w:r>
      <w:r>
        <w:t xml:space="preserve"> </w:t>
      </w:r>
      <w:r>
        <w:t xml:space="preserve">“</w:t>
      </w:r>
      <w:r>
        <w:t xml:space="preserve">elevate</w:t>
      </w:r>
      <w:r>
        <w:t xml:space="preserve">”</w:t>
      </w:r>
      <w:r>
        <w:t xml:space="preserve">,</w:t>
      </w:r>
      <w:r>
        <w:t xml:space="preserve"> </w:t>
      </w:r>
      <w:r>
        <w:t xml:space="preserve">“</w:t>
      </w:r>
      <w:r>
        <w:t xml:space="preserve">journey</w:t>
      </w:r>
      <w:r>
        <w:t xml:space="preserve">”</w:t>
      </w:r>
      <w:r>
        <w:t xml:space="preserve">,</w:t>
      </w:r>
      <w:r>
        <w:t xml:space="preserve"> </w:t>
      </w:r>
      <w:r>
        <w:t xml:space="preserve">“</w:t>
      </w:r>
      <w:r>
        <w:t xml:space="preserve">game-changing</w:t>
      </w:r>
      <w:r>
        <w:t xml:space="preserve">”</w:t>
      </w:r>
      <w:r>
        <w:t xml:space="preserve">.</w:t>
      </w:r>
    </w:p>
    <w:p>
      <w:pPr>
        <w:numPr>
          <w:ilvl w:val="0"/>
          <w:numId w:val="1002"/>
        </w:numPr>
        <w:pStyle w:val="Compact"/>
      </w:pPr>
      <w:r>
        <w:t xml:space="preserve">Numbers are specific or absent.</w:t>
      </w:r>
      <w:r>
        <w:t xml:space="preserve"> </w:t>
      </w:r>
      <w:r>
        <w:t xml:space="preserve">“</w:t>
      </w:r>
      <w:r>
        <w:t xml:space="preserve">10 percent rosin yield</w:t>
      </w:r>
      <w:r>
        <w:t xml:space="preserve">”</w:t>
      </w:r>
      <w:r>
        <w:t xml:space="preserve"> </w:t>
      </w:r>
      <w:r>
        <w:t xml:space="preserve">is allowed.</w:t>
      </w:r>
      <w:r>
        <w:t xml:space="preserve"> </w:t>
      </w:r>
      <w:r>
        <w:t xml:space="preserve">“</w:t>
      </w:r>
      <w:r>
        <w:t xml:space="preserve">The highest quality</w:t>
      </w:r>
      <w:r>
        <w:t xml:space="preserve">”</w:t>
      </w:r>
      <w:r>
        <w:t xml:space="preserve"> </w:t>
      </w:r>
      <w:r>
        <w:t xml:space="preserve">is not.</w:t>
      </w:r>
    </w:p>
    <w:p>
      <w:pPr>
        <w:numPr>
          <w:ilvl w:val="0"/>
          <w:numId w:val="1002"/>
        </w:numPr>
        <w:pStyle w:val="Compact"/>
      </w:pPr>
      <w:r>
        <w:t xml:space="preserve">Never make a medical claim. Describe formulation and intent, not treatment or outcome. See Section 9.</w:t>
      </w:r>
    </w:p>
    <w:p>
      <w:r>
        <w:pict>
          <v:rect style="width:0;height:1.5pt" o:hralign="center" o:hrstd="t" o:hr="t"/>
        </w:pict>
      </w:r>
    </w:p>
    <w:bookmarkEnd w:id="27"/>
    <w:bookmarkEnd w:id="28"/>
    <w:bookmarkStart w:id="29" w:name="non-negotiable-rails"/>
    <w:p>
      <w:pPr>
        <w:pStyle w:val="Heading2"/>
      </w:pPr>
      <w:r>
        <w:t xml:space="preserve">3. NON-NEGOTIABLE RAILS</w:t>
      </w:r>
    </w:p>
    <w:p>
      <w:pPr>
        <w:pStyle w:val="FirstParagraph"/>
      </w:pPr>
      <w:r>
        <w:t xml:space="preserve">These apply to every phase, every file, every artboard, every line of copy.</w:t>
      </w:r>
    </w:p>
    <w:p>
      <w:pPr>
        <w:numPr>
          <w:ilvl w:val="0"/>
          <w:numId w:val="1003"/>
        </w:numPr>
        <w:pStyle w:val="Compact"/>
      </w:pPr>
      <w:r>
        <w:rPr>
          <w:bCs/>
          <w:b/>
        </w:rPr>
        <w:t xml:space="preserve">No em-dashes (U+2014) and no en-dashes (U+2013)</w:t>
      </w:r>
      <w:r>
        <w:t xml:space="preserve"> </w:t>
      </w:r>
      <w:r>
        <w:t xml:space="preserve">anywhere: copy, code, comments, CMS entries, alt text, or metadata. Use commas, colons, parentheses, or a restructured sentence. Hyphens inside compound words are fine.</w:t>
      </w:r>
    </w:p>
    <w:p>
      <w:pPr>
        <w:numPr>
          <w:ilvl w:val="0"/>
          <w:numId w:val="1003"/>
        </w:numPr>
        <w:pStyle w:val="Compact"/>
      </w:pPr>
      <w:r>
        <w:rPr>
          <w:bCs/>
          <w:b/>
        </w:rPr>
        <w:t xml:space="preserve">Lucide React icons only, strokeWidth 1.5, no fills.</w:t>
      </w:r>
      <w:r>
        <w:t xml:space="preserve"> </w:t>
      </w:r>
      <w:r>
        <w:t xml:space="preserve">Icon set is limited to roughly 20 glyphs across the whole product.</w:t>
      </w:r>
    </w:p>
    <w:p>
      <w:pPr>
        <w:numPr>
          <w:ilvl w:val="0"/>
          <w:numId w:val="1003"/>
        </w:numPr>
        <w:pStyle w:val="Compact"/>
      </w:pPr>
      <w:r>
        <w:rPr>
          <w:bCs/>
          <w:b/>
        </w:rPr>
        <w:t xml:space="preserve">Square geometry.</w:t>
      </w:r>
      <w:r>
        <w:t xml:space="preserve"> </w:t>
      </w:r>
      <w:r>
        <w:t xml:space="preserve">Border radius 0 for buttons, cards, inputs, and images. A 2px radius is permitted only on status chips in the data layer.</w:t>
      </w:r>
    </w:p>
    <w:p>
      <w:pPr>
        <w:numPr>
          <w:ilvl w:val="0"/>
          <w:numId w:val="1003"/>
        </w:numPr>
        <w:pStyle w:val="Compact"/>
      </w:pPr>
      <w:r>
        <w:rPr>
          <w:bCs/>
          <w:b/>
        </w:rPr>
        <w:t xml:space="preserve">No shadows, no gradients, no blur, no glassmorphism, no neon.</w:t>
      </w:r>
      <w:r>
        <w:t xml:space="preserve"> </w:t>
      </w:r>
      <w:r>
        <w:t xml:space="preserve">Depth is created by hairlines, tone, and space.</w:t>
      </w:r>
    </w:p>
    <w:p>
      <w:pPr>
        <w:numPr>
          <w:ilvl w:val="0"/>
          <w:numId w:val="1003"/>
        </w:numPr>
        <w:pStyle w:val="Compact"/>
      </w:pPr>
      <w:r>
        <w:rPr>
          <w:bCs/>
          <w:b/>
        </w:rPr>
        <w:t xml:space="preserve">Desktop and mobile designed in synchronism.</w:t>
      </w:r>
      <w:r>
        <w:t xml:space="preserve"> </w:t>
      </w:r>
      <w:r>
        <w:t xml:space="preserve">Every component and page frame is produced at 1440 and 390 in the same pass. Responsive Tailwind from the first line, never retrofitted.</w:t>
      </w:r>
    </w:p>
    <w:p>
      <w:pPr>
        <w:numPr>
          <w:ilvl w:val="0"/>
          <w:numId w:val="1003"/>
        </w:numPr>
        <w:pStyle w:val="Compact"/>
      </w:pPr>
      <w:r>
        <w:rPr>
          <w:bCs/>
          <w:b/>
        </w:rPr>
        <w:t xml:space="preserve">Accessibility is a gate, not a polish step.</w:t>
      </w:r>
      <w:r>
        <w:t xml:space="preserve"> </w:t>
      </w:r>
      <w:r>
        <w:t xml:space="preserve">WCAG 2.2 AA minimum: 4.5:1 body contrast, visible focus rings on every interactive element, full keyboard operation, prefers-reduced-motion honored, alt text on all imagery, semantic headings in order.</w:t>
      </w:r>
    </w:p>
    <w:p>
      <w:pPr>
        <w:numPr>
          <w:ilvl w:val="0"/>
          <w:numId w:val="1003"/>
        </w:numPr>
        <w:pStyle w:val="Compact"/>
      </w:pPr>
      <w:r>
        <w:rPr>
          <w:bCs/>
          <w:b/>
        </w:rPr>
        <w:t xml:space="preserve">21+ compliance is structural</w:t>
      </w:r>
      <w:r>
        <w:t xml:space="preserve">, not a modal afterthought. See Section 9.</w:t>
      </w:r>
    </w:p>
    <w:p>
      <w:pPr>
        <w:numPr>
          <w:ilvl w:val="0"/>
          <w:numId w:val="1003"/>
        </w:numPr>
        <w:pStyle w:val="Compact"/>
      </w:pPr>
      <w:r>
        <w:rPr>
          <w:bCs/>
          <w:b/>
        </w:rPr>
        <w:t xml:space="preserve">Never present unverified values as data.</w:t>
      </w:r>
      <w:r>
        <w:t xml:space="preserve"> </w:t>
      </w:r>
      <w:r>
        <w:t xml:space="preserve">If a COA figure, batch number, or lab result is not available, render the field as UNKNOWN with a caption explaining why. Never render a placeholder number, never render zero, never invent a citation.</w:t>
      </w:r>
    </w:p>
    <w:p>
      <w:pPr>
        <w:numPr>
          <w:ilvl w:val="0"/>
          <w:numId w:val="1003"/>
        </w:numPr>
        <w:pStyle w:val="Compact"/>
      </w:pPr>
      <w:r>
        <w:rPr>
          <w:bCs/>
          <w:b/>
        </w:rPr>
        <w:t xml:space="preserve">Performance budget.</w:t>
      </w:r>
      <w:r>
        <w:t xml:space="preserve"> </w:t>
      </w:r>
      <w:r>
        <w:t xml:space="preserve">Largest Contentful Paint under 2.0s on 4G, total page weight under 1.6MB on the heaviest page, hero imagery served as AVIF with WebP fallback, no autoplay video above 4MB.</w:t>
      </w:r>
    </w:p>
    <w:p>
      <w:pPr>
        <w:numPr>
          <w:ilvl w:val="0"/>
          <w:numId w:val="1003"/>
        </w:numPr>
        <w:pStyle w:val="Compact"/>
      </w:pPr>
      <w:r>
        <w:rPr>
          <w:bCs/>
          <w:b/>
        </w:rPr>
        <w:t xml:space="preserve">One accent, used rarely.</w:t>
      </w:r>
      <w:r>
        <w:t xml:space="preserve"> </w:t>
      </w:r>
      <w:r>
        <w:t xml:space="preserve">If the Cedar accent appears more than four times on a screen, it is being used as decoration and must be removed.</w:t>
      </w:r>
    </w:p>
    <w:p>
      <w:r>
        <w:pict>
          <v:rect style="width:0;height:1.5pt" o:hralign="center" o:hrstd="t" o:hr="t"/>
        </w:pict>
      </w:r>
    </w:p>
    <w:bookmarkEnd w:id="29"/>
    <w:bookmarkStart w:id="36" w:name="design-system"/>
    <w:p>
      <w:pPr>
        <w:pStyle w:val="Heading2"/>
      </w:pPr>
      <w:r>
        <w:t xml:space="preserve">4. DESIGN SYSTEM</w:t>
      </w:r>
    </w:p>
    <w:bookmarkStart w:id="30" w:name="color-tokens"/>
    <w:p>
      <w:pPr>
        <w:pStyle w:val="Heading3"/>
      </w:pPr>
      <w:r>
        <w:t xml:space="preserve">4.1 Color tokens</w:t>
      </w:r>
    </w:p>
    <w:p>
      <w:pPr>
        <w:pStyle w:val="FirstParagraph"/>
      </w:pPr>
      <w:r>
        <w:t xml:space="preserve">Semantic names are canonical. Build these as Figma variables and as Tailwind theme extensions with identical names.</w:t>
      </w:r>
    </w:p>
    <w:p>
      <w:pPr>
        <w:pStyle w:val="BodyText"/>
      </w:pPr>
      <w:r>
        <w:rPr>
          <w:bCs/>
          <w:b/>
        </w:rPr>
        <w:t xml:space="preserve">Surface and ink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Use</w:t>
            </w:r>
          </w:p>
        </w:tc>
      </w:tr>
      <w:tr>
        <w:tc>
          <w:tcPr/>
          <w:p>
            <w:pPr>
              <w:pStyle w:val="Compact"/>
              <w:jc w:val="left"/>
            </w:pPr>
            <w:r>
              <w:rPr>
                <w:rStyle w:val="VerbatimChar"/>
              </w:rPr>
              <w:t xml:space="preserve">surface/parchment</w:t>
            </w:r>
          </w:p>
        </w:tc>
        <w:tc>
          <w:tcPr/>
          <w:p>
            <w:pPr>
              <w:pStyle w:val="Compact"/>
              <w:jc w:val="left"/>
            </w:pPr>
            <w:r>
              <w:t xml:space="preserve">#F3EEE7</w:t>
            </w:r>
          </w:p>
        </w:tc>
        <w:tc>
          <w:tcPr/>
          <w:p>
            <w:pPr>
              <w:pStyle w:val="Compact"/>
              <w:jc w:val="left"/>
            </w:pPr>
            <w:r>
              <w:t xml:space="preserve">Default page background</w:t>
            </w:r>
          </w:p>
        </w:tc>
      </w:tr>
      <w:tr>
        <w:tc>
          <w:tcPr/>
          <w:p>
            <w:pPr>
              <w:pStyle w:val="Compact"/>
              <w:jc w:val="left"/>
            </w:pPr>
            <w:r>
              <w:rPr>
                <w:rStyle w:val="VerbatimChar"/>
              </w:rPr>
              <w:t xml:space="preserve">surface/bone</w:t>
            </w:r>
          </w:p>
        </w:tc>
        <w:tc>
          <w:tcPr/>
          <w:p>
            <w:pPr>
              <w:pStyle w:val="Compact"/>
              <w:jc w:val="left"/>
            </w:pPr>
            <w:r>
              <w:t xml:space="preserve">#E8E1D7</w:t>
            </w:r>
          </w:p>
        </w:tc>
        <w:tc>
          <w:tcPr/>
          <w:p>
            <w:pPr>
              <w:pStyle w:val="Compact"/>
              <w:jc w:val="left"/>
            </w:pPr>
            <w:r>
              <w:t xml:space="preserve">Alternating sections, product plates</w:t>
            </w:r>
          </w:p>
        </w:tc>
      </w:tr>
      <w:tr>
        <w:tc>
          <w:tcPr/>
          <w:p>
            <w:pPr>
              <w:pStyle w:val="Compact"/>
              <w:jc w:val="left"/>
            </w:pPr>
            <w:r>
              <w:rPr>
                <w:rStyle w:val="VerbatimChar"/>
              </w:rPr>
              <w:t xml:space="preserve">surface/clinical</w:t>
            </w:r>
          </w:p>
        </w:tc>
        <w:tc>
          <w:tcPr/>
          <w:p>
            <w:pPr>
              <w:pStyle w:val="Compact"/>
              <w:jc w:val="left"/>
            </w:pPr>
            <w:r>
              <w:t xml:space="preserve">#FFFFFF</w:t>
            </w:r>
          </w:p>
        </w:tc>
        <w:tc>
          <w:tcPr/>
          <w:p>
            <w:pPr>
              <w:pStyle w:val="Compact"/>
              <w:jc w:val="left"/>
            </w:pPr>
            <w:r>
              <w:t xml:space="preserve">Data panels, COA tables, app cards</w:t>
            </w:r>
          </w:p>
        </w:tc>
      </w:tr>
      <w:tr>
        <w:tc>
          <w:tcPr/>
          <w:p>
            <w:pPr>
              <w:pStyle w:val="Compact"/>
              <w:jc w:val="left"/>
            </w:pPr>
            <w:r>
              <w:rPr>
                <w:rStyle w:val="VerbatimChar"/>
              </w:rPr>
              <w:t xml:space="preserve">surface/ink</w:t>
            </w:r>
          </w:p>
        </w:tc>
        <w:tc>
          <w:tcPr/>
          <w:p>
            <w:pPr>
              <w:pStyle w:val="Compact"/>
              <w:jc w:val="left"/>
            </w:pPr>
            <w:r>
              <w:t xml:space="preserve">#1C1B19</w:t>
            </w:r>
          </w:p>
        </w:tc>
        <w:tc>
          <w:tcPr/>
          <w:p>
            <w:pPr>
              <w:pStyle w:val="Compact"/>
              <w:jc w:val="left"/>
            </w:pPr>
            <w:r>
              <w:t xml:space="preserve">Dark sections, announcement bar, footer, solid buttons</w:t>
            </w:r>
          </w:p>
        </w:tc>
      </w:tr>
      <w:tr>
        <w:tc>
          <w:tcPr/>
          <w:p>
            <w:pPr>
              <w:pStyle w:val="Compact"/>
              <w:jc w:val="left"/>
            </w:pPr>
            <w:r>
              <w:rPr>
                <w:rStyle w:val="VerbatimChar"/>
              </w:rPr>
              <w:t xml:space="preserve">text/primary</w:t>
            </w:r>
          </w:p>
        </w:tc>
        <w:tc>
          <w:tcPr/>
          <w:p>
            <w:pPr>
              <w:pStyle w:val="Compact"/>
              <w:jc w:val="left"/>
            </w:pPr>
            <w:r>
              <w:t xml:space="preserve">#1C1B19</w:t>
            </w:r>
          </w:p>
        </w:tc>
        <w:tc>
          <w:tcPr/>
          <w:p>
            <w:pPr>
              <w:pStyle w:val="Compact"/>
              <w:jc w:val="left"/>
            </w:pPr>
            <w:r>
              <w:t xml:space="preserve">Headlines and body on light</w:t>
            </w:r>
          </w:p>
        </w:tc>
      </w:tr>
      <w:tr>
        <w:tc>
          <w:tcPr/>
          <w:p>
            <w:pPr>
              <w:pStyle w:val="Compact"/>
              <w:jc w:val="left"/>
            </w:pPr>
            <w:r>
              <w:rPr>
                <w:rStyle w:val="VerbatimChar"/>
              </w:rPr>
              <w:t xml:space="preserve">text/secondary</w:t>
            </w:r>
          </w:p>
        </w:tc>
        <w:tc>
          <w:tcPr/>
          <w:p>
            <w:pPr>
              <w:pStyle w:val="Compact"/>
              <w:jc w:val="left"/>
            </w:pPr>
            <w:r>
              <w:t xml:space="preserve">#3A3835</w:t>
            </w:r>
          </w:p>
        </w:tc>
        <w:tc>
          <w:tcPr/>
          <w:p>
            <w:pPr>
              <w:pStyle w:val="Compact"/>
              <w:jc w:val="left"/>
            </w:pPr>
            <w:r>
              <w:t xml:space="preserve">Supporting paragraphs</w:t>
            </w:r>
          </w:p>
        </w:tc>
      </w:tr>
      <w:tr>
        <w:tc>
          <w:tcPr/>
          <w:p>
            <w:pPr>
              <w:pStyle w:val="Compact"/>
              <w:jc w:val="left"/>
            </w:pPr>
            <w:r>
              <w:rPr>
                <w:rStyle w:val="VerbatimChar"/>
              </w:rPr>
              <w:t xml:space="preserve">text/tertiary</w:t>
            </w:r>
          </w:p>
        </w:tc>
        <w:tc>
          <w:tcPr/>
          <w:p>
            <w:pPr>
              <w:pStyle w:val="Compact"/>
              <w:jc w:val="left"/>
            </w:pPr>
            <w:r>
              <w:t xml:space="preserve">#8C877E</w:t>
            </w:r>
          </w:p>
        </w:tc>
        <w:tc>
          <w:tcPr/>
          <w:p>
            <w:pPr>
              <w:pStyle w:val="Compact"/>
              <w:jc w:val="left"/>
            </w:pPr>
            <w:r>
              <w:t xml:space="preserve">Captions, specimen lines, form hints</w:t>
            </w:r>
          </w:p>
        </w:tc>
      </w:tr>
      <w:tr>
        <w:tc>
          <w:tcPr/>
          <w:p>
            <w:pPr>
              <w:pStyle w:val="Compact"/>
              <w:jc w:val="left"/>
            </w:pPr>
            <w:r>
              <w:rPr>
                <w:rStyle w:val="VerbatimChar"/>
              </w:rPr>
              <w:t xml:space="preserve">text/inverse</w:t>
            </w:r>
          </w:p>
        </w:tc>
        <w:tc>
          <w:tcPr/>
          <w:p>
            <w:pPr>
              <w:pStyle w:val="Compact"/>
              <w:jc w:val="left"/>
            </w:pPr>
            <w:r>
              <w:t xml:space="preserve">#F3EEE7</w:t>
            </w:r>
          </w:p>
        </w:tc>
        <w:tc>
          <w:tcPr/>
          <w:p>
            <w:pPr>
              <w:pStyle w:val="Compact"/>
              <w:jc w:val="left"/>
            </w:pPr>
            <w:r>
              <w:t xml:space="preserve">Type on ink</w:t>
            </w:r>
          </w:p>
        </w:tc>
      </w:tr>
      <w:tr>
        <w:tc>
          <w:tcPr/>
          <w:p>
            <w:pPr>
              <w:pStyle w:val="Compact"/>
              <w:jc w:val="left"/>
            </w:pPr>
            <w:r>
              <w:rPr>
                <w:rStyle w:val="VerbatimChar"/>
              </w:rPr>
              <w:t xml:space="preserve">line/hairline</w:t>
            </w:r>
          </w:p>
        </w:tc>
        <w:tc>
          <w:tcPr/>
          <w:p>
            <w:pPr>
              <w:pStyle w:val="Compact"/>
              <w:jc w:val="left"/>
            </w:pPr>
            <w:r>
              <w:t xml:space="preserve">#D8D1C6</w:t>
            </w:r>
          </w:p>
        </w:tc>
        <w:tc>
          <w:tcPr/>
          <w:p>
            <w:pPr>
              <w:pStyle w:val="Compact"/>
              <w:jc w:val="left"/>
            </w:pPr>
            <w:r>
              <w:t xml:space="preserve">All 1px rules and borders on light</w:t>
            </w:r>
          </w:p>
        </w:tc>
      </w:tr>
      <w:tr>
        <w:tc>
          <w:tcPr/>
          <w:p>
            <w:pPr>
              <w:pStyle w:val="Compact"/>
              <w:jc w:val="left"/>
            </w:pPr>
            <w:r>
              <w:rPr>
                <w:rStyle w:val="VerbatimChar"/>
              </w:rPr>
              <w:t xml:space="preserve">line/hairline-inverse</w:t>
            </w:r>
          </w:p>
        </w:tc>
        <w:tc>
          <w:tcPr/>
          <w:p>
            <w:pPr>
              <w:pStyle w:val="Compact"/>
              <w:jc w:val="left"/>
            </w:pPr>
            <w:r>
              <w:t xml:space="preserve">#3A3835</w:t>
            </w:r>
          </w:p>
        </w:tc>
        <w:tc>
          <w:tcPr/>
          <w:p>
            <w:pPr>
              <w:pStyle w:val="Compact"/>
              <w:jc w:val="left"/>
            </w:pPr>
            <w:r>
              <w:t xml:space="preserve">1px rules on ink</w:t>
            </w:r>
          </w:p>
        </w:tc>
      </w:tr>
    </w:tbl>
    <w:p>
      <w:pPr>
        <w:pStyle w:val="BodyText"/>
      </w:pPr>
      <w:r>
        <w:rPr>
          <w:bCs/>
          <w:b/>
        </w:rPr>
        <w:t xml:space="preserve">Accent and signal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Use</w:t>
            </w:r>
          </w:p>
        </w:tc>
      </w:tr>
      <w:tr>
        <w:tc>
          <w:tcPr/>
          <w:p>
            <w:pPr>
              <w:pStyle w:val="Compact"/>
              <w:jc w:val="left"/>
            </w:pPr>
            <w:r>
              <w:rPr>
                <w:rStyle w:val="VerbatimChar"/>
              </w:rPr>
              <w:t xml:space="preserve">accent/cedar</w:t>
            </w:r>
          </w:p>
        </w:tc>
        <w:tc>
          <w:tcPr/>
          <w:p>
            <w:pPr>
              <w:pStyle w:val="Compact"/>
              <w:jc w:val="left"/>
            </w:pPr>
            <w:r>
              <w:t xml:space="preserve">#9C4A1E</w:t>
            </w:r>
          </w:p>
        </w:tc>
        <w:tc>
          <w:tcPr/>
          <w:p>
            <w:pPr>
              <w:pStyle w:val="Compact"/>
              <w:jc w:val="left"/>
            </w:pPr>
            <w:r>
              <w:t xml:space="preserve">Eyebrow labels, inline links,</w:t>
            </w:r>
            <w:r>
              <w:t xml:space="preserve"> </w:t>
            </w:r>
            <w:r>
              <w:t xml:space="preserve">“</w:t>
            </w:r>
            <w:r>
              <w:t xml:space="preserve">New</w:t>
            </w:r>
            <w:r>
              <w:t xml:space="preserve">”</w:t>
            </w:r>
            <w:r>
              <w:t xml:space="preserve"> </w:t>
            </w:r>
            <w:r>
              <w:t xml:space="preserve">markers. Maximum four instances per screen</w:t>
            </w:r>
          </w:p>
        </w:tc>
      </w:tr>
      <w:tr>
        <w:tc>
          <w:tcPr/>
          <w:p>
            <w:pPr>
              <w:pStyle w:val="Compact"/>
              <w:jc w:val="left"/>
            </w:pPr>
            <w:r>
              <w:rPr>
                <w:rStyle w:val="VerbatimChar"/>
              </w:rPr>
              <w:t xml:space="preserve">accent/verdant</w:t>
            </w:r>
          </w:p>
        </w:tc>
        <w:tc>
          <w:tcPr/>
          <w:p>
            <w:pPr>
              <w:pStyle w:val="Compact"/>
              <w:jc w:val="left"/>
            </w:pPr>
            <w:r>
              <w:t xml:space="preserve">#2E4034</w:t>
            </w:r>
          </w:p>
        </w:tc>
        <w:tc>
          <w:tcPr/>
          <w:p>
            <w:pPr>
              <w:pStyle w:val="Compact"/>
              <w:jc w:val="left"/>
            </w:pPr>
            <w:r>
              <w:t xml:space="preserve">Method and laboratory sections, verified state</w:t>
            </w:r>
          </w:p>
        </w:tc>
      </w:tr>
      <w:tr>
        <w:tc>
          <w:tcPr/>
          <w:p>
            <w:pPr>
              <w:pStyle w:val="Compact"/>
              <w:jc w:val="left"/>
            </w:pPr>
            <w:r>
              <w:rPr>
                <w:rStyle w:val="VerbatimChar"/>
              </w:rPr>
              <w:t xml:space="preserve">signal/pass</w:t>
            </w:r>
          </w:p>
        </w:tc>
        <w:tc>
          <w:tcPr/>
          <w:p>
            <w:pPr>
              <w:pStyle w:val="Compact"/>
              <w:jc w:val="left"/>
            </w:pPr>
            <w:r>
              <w:t xml:space="preserve">#3F6B4A</w:t>
            </w:r>
          </w:p>
        </w:tc>
        <w:tc>
          <w:tcPr/>
          <w:p>
            <w:pPr>
              <w:pStyle w:val="Compact"/>
              <w:jc w:val="left"/>
            </w:pPr>
            <w:r>
              <w:t xml:space="preserve">COA pass, batch verified</w:t>
            </w:r>
          </w:p>
        </w:tc>
      </w:tr>
      <w:tr>
        <w:tc>
          <w:tcPr/>
          <w:p>
            <w:pPr>
              <w:pStyle w:val="Compact"/>
              <w:jc w:val="left"/>
            </w:pPr>
            <w:r>
              <w:rPr>
                <w:rStyle w:val="VerbatimChar"/>
              </w:rPr>
              <w:t xml:space="preserve">signal/attention</w:t>
            </w:r>
          </w:p>
        </w:tc>
        <w:tc>
          <w:tcPr/>
          <w:p>
            <w:pPr>
              <w:pStyle w:val="Compact"/>
              <w:jc w:val="left"/>
            </w:pPr>
            <w:r>
              <w:t xml:space="preserve">#A8761C</w:t>
            </w:r>
          </w:p>
        </w:tc>
        <w:tc>
          <w:tcPr/>
          <w:p>
            <w:pPr>
              <w:pStyle w:val="Compact"/>
              <w:jc w:val="left"/>
            </w:pPr>
            <w:r>
              <w:t xml:space="preserve">Pending result, awaiting lab</w:t>
            </w:r>
          </w:p>
        </w:tc>
      </w:tr>
      <w:tr>
        <w:tc>
          <w:tcPr/>
          <w:p>
            <w:pPr>
              <w:pStyle w:val="Compact"/>
              <w:jc w:val="left"/>
            </w:pPr>
            <w:r>
              <w:rPr>
                <w:rStyle w:val="VerbatimChar"/>
              </w:rPr>
              <w:t xml:space="preserve">signal/fail</w:t>
            </w:r>
          </w:p>
        </w:tc>
        <w:tc>
          <w:tcPr/>
          <w:p>
            <w:pPr>
              <w:pStyle w:val="Compact"/>
              <w:jc w:val="left"/>
            </w:pPr>
            <w:r>
              <w:t xml:space="preserve">#8C2F1F</w:t>
            </w:r>
          </w:p>
        </w:tc>
        <w:tc>
          <w:tcPr/>
          <w:p>
            <w:pPr>
              <w:pStyle w:val="Compact"/>
              <w:jc w:val="left"/>
            </w:pPr>
            <w:r>
              <w:t xml:space="preserve">Failed or expired batch. Data layer only, never marketing</w:t>
            </w:r>
          </w:p>
        </w:tc>
      </w:tr>
    </w:tbl>
    <w:p>
      <w:pPr>
        <w:pStyle w:val="BodyText"/>
      </w:pPr>
      <w:r>
        <w:rPr>
          <w:bCs/>
          <w:b/>
        </w:rPr>
        <w:t xml:space="preserve">Wellness line pigments</w:t>
      </w:r>
      <w:r>
        <w:t xml:space="preserve"> </w:t>
      </w:r>
      <w:r>
        <w:t xml:space="preserve">(used only as a 3px marker rule, a tinted plate, or a single line of text. Never a full-bleed background, never a button)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w:t>
            </w:r>
          </w:p>
        </w:tc>
        <w:tc>
          <w:tcPr/>
          <w:p>
            <w:pPr>
              <w:pStyle w:val="Compact"/>
              <w:jc w:val="left"/>
            </w:pPr>
            <w:r>
              <w:t xml:space="preserve">Token</w:t>
            </w:r>
          </w:p>
        </w:tc>
        <w:tc>
          <w:tcPr/>
          <w:p>
            <w:pPr>
              <w:pStyle w:val="Compact"/>
              <w:jc w:val="left"/>
            </w:pPr>
            <w:r>
              <w:t xml:space="preserve">Hex</w:t>
            </w:r>
          </w:p>
        </w:tc>
        <w:tc>
          <w:tcPr/>
          <w:p>
            <w:pPr>
              <w:pStyle w:val="Compact"/>
              <w:jc w:val="left"/>
            </w:pPr>
            <w:r>
              <w:t xml:space="preserve">Terpene anchor</w:t>
            </w:r>
          </w:p>
        </w:tc>
      </w:tr>
      <w:tr>
        <w:tc>
          <w:tcPr/>
          <w:p>
            <w:pPr>
              <w:pStyle w:val="Compact"/>
              <w:jc w:val="left"/>
            </w:pPr>
            <w:r>
              <w:t xml:space="preserve">REST</w:t>
            </w:r>
          </w:p>
        </w:tc>
        <w:tc>
          <w:tcPr/>
          <w:p>
            <w:pPr>
              <w:pStyle w:val="Compact"/>
              <w:jc w:val="left"/>
            </w:pPr>
            <w:r>
              <w:rPr>
                <w:rStyle w:val="VerbatimChar"/>
              </w:rPr>
              <w:t xml:space="preserve">line/rest</w:t>
            </w:r>
          </w:p>
        </w:tc>
        <w:tc>
          <w:tcPr/>
          <w:p>
            <w:pPr>
              <w:pStyle w:val="Compact"/>
              <w:jc w:val="left"/>
            </w:pPr>
            <w:r>
              <w:t xml:space="preserve">#3B4457</w:t>
            </w:r>
          </w:p>
        </w:tc>
        <w:tc>
          <w:tcPr/>
          <w:p>
            <w:pPr>
              <w:pStyle w:val="Compact"/>
              <w:jc w:val="left"/>
            </w:pPr>
            <w:r>
              <w:t xml:space="preserve">Myrcene</w:t>
            </w:r>
          </w:p>
        </w:tc>
      </w:tr>
      <w:tr>
        <w:tc>
          <w:tcPr/>
          <w:p>
            <w:pPr>
              <w:pStyle w:val="Compact"/>
              <w:jc w:val="left"/>
            </w:pPr>
            <w:r>
              <w:t xml:space="preserve">RELIEF</w:t>
            </w:r>
          </w:p>
        </w:tc>
        <w:tc>
          <w:tcPr/>
          <w:p>
            <w:pPr>
              <w:pStyle w:val="Compact"/>
              <w:jc w:val="left"/>
            </w:pPr>
            <w:r>
              <w:rPr>
                <w:rStyle w:val="VerbatimChar"/>
              </w:rPr>
              <w:t xml:space="preserve">line/relief</w:t>
            </w:r>
          </w:p>
        </w:tc>
        <w:tc>
          <w:tcPr/>
          <w:p>
            <w:pPr>
              <w:pStyle w:val="Compact"/>
              <w:jc w:val="left"/>
            </w:pPr>
            <w:r>
              <w:t xml:space="preserve">#9C5B45</w:t>
            </w:r>
          </w:p>
        </w:tc>
        <w:tc>
          <w:tcPr/>
          <w:p>
            <w:pPr>
              <w:pStyle w:val="Compact"/>
              <w:jc w:val="left"/>
            </w:pPr>
            <w:r>
              <w:t xml:space="preserve">Beta-caryophyllene, linalool</w:t>
            </w:r>
          </w:p>
        </w:tc>
      </w:tr>
      <w:tr>
        <w:tc>
          <w:tcPr/>
          <w:p>
            <w:pPr>
              <w:pStyle w:val="Compact"/>
              <w:jc w:val="left"/>
            </w:pPr>
            <w:r>
              <w:t xml:space="preserve">FOCUS</w:t>
            </w:r>
          </w:p>
        </w:tc>
        <w:tc>
          <w:tcPr/>
          <w:p>
            <w:pPr>
              <w:pStyle w:val="Compact"/>
              <w:jc w:val="left"/>
            </w:pPr>
            <w:r>
              <w:rPr>
                <w:rStyle w:val="VerbatimChar"/>
              </w:rPr>
              <w:t xml:space="preserve">line/focus</w:t>
            </w:r>
          </w:p>
        </w:tc>
        <w:tc>
          <w:tcPr/>
          <w:p>
            <w:pPr>
              <w:pStyle w:val="Compact"/>
              <w:jc w:val="left"/>
            </w:pPr>
            <w:r>
              <w:t xml:space="preserve">#A08B3C</w:t>
            </w:r>
          </w:p>
        </w:tc>
        <w:tc>
          <w:tcPr/>
          <w:p>
            <w:pPr>
              <w:pStyle w:val="Compact"/>
              <w:jc w:val="left"/>
            </w:pPr>
            <w:r>
              <w:t xml:space="preserve">Pinene, limonene</w:t>
            </w:r>
          </w:p>
        </w:tc>
      </w:tr>
      <w:tr>
        <w:tc>
          <w:tcPr/>
          <w:p>
            <w:pPr>
              <w:pStyle w:val="Compact"/>
              <w:jc w:val="left"/>
            </w:pPr>
            <w:r>
              <w:t xml:space="preserve">CALM</w:t>
            </w:r>
          </w:p>
        </w:tc>
        <w:tc>
          <w:tcPr/>
          <w:p>
            <w:pPr>
              <w:pStyle w:val="Compact"/>
              <w:jc w:val="left"/>
            </w:pPr>
            <w:r>
              <w:rPr>
                <w:rStyle w:val="VerbatimChar"/>
              </w:rPr>
              <w:t xml:space="preserve">line/calm</w:t>
            </w:r>
          </w:p>
        </w:tc>
        <w:tc>
          <w:tcPr/>
          <w:p>
            <w:pPr>
              <w:pStyle w:val="Compact"/>
              <w:jc w:val="left"/>
            </w:pPr>
            <w:r>
              <w:t xml:space="preserve">#7C8A72</w:t>
            </w:r>
          </w:p>
        </w:tc>
        <w:tc>
          <w:tcPr/>
          <w:p>
            <w:pPr>
              <w:pStyle w:val="Compact"/>
              <w:jc w:val="left"/>
            </w:pPr>
            <w:r>
              <w:t xml:space="preserve">Balanced profile</w:t>
            </w:r>
          </w:p>
        </w:tc>
      </w:tr>
      <w:tr>
        <w:tc>
          <w:tcPr/>
          <w:p>
            <w:pPr>
              <w:pStyle w:val="Compact"/>
              <w:jc w:val="left"/>
            </w:pPr>
            <w:r>
              <w:t xml:space="preserve">RESTORE</w:t>
            </w:r>
          </w:p>
        </w:tc>
        <w:tc>
          <w:tcPr/>
          <w:p>
            <w:pPr>
              <w:pStyle w:val="Compact"/>
              <w:jc w:val="left"/>
            </w:pPr>
            <w:r>
              <w:rPr>
                <w:rStyle w:val="VerbatimChar"/>
              </w:rPr>
              <w:t xml:space="preserve">line/restore</w:t>
            </w:r>
          </w:p>
        </w:tc>
        <w:tc>
          <w:tcPr/>
          <w:p>
            <w:pPr>
              <w:pStyle w:val="Compact"/>
              <w:jc w:val="left"/>
            </w:pPr>
            <w:r>
              <w:t xml:space="preserve">#6B5340</w:t>
            </w:r>
          </w:p>
        </w:tc>
        <w:tc>
          <w:tcPr/>
          <w:p>
            <w:pPr>
              <w:pStyle w:val="Compact"/>
              <w:jc w:val="left"/>
            </w:pPr>
            <w:r>
              <w:t xml:space="preserve">Full spectrum</w:t>
            </w:r>
          </w:p>
        </w:tc>
      </w:tr>
    </w:tbl>
    <w:p>
      <w:pPr>
        <w:pStyle w:val="BodyText"/>
      </w:pPr>
      <w:r>
        <w:t xml:space="preserve">Prohibited: any saturated green, any purple, any black background with green type, any color associated with cannabis-culture design.</w:t>
      </w:r>
    </w:p>
    <w:bookmarkEnd w:id="30"/>
    <w:bookmarkStart w:id="31" w:name="typography"/>
    <w:p>
      <w:pPr>
        <w:pStyle w:val="Heading3"/>
      </w:pPr>
      <w:r>
        <w:t xml:space="preserve">4.2 Typography</w:t>
      </w:r>
    </w:p>
    <w:p>
      <w:pPr>
        <w:pStyle w:val="FirstParagraph"/>
      </w:pPr>
      <w:r>
        <w:t xml:space="preserve">Three faces, no more. All three are available on Google Fonts so nothing blocks the build. A licensed upgrade path is noted for approval.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Face</w:t>
            </w:r>
          </w:p>
        </w:tc>
        <w:tc>
          <w:tcPr/>
          <w:p>
            <w:pPr>
              <w:pStyle w:val="Compact"/>
              <w:jc w:val="left"/>
            </w:pPr>
            <w:r>
              <w:t xml:space="preserve">Licensed upgrade</w:t>
            </w:r>
          </w:p>
        </w:tc>
        <w:tc>
          <w:tcPr/>
          <w:p>
            <w:pPr>
              <w:pStyle w:val="Compact"/>
              <w:jc w:val="left"/>
            </w:pPr>
            <w:r>
              <w:t xml:space="preserve">Notes</w:t>
            </w:r>
          </w:p>
        </w:tc>
      </w:tr>
      <w:tr>
        <w:tc>
          <w:tcPr/>
          <w:p>
            <w:pPr>
              <w:pStyle w:val="Compact"/>
              <w:jc w:val="left"/>
            </w:pPr>
            <w:r>
              <w:t xml:space="preserve">Display and editorial</w:t>
            </w:r>
          </w:p>
        </w:tc>
        <w:tc>
          <w:tcPr/>
          <w:p>
            <w:pPr>
              <w:pStyle w:val="Compact"/>
              <w:jc w:val="left"/>
            </w:pPr>
            <w:r>
              <w:rPr>
                <w:bCs/>
                <w:b/>
              </w:rPr>
              <w:t xml:space="preserve">Newsreader</w:t>
            </w:r>
          </w:p>
        </w:tc>
        <w:tc>
          <w:tcPr/>
          <w:p>
            <w:pPr>
              <w:pStyle w:val="Compact"/>
              <w:jc w:val="left"/>
            </w:pPr>
            <w:r>
              <w:t xml:space="preserve">Suisse Works or GT Super</w:t>
            </w:r>
          </w:p>
        </w:tc>
        <w:tc>
          <w:tcPr/>
          <w:p>
            <w:pPr>
              <w:pStyle w:val="Compact"/>
              <w:jc w:val="left"/>
            </w:pPr>
            <w:r>
              <w:t xml:space="preserve">Low contrast transitional serif. Headlines, pull quotes, product names</w:t>
            </w:r>
          </w:p>
        </w:tc>
      </w:tr>
      <w:tr>
        <w:tc>
          <w:tcPr/>
          <w:p>
            <w:pPr>
              <w:pStyle w:val="Compact"/>
              <w:jc w:val="left"/>
            </w:pPr>
            <w:r>
              <w:t xml:space="preserve">Interface and body</w:t>
            </w:r>
          </w:p>
        </w:tc>
        <w:tc>
          <w:tcPr/>
          <w:p>
            <w:pPr>
              <w:pStyle w:val="Compact"/>
              <w:jc w:val="left"/>
            </w:pPr>
            <w:r>
              <w:rPr>
                <w:bCs/>
                <w:b/>
              </w:rPr>
              <w:t xml:space="preserve">Inter Tight</w:t>
            </w:r>
          </w:p>
        </w:tc>
        <w:tc>
          <w:tcPr/>
          <w:p>
            <w:pPr>
              <w:pStyle w:val="Compact"/>
              <w:jc w:val="left"/>
            </w:pPr>
            <w:r>
              <w:t xml:space="preserve">Suisse Int’l</w:t>
            </w:r>
          </w:p>
        </w:tc>
        <w:tc>
          <w:tcPr/>
          <w:p>
            <w:pPr>
              <w:pStyle w:val="Compact"/>
              <w:jc w:val="left"/>
            </w:pPr>
            <w:r>
              <w:t xml:space="preserve">Navigation, body, forms, buttons, labels</w:t>
            </w:r>
          </w:p>
        </w:tc>
      </w:tr>
      <w:tr>
        <w:tc>
          <w:tcPr/>
          <w:p>
            <w:pPr>
              <w:pStyle w:val="Compact"/>
              <w:jc w:val="left"/>
            </w:pPr>
            <w:r>
              <w:t xml:space="preserve">Data and specimen</w:t>
            </w:r>
          </w:p>
        </w:tc>
        <w:tc>
          <w:tcPr/>
          <w:p>
            <w:pPr>
              <w:pStyle w:val="Compact"/>
              <w:jc w:val="left"/>
            </w:pPr>
            <w:r>
              <w:rPr>
                <w:bCs/>
                <w:b/>
              </w:rPr>
              <w:t xml:space="preserve">IBM Plex Mono</w:t>
            </w:r>
          </w:p>
        </w:tc>
        <w:tc>
          <w:tcPr/>
          <w:p>
            <w:pPr>
              <w:pStyle w:val="Compact"/>
              <w:jc w:val="left"/>
            </w:pPr>
            <w:r>
              <w:t xml:space="preserve">None needed</w:t>
            </w:r>
          </w:p>
        </w:tc>
        <w:tc>
          <w:tcPr/>
          <w:p>
            <w:pPr>
              <w:pStyle w:val="Compact"/>
              <w:jc w:val="left"/>
            </w:pPr>
            <w:r>
              <w:t xml:space="preserve">Batch IDs, COA figures, trait codes, lot numbers, terpene percentages</w:t>
            </w:r>
          </w:p>
        </w:tc>
      </w:tr>
    </w:tbl>
    <w:p>
      <w:pPr>
        <w:pStyle w:val="BodyText"/>
      </w:pPr>
      <w:r>
        <w:rPr>
          <w:bCs/>
          <w:b/>
        </w:rPr>
        <w:t xml:space="preserve">Type scale (desktop / mobile), with tabular numerals enabled on all data styles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Style</w:t>
            </w:r>
          </w:p>
        </w:tc>
        <w:tc>
          <w:tcPr/>
          <w:p>
            <w:pPr>
              <w:pStyle w:val="Compact"/>
              <w:jc w:val="left"/>
            </w:pPr>
            <w:r>
              <w:t xml:space="preserve">Face</w:t>
            </w:r>
          </w:p>
        </w:tc>
        <w:tc>
          <w:tcPr/>
          <w:p>
            <w:pPr>
              <w:pStyle w:val="Compact"/>
              <w:jc w:val="left"/>
            </w:pPr>
            <w:r>
              <w:t xml:space="preserve">Size</w:t>
            </w:r>
          </w:p>
        </w:tc>
        <w:tc>
          <w:tcPr/>
          <w:p>
            <w:pPr>
              <w:pStyle w:val="Compact"/>
              <w:jc w:val="left"/>
            </w:pPr>
            <w:r>
              <w:t xml:space="preserve">Line height</w:t>
            </w:r>
          </w:p>
        </w:tc>
        <w:tc>
          <w:tcPr/>
          <w:p>
            <w:pPr>
              <w:pStyle w:val="Compact"/>
              <w:jc w:val="left"/>
            </w:pPr>
            <w:r>
              <w:t xml:space="preserve">Tracking</w:t>
            </w:r>
          </w:p>
        </w:tc>
        <w:tc>
          <w:tcPr/>
          <w:p>
            <w:pPr>
              <w:pStyle w:val="Compact"/>
              <w:jc w:val="left"/>
            </w:pPr>
            <w:r>
              <w:t xml:space="preserve">Case</w:t>
            </w:r>
          </w:p>
        </w:tc>
      </w:tr>
      <w:tr>
        <w:tc>
          <w:tcPr/>
          <w:p>
            <w:pPr>
              <w:pStyle w:val="Compact"/>
              <w:jc w:val="left"/>
            </w:pPr>
            <w:r>
              <w:t xml:space="preserve">Display XL</w:t>
            </w:r>
          </w:p>
        </w:tc>
        <w:tc>
          <w:tcPr/>
          <w:p>
            <w:pPr>
              <w:pStyle w:val="Compact"/>
              <w:jc w:val="left"/>
            </w:pPr>
            <w:r>
              <w:t xml:space="preserve">Newsreader Regular</w:t>
            </w:r>
          </w:p>
        </w:tc>
        <w:tc>
          <w:tcPr/>
          <w:p>
            <w:pPr>
              <w:pStyle w:val="Compact"/>
              <w:jc w:val="left"/>
            </w:pPr>
            <w:r>
              <w:t xml:space="preserve">76 / 40</w:t>
            </w:r>
          </w:p>
        </w:tc>
        <w:tc>
          <w:tcPr/>
          <w:p>
            <w:pPr>
              <w:pStyle w:val="Compact"/>
              <w:jc w:val="left"/>
            </w:pPr>
            <w:r>
              <w:t xml:space="preserve">1.05</w:t>
            </w:r>
          </w:p>
        </w:tc>
        <w:tc>
          <w:tcPr/>
          <w:p>
            <w:pPr>
              <w:pStyle w:val="Compact"/>
              <w:jc w:val="left"/>
            </w:pPr>
            <w:r>
              <w:t xml:space="preserve">-0.02em</w:t>
            </w:r>
          </w:p>
        </w:tc>
        <w:tc>
          <w:tcPr/>
          <w:p>
            <w:pPr>
              <w:pStyle w:val="Compact"/>
              <w:jc w:val="left"/>
            </w:pPr>
            <w:r>
              <w:t xml:space="preserve">Sentence</w:t>
            </w:r>
          </w:p>
        </w:tc>
      </w:tr>
      <w:tr>
        <w:tc>
          <w:tcPr/>
          <w:p>
            <w:pPr>
              <w:pStyle w:val="Compact"/>
              <w:jc w:val="left"/>
            </w:pPr>
            <w:r>
              <w:t xml:space="preserve">Display L</w:t>
            </w:r>
          </w:p>
        </w:tc>
        <w:tc>
          <w:tcPr/>
          <w:p>
            <w:pPr>
              <w:pStyle w:val="Compact"/>
              <w:jc w:val="left"/>
            </w:pPr>
            <w:r>
              <w:t xml:space="preserve">Newsreader Regular</w:t>
            </w:r>
          </w:p>
        </w:tc>
        <w:tc>
          <w:tcPr/>
          <w:p>
            <w:pPr>
              <w:pStyle w:val="Compact"/>
              <w:jc w:val="left"/>
            </w:pPr>
            <w:r>
              <w:t xml:space="preserve">56 / 32</w:t>
            </w:r>
          </w:p>
        </w:tc>
        <w:tc>
          <w:tcPr/>
          <w:p>
            <w:pPr>
              <w:pStyle w:val="Compact"/>
              <w:jc w:val="left"/>
            </w:pPr>
            <w:r>
              <w:t xml:space="preserve">1.10</w:t>
            </w:r>
          </w:p>
        </w:tc>
        <w:tc>
          <w:tcPr/>
          <w:p>
            <w:pPr>
              <w:pStyle w:val="Compact"/>
              <w:jc w:val="left"/>
            </w:pPr>
            <w:r>
              <w:t xml:space="preserve">-0.015em</w:t>
            </w:r>
          </w:p>
        </w:tc>
        <w:tc>
          <w:tcPr/>
          <w:p>
            <w:pPr>
              <w:pStyle w:val="Compact"/>
              <w:jc w:val="left"/>
            </w:pPr>
            <w:r>
              <w:t xml:space="preserve">Sentence</w:t>
            </w:r>
          </w:p>
        </w:tc>
      </w:tr>
      <w:tr>
        <w:tc>
          <w:tcPr/>
          <w:p>
            <w:pPr>
              <w:pStyle w:val="Compact"/>
              <w:jc w:val="left"/>
            </w:pPr>
            <w:r>
              <w:t xml:space="preserve">Heading M</w:t>
            </w:r>
          </w:p>
        </w:tc>
        <w:tc>
          <w:tcPr/>
          <w:p>
            <w:pPr>
              <w:pStyle w:val="Compact"/>
              <w:jc w:val="left"/>
            </w:pPr>
            <w:r>
              <w:t xml:space="preserve">Newsreader Regular</w:t>
            </w:r>
          </w:p>
        </w:tc>
        <w:tc>
          <w:tcPr/>
          <w:p>
            <w:pPr>
              <w:pStyle w:val="Compact"/>
              <w:jc w:val="left"/>
            </w:pPr>
            <w:r>
              <w:t xml:space="preserve">34 / 26</w:t>
            </w:r>
          </w:p>
        </w:tc>
        <w:tc>
          <w:tcPr/>
          <w:p>
            <w:pPr>
              <w:pStyle w:val="Compact"/>
              <w:jc w:val="left"/>
            </w:pPr>
            <w:r>
              <w:t xml:space="preserve">1.20</w:t>
            </w:r>
          </w:p>
        </w:tc>
        <w:tc>
          <w:tcPr/>
          <w:p>
            <w:pPr>
              <w:pStyle w:val="Compact"/>
              <w:jc w:val="left"/>
            </w:pPr>
            <w:r>
              <w:t xml:space="preserve">-0.01em</w:t>
            </w:r>
          </w:p>
        </w:tc>
        <w:tc>
          <w:tcPr/>
          <w:p>
            <w:pPr>
              <w:pStyle w:val="Compact"/>
              <w:jc w:val="left"/>
            </w:pPr>
            <w:r>
              <w:t xml:space="preserve">Sentence</w:t>
            </w:r>
          </w:p>
        </w:tc>
      </w:tr>
      <w:tr>
        <w:tc>
          <w:tcPr/>
          <w:p>
            <w:pPr>
              <w:pStyle w:val="Compact"/>
              <w:jc w:val="left"/>
            </w:pPr>
            <w:r>
              <w:t xml:space="preserve">Heading S</w:t>
            </w:r>
          </w:p>
        </w:tc>
        <w:tc>
          <w:tcPr/>
          <w:p>
            <w:pPr>
              <w:pStyle w:val="Compact"/>
              <w:jc w:val="left"/>
            </w:pPr>
            <w:r>
              <w:t xml:space="preserve">Inter Tight Medium</w:t>
            </w:r>
          </w:p>
        </w:tc>
        <w:tc>
          <w:tcPr/>
          <w:p>
            <w:pPr>
              <w:pStyle w:val="Compact"/>
              <w:jc w:val="left"/>
            </w:pPr>
            <w:r>
              <w:t xml:space="preserve">20 / 18</w:t>
            </w:r>
          </w:p>
        </w:tc>
        <w:tc>
          <w:tcPr/>
          <w:p>
            <w:pPr>
              <w:pStyle w:val="Compact"/>
              <w:jc w:val="left"/>
            </w:pPr>
            <w:r>
              <w:t xml:space="preserve">1.35</w:t>
            </w:r>
          </w:p>
        </w:tc>
        <w:tc>
          <w:tcPr/>
          <w:p>
            <w:pPr>
              <w:pStyle w:val="Compact"/>
              <w:jc w:val="left"/>
            </w:pPr>
            <w:r>
              <w:t xml:space="preserve">0</w:t>
            </w:r>
          </w:p>
        </w:tc>
        <w:tc>
          <w:tcPr/>
          <w:p>
            <w:pPr>
              <w:pStyle w:val="Compact"/>
              <w:jc w:val="left"/>
            </w:pPr>
            <w:r>
              <w:t xml:space="preserve">Sentence</w:t>
            </w:r>
          </w:p>
        </w:tc>
      </w:tr>
      <w:tr>
        <w:tc>
          <w:tcPr/>
          <w:p>
            <w:pPr>
              <w:pStyle w:val="Compact"/>
              <w:jc w:val="left"/>
            </w:pPr>
            <w:r>
              <w:t xml:space="preserve">Body L</w:t>
            </w:r>
          </w:p>
        </w:tc>
        <w:tc>
          <w:tcPr/>
          <w:p>
            <w:pPr>
              <w:pStyle w:val="Compact"/>
              <w:jc w:val="left"/>
            </w:pPr>
            <w:r>
              <w:t xml:space="preserve">Inter Tight Regular</w:t>
            </w:r>
          </w:p>
        </w:tc>
        <w:tc>
          <w:tcPr/>
          <w:p>
            <w:pPr>
              <w:pStyle w:val="Compact"/>
              <w:jc w:val="left"/>
            </w:pPr>
            <w:r>
              <w:t xml:space="preserve">18 / 17</w:t>
            </w:r>
          </w:p>
        </w:tc>
        <w:tc>
          <w:tcPr/>
          <w:p>
            <w:pPr>
              <w:pStyle w:val="Compact"/>
              <w:jc w:val="left"/>
            </w:pPr>
            <w:r>
              <w:t xml:space="preserve">1.65</w:t>
            </w:r>
          </w:p>
        </w:tc>
        <w:tc>
          <w:tcPr/>
          <w:p>
            <w:pPr>
              <w:pStyle w:val="Compact"/>
              <w:jc w:val="left"/>
            </w:pPr>
            <w:r>
              <w:t xml:space="preserve">0</w:t>
            </w:r>
          </w:p>
        </w:tc>
        <w:tc>
          <w:tcPr/>
          <w:p>
            <w:pPr>
              <w:pStyle w:val="Compact"/>
              <w:jc w:val="left"/>
            </w:pPr>
            <w:r>
              <w:t xml:space="preserve">Sentence</w:t>
            </w:r>
          </w:p>
        </w:tc>
      </w:tr>
      <w:tr>
        <w:tc>
          <w:tcPr/>
          <w:p>
            <w:pPr>
              <w:pStyle w:val="Compact"/>
              <w:jc w:val="left"/>
            </w:pPr>
            <w:r>
              <w:t xml:space="preserve">Body M</w:t>
            </w:r>
          </w:p>
        </w:tc>
        <w:tc>
          <w:tcPr/>
          <w:p>
            <w:pPr>
              <w:pStyle w:val="Compact"/>
              <w:jc w:val="left"/>
            </w:pPr>
            <w:r>
              <w:t xml:space="preserve">Inter Tight Regular</w:t>
            </w:r>
          </w:p>
        </w:tc>
        <w:tc>
          <w:tcPr/>
          <w:p>
            <w:pPr>
              <w:pStyle w:val="Compact"/>
              <w:jc w:val="left"/>
            </w:pPr>
            <w:r>
              <w:t xml:space="preserve">16 / 15</w:t>
            </w:r>
          </w:p>
        </w:tc>
        <w:tc>
          <w:tcPr/>
          <w:p>
            <w:pPr>
              <w:pStyle w:val="Compact"/>
              <w:jc w:val="left"/>
            </w:pPr>
            <w:r>
              <w:t xml:space="preserve">1.65</w:t>
            </w:r>
          </w:p>
        </w:tc>
        <w:tc>
          <w:tcPr/>
          <w:p>
            <w:pPr>
              <w:pStyle w:val="Compact"/>
              <w:jc w:val="left"/>
            </w:pPr>
            <w:r>
              <w:t xml:space="preserve">0</w:t>
            </w:r>
          </w:p>
        </w:tc>
        <w:tc>
          <w:tcPr/>
          <w:p>
            <w:pPr>
              <w:pStyle w:val="Compact"/>
              <w:jc w:val="left"/>
            </w:pPr>
            <w:r>
              <w:t xml:space="preserve">Sentence</w:t>
            </w:r>
          </w:p>
        </w:tc>
      </w:tr>
      <w:tr>
        <w:tc>
          <w:tcPr/>
          <w:p>
            <w:pPr>
              <w:pStyle w:val="Compact"/>
              <w:jc w:val="left"/>
            </w:pPr>
            <w:r>
              <w:t xml:space="preserve">Eyebrow</w:t>
            </w:r>
          </w:p>
        </w:tc>
        <w:tc>
          <w:tcPr/>
          <w:p>
            <w:pPr>
              <w:pStyle w:val="Compact"/>
              <w:jc w:val="left"/>
            </w:pPr>
            <w:r>
              <w:t xml:space="preserve">Inter Tight Medium</w:t>
            </w:r>
          </w:p>
        </w:tc>
        <w:tc>
          <w:tcPr/>
          <w:p>
            <w:pPr>
              <w:pStyle w:val="Compact"/>
              <w:jc w:val="left"/>
            </w:pPr>
            <w:r>
              <w:t xml:space="preserve">12 / 11</w:t>
            </w:r>
          </w:p>
        </w:tc>
        <w:tc>
          <w:tcPr/>
          <w:p>
            <w:pPr>
              <w:pStyle w:val="Compact"/>
              <w:jc w:val="left"/>
            </w:pPr>
            <w:r>
              <w:t xml:space="preserve">1.20</w:t>
            </w:r>
          </w:p>
        </w:tc>
        <w:tc>
          <w:tcPr/>
          <w:p>
            <w:pPr>
              <w:pStyle w:val="Compact"/>
              <w:jc w:val="left"/>
            </w:pPr>
            <w:r>
              <w:t xml:space="preserve">0.14em</w:t>
            </w:r>
          </w:p>
        </w:tc>
        <w:tc>
          <w:tcPr/>
          <w:p>
            <w:pPr>
              <w:pStyle w:val="Compact"/>
              <w:jc w:val="left"/>
            </w:pPr>
            <w:r>
              <w:t xml:space="preserve">UPPERCASE</w:t>
            </w:r>
          </w:p>
        </w:tc>
      </w:tr>
      <w:tr>
        <w:tc>
          <w:tcPr/>
          <w:p>
            <w:pPr>
              <w:pStyle w:val="Compact"/>
              <w:jc w:val="left"/>
            </w:pPr>
            <w:r>
              <w:t xml:space="preserve">Caption</w:t>
            </w:r>
          </w:p>
        </w:tc>
        <w:tc>
          <w:tcPr/>
          <w:p>
            <w:pPr>
              <w:pStyle w:val="Compact"/>
              <w:jc w:val="left"/>
            </w:pPr>
            <w:r>
              <w:t xml:space="preserve">Inter Tight Regular</w:t>
            </w:r>
          </w:p>
        </w:tc>
        <w:tc>
          <w:tcPr/>
          <w:p>
            <w:pPr>
              <w:pStyle w:val="Compact"/>
              <w:jc w:val="left"/>
            </w:pPr>
            <w:r>
              <w:t xml:space="preserve">13 / 12</w:t>
            </w:r>
          </w:p>
        </w:tc>
        <w:tc>
          <w:tcPr/>
          <w:p>
            <w:pPr>
              <w:pStyle w:val="Compact"/>
              <w:jc w:val="left"/>
            </w:pPr>
            <w:r>
              <w:t xml:space="preserve">1.45</w:t>
            </w:r>
          </w:p>
        </w:tc>
        <w:tc>
          <w:tcPr/>
          <w:p>
            <w:pPr>
              <w:pStyle w:val="Compact"/>
              <w:jc w:val="left"/>
            </w:pPr>
            <w:r>
              <w:t xml:space="preserve">0.01em</w:t>
            </w:r>
          </w:p>
        </w:tc>
        <w:tc>
          <w:tcPr/>
          <w:p>
            <w:pPr>
              <w:pStyle w:val="Compact"/>
              <w:jc w:val="left"/>
            </w:pPr>
            <w:r>
              <w:t xml:space="preserve">Sentence</w:t>
            </w:r>
          </w:p>
        </w:tc>
      </w:tr>
      <w:tr>
        <w:tc>
          <w:tcPr/>
          <w:p>
            <w:pPr>
              <w:pStyle w:val="Compact"/>
              <w:jc w:val="left"/>
            </w:pPr>
            <w:r>
              <w:t xml:space="preserve">Specimen</w:t>
            </w:r>
          </w:p>
        </w:tc>
        <w:tc>
          <w:tcPr/>
          <w:p>
            <w:pPr>
              <w:pStyle w:val="Compact"/>
              <w:jc w:val="left"/>
            </w:pPr>
            <w:r>
              <w:t xml:space="preserve">IBM Plex Mono Regular</w:t>
            </w:r>
          </w:p>
        </w:tc>
        <w:tc>
          <w:tcPr/>
          <w:p>
            <w:pPr>
              <w:pStyle w:val="Compact"/>
              <w:jc w:val="left"/>
            </w:pPr>
            <w:r>
              <w:t xml:space="preserve">12 / 11</w:t>
            </w:r>
          </w:p>
        </w:tc>
        <w:tc>
          <w:tcPr/>
          <w:p>
            <w:pPr>
              <w:pStyle w:val="Compact"/>
              <w:jc w:val="left"/>
            </w:pPr>
            <w:r>
              <w:t xml:space="preserve">1.40</w:t>
            </w:r>
          </w:p>
        </w:tc>
        <w:tc>
          <w:tcPr/>
          <w:p>
            <w:pPr>
              <w:pStyle w:val="Compact"/>
              <w:jc w:val="left"/>
            </w:pPr>
            <w:r>
              <w:t xml:space="preserve">0.04em</w:t>
            </w:r>
          </w:p>
        </w:tc>
        <w:tc>
          <w:tcPr/>
          <w:p>
            <w:pPr>
              <w:pStyle w:val="Compact"/>
              <w:jc w:val="left"/>
            </w:pPr>
            <w:r>
              <w:t xml:space="preserve">UPPERCASE</w:t>
            </w:r>
          </w:p>
        </w:tc>
      </w:tr>
      <w:tr>
        <w:tc>
          <w:tcPr/>
          <w:p>
            <w:pPr>
              <w:pStyle w:val="Compact"/>
              <w:jc w:val="left"/>
            </w:pPr>
            <w:r>
              <w:t xml:space="preserve">Data figure</w:t>
            </w:r>
          </w:p>
        </w:tc>
        <w:tc>
          <w:tcPr/>
          <w:p>
            <w:pPr>
              <w:pStyle w:val="Compact"/>
              <w:jc w:val="left"/>
            </w:pPr>
            <w:r>
              <w:t xml:space="preserve">IBM Plex Mono Medium</w:t>
            </w:r>
          </w:p>
        </w:tc>
        <w:tc>
          <w:tcPr/>
          <w:p>
            <w:pPr>
              <w:pStyle w:val="Compact"/>
              <w:jc w:val="left"/>
            </w:pPr>
            <w:r>
              <w:t xml:space="preserve">15 / 14</w:t>
            </w:r>
          </w:p>
        </w:tc>
        <w:tc>
          <w:tcPr/>
          <w:p>
            <w:pPr>
              <w:pStyle w:val="Compact"/>
              <w:jc w:val="left"/>
            </w:pPr>
            <w:r>
              <w:t xml:space="preserve">1.30</w:t>
            </w:r>
          </w:p>
        </w:tc>
        <w:tc>
          <w:tcPr/>
          <w:p>
            <w:pPr>
              <w:pStyle w:val="Compact"/>
              <w:jc w:val="left"/>
            </w:pPr>
            <w:r>
              <w:t xml:space="preserve">0</w:t>
            </w:r>
          </w:p>
        </w:tc>
        <w:tc>
          <w:tcPr/>
          <w:p>
            <w:pPr>
              <w:pStyle w:val="Compact"/>
              <w:jc w:val="left"/>
            </w:pPr>
            <w:r>
              <w:t xml:space="preserve">As entered</w:t>
            </w:r>
          </w:p>
        </w:tc>
      </w:tr>
    </w:tbl>
    <w:p>
      <w:pPr>
        <w:pStyle w:val="BodyText"/>
      </w:pPr>
      <w:r>
        <w:t xml:space="preserve">Headlines are set in sentence case and punctuated with a full stop, in the Aesop manner:</w:t>
      </w:r>
      <w:r>
        <w:t xml:space="preserve"> </w:t>
      </w:r>
      <w:r>
        <w:t xml:space="preserve">“</w:t>
      </w:r>
      <w:r>
        <w:t xml:space="preserve">Cured trim. Ice. Pressure.</w:t>
      </w:r>
      <w:r>
        <w:t xml:space="preserve">”</w:t>
      </w:r>
      <w:r>
        <w:t xml:space="preserve"> </w:t>
      </w:r>
      <w:r>
        <w:t xml:space="preserve">Line length for body copy is capped at 68 characters.</w:t>
      </w:r>
    </w:p>
    <w:bookmarkEnd w:id="31"/>
    <w:bookmarkStart w:id="32" w:name="space-grid-and-layout"/>
    <w:p>
      <w:pPr>
        <w:pStyle w:val="Heading3"/>
      </w:pPr>
      <w:r>
        <w:t xml:space="preserve">4.3 Space, grid, and layout</w:t>
      </w:r>
    </w:p>
    <w:p>
      <w:pPr>
        <w:numPr>
          <w:ilvl w:val="0"/>
          <w:numId w:val="1004"/>
        </w:numPr>
        <w:pStyle w:val="Compact"/>
      </w:pPr>
      <w:r>
        <w:t xml:space="preserve">Base unit 8. Spacing ramp: 8, 16, 24, 32, 48, 64, 96, 128, 160, 200.</w:t>
      </w:r>
    </w:p>
    <w:p>
      <w:pPr>
        <w:numPr>
          <w:ilvl w:val="0"/>
          <w:numId w:val="1004"/>
        </w:numPr>
        <w:pStyle w:val="Compact"/>
      </w:pPr>
      <w:r>
        <w:t xml:space="preserve">Desktop: 12 columns, 24px gutters, 64px page margin, content max width 1280, editorial text max width 720, full-bleed permitted for imagery only.</w:t>
      </w:r>
    </w:p>
    <w:p>
      <w:pPr>
        <w:numPr>
          <w:ilvl w:val="0"/>
          <w:numId w:val="1004"/>
        </w:numPr>
        <w:pStyle w:val="Compact"/>
      </w:pPr>
      <w:r>
        <w:t xml:space="preserve">Mobile (390): 4 columns, 16px gutters, 20px page margin.</w:t>
      </w:r>
    </w:p>
    <w:p>
      <w:pPr>
        <w:numPr>
          <w:ilvl w:val="0"/>
          <w:numId w:val="1004"/>
        </w:numPr>
        <w:pStyle w:val="Compact"/>
      </w:pPr>
      <w:r>
        <w:t xml:space="preserve">Section rhythm: 160 top and bottom on desktop marketing sections, 96 on data sections, 64 on mobile.</w:t>
      </w:r>
    </w:p>
    <w:p>
      <w:pPr>
        <w:numPr>
          <w:ilvl w:val="0"/>
          <w:numId w:val="1004"/>
        </w:numPr>
        <w:pStyle w:val="Compact"/>
      </w:pPr>
      <w:r>
        <w:t xml:space="preserve">Composition default is centered and symmetrical for hero and statement blocks; asymmetric two-column (image left, text right at 5/7 split) for method and research blocks.</w:t>
      </w:r>
    </w:p>
    <w:bookmarkEnd w:id="32"/>
    <w:bookmarkStart w:id="33" w:name="X02862c88d3c7307edceaa09662435f39bccc916"/>
    <w:p>
      <w:pPr>
        <w:pStyle w:val="Heading3"/>
      </w:pPr>
      <w:r>
        <w:t xml:space="preserve">4.4 Components (build in Figma, then mirror in Framer and code)</w:t>
      </w:r>
    </w:p>
    <w:p>
      <w:pPr>
        <w:pStyle w:val="FirstParagraph"/>
      </w:pPr>
      <w:r>
        <w:t xml:space="preserve">Atoms: Eyebrow, Headline, Body, Caption, SpecimenLine, Divider (1px), Button (Solid, Outline, Ghost with arrow), TextLink (underline offset 4px), Input, Select, Checkbox, Radio, StatusChip, Tag, IconButton.</w:t>
      </w:r>
    </w:p>
    <w:p>
      <w:pPr>
        <w:pStyle w:val="BodyText"/>
      </w:pPr>
      <w:r>
        <w:t xml:space="preserve">Molecules: NavRow, UtilityRow, AnnouncementBar, Footer, SectionHeader (eyebrow + headline + one line), ProductCard, LineCard, TraitCard, MethodStep, COARow, CitationRef, CarouselControls (thin chevrons plus hairline pagination dashes), Accordion, LocatorCard, FormRow, Toast.</w:t>
      </w:r>
    </w:p>
    <w:p>
      <w:pPr>
        <w:pStyle w:val="BodyText"/>
      </w:pPr>
      <w:r>
        <w:t xml:space="preserve">Organisms: HeroFullBleed, HeroSplit, StatementBand, ProductGrid, CuratedSetCarousel, MethodSequence, TraitMatrix, COAPanel, TerpeneIndex, ResearchList, DispensaryLocator, AgeGate, WholesaleRequest, PractitionerRequest, NewsletterBand.</w:t>
      </w:r>
    </w:p>
    <w:p>
      <w:pPr>
        <w:pStyle w:val="BodyText"/>
      </w:pPr>
      <w:r>
        <w:t xml:space="preserve">Every component ships with: default, hover, focus-visible, active, disabled, loading, empty, and error states, at both breakpoints.</w:t>
      </w:r>
    </w:p>
    <w:bookmarkEnd w:id="33"/>
    <w:bookmarkStart w:id="34" w:name="motion"/>
    <w:p>
      <w:pPr>
        <w:pStyle w:val="Heading3"/>
      </w:pPr>
      <w:r>
        <w:t xml:space="preserve">4.5 Motion</w:t>
      </w:r>
    </w:p>
    <w:p>
      <w:pPr>
        <w:numPr>
          <w:ilvl w:val="0"/>
          <w:numId w:val="1005"/>
        </w:numPr>
        <w:pStyle w:val="Compact"/>
      </w:pPr>
      <w:r>
        <w:t xml:space="preserve">Duration 400 to 600ms. Easing</w:t>
      </w:r>
      <w:r>
        <w:t xml:space="preserve"> </w:t>
      </w:r>
      <w:r>
        <w:rPr>
          <w:rStyle w:val="VerbatimChar"/>
        </w:rPr>
        <w:t xml:space="preserve">cubic-bezier(0.22, 1, 0.36, 1)</w:t>
      </w:r>
      <w:r>
        <w:t xml:space="preserve">. Nothing bounces, nothing springs, nothing parallaxes more than 40px.</w:t>
      </w:r>
    </w:p>
    <w:p>
      <w:pPr>
        <w:numPr>
          <w:ilvl w:val="0"/>
          <w:numId w:val="1005"/>
        </w:numPr>
        <w:pStyle w:val="Compact"/>
      </w:pPr>
      <w:r>
        <w:t xml:space="preserve">Reveal pattern: opacity 0 to 1 plus 16px rise, 80ms stagger between siblings, triggered at 15 percent viewport entry, played once.</w:t>
      </w:r>
    </w:p>
    <w:p>
      <w:pPr>
        <w:numPr>
          <w:ilvl w:val="0"/>
          <w:numId w:val="1005"/>
        </w:numPr>
        <w:pStyle w:val="Compact"/>
      </w:pPr>
      <w:r>
        <w:t xml:space="preserve">Imagery: scale 1.06 to 1.0 over 900ms on first reveal only. No Ken Burns loops.</w:t>
      </w:r>
    </w:p>
    <w:p>
      <w:pPr>
        <w:numPr>
          <w:ilvl w:val="0"/>
          <w:numId w:val="1005"/>
        </w:numPr>
        <w:pStyle w:val="Compact"/>
      </w:pPr>
      <w:r>
        <w:t xml:space="preserve">Hover: 1px border darkens, or underline draws left to right over 240ms. No lift, no scale, no color flood.</w:t>
      </w:r>
    </w:p>
    <w:p>
      <w:pPr>
        <w:numPr>
          <w:ilvl w:val="0"/>
          <w:numId w:val="1005"/>
        </w:numPr>
        <w:pStyle w:val="Compact"/>
      </w:pPr>
      <w:r>
        <w:t xml:space="preserve">Page transition: 240ms crossfade on the content column only. The navigation never moves.</w:t>
      </w:r>
    </w:p>
    <w:p>
      <w:pPr>
        <w:numPr>
          <w:ilvl w:val="0"/>
          <w:numId w:val="1005"/>
        </w:numPr>
        <w:pStyle w:val="Compact"/>
      </w:pPr>
      <w:r>
        <w:rPr>
          <w:rStyle w:val="VerbatimChar"/>
        </w:rPr>
        <w:t xml:space="preserve">prefers-reduced-motion: reduce</w:t>
      </w:r>
      <w:r>
        <w:t xml:space="preserve"> </w:t>
      </w:r>
      <w:r>
        <w:t xml:space="preserve">removes all transforms and leaves opacity transitions at 120ms.</w:t>
      </w:r>
    </w:p>
    <w:bookmarkEnd w:id="34"/>
    <w:bookmarkStart w:id="35" w:name="photography-and-image-art-direction"/>
    <w:p>
      <w:pPr>
        <w:pStyle w:val="Heading3"/>
      </w:pPr>
      <w:r>
        <w:t xml:space="preserve">4.6 Photography and image art direction</w:t>
      </w:r>
    </w:p>
    <w:p>
      <w:pPr>
        <w:pStyle w:val="FirstParagraph"/>
      </w:pPr>
      <w:r>
        <w:t xml:space="preserve">Four families, and nothing outside them.</w:t>
      </w:r>
    </w:p>
    <w:p>
      <w:pPr>
        <w:numPr>
          <w:ilvl w:val="0"/>
          <w:numId w:val="1006"/>
        </w:numPr>
        <w:pStyle w:val="Compact"/>
      </w:pPr>
      <w:r>
        <w:rPr>
          <w:bCs/>
          <w:b/>
        </w:rPr>
        <w:t xml:space="preserve">Raw material macro.</w:t>
      </w:r>
      <w:r>
        <w:t xml:space="preserve"> </w:t>
      </w:r>
      <w:r>
        <w:t xml:space="preserve">Cured sugar trim, ice, water, resin, botanical terpene sources (black pepper, pine, citrus peel, lavender). Shallow depth of field, single soft directional key, warm neutral grade, no props.</w:t>
      </w:r>
    </w:p>
    <w:p>
      <w:pPr>
        <w:numPr>
          <w:ilvl w:val="0"/>
          <w:numId w:val="1006"/>
        </w:numPr>
        <w:pStyle w:val="Compact"/>
      </w:pPr>
      <w:r>
        <w:rPr>
          <w:bCs/>
          <w:b/>
        </w:rPr>
        <w:t xml:space="preserve">Specimen plate.</w:t>
      </w:r>
      <w:r>
        <w:t xml:space="preserve"> </w:t>
      </w:r>
      <w:r>
        <w:t xml:space="preserve">A single object on seamless bone, centered, one grounded contact shadow, shot straight on: a hash puck, a rosin pressing, a gummy, a pre-roll, a pen. This is the product photography standard.</w:t>
      </w:r>
    </w:p>
    <w:p>
      <w:pPr>
        <w:numPr>
          <w:ilvl w:val="0"/>
          <w:numId w:val="1006"/>
        </w:numPr>
        <w:pStyle w:val="Compact"/>
      </w:pPr>
      <w:r>
        <w:rPr>
          <w:bCs/>
          <w:b/>
        </w:rPr>
        <w:t xml:space="preserve">Process documentary.</w:t>
      </w:r>
      <w:r>
        <w:t xml:space="preserve"> </w:t>
      </w:r>
      <w:r>
        <w:t xml:space="preserve">Freeze dryer trays, micron washing bags, press plates, gloved hands, stainless surfaces, laboratory glassware. Desaturated, cool, unstyled, honest. This family carries the medical and research feel.</w:t>
      </w:r>
    </w:p>
    <w:p>
      <w:pPr>
        <w:numPr>
          <w:ilvl w:val="0"/>
          <w:numId w:val="1006"/>
        </w:numPr>
        <w:pStyle w:val="Compact"/>
      </w:pPr>
      <w:r>
        <w:rPr>
          <w:bCs/>
          <w:b/>
        </w:rPr>
        <w:t xml:space="preserve">Facility and place.</w:t>
      </w:r>
      <w:r>
        <w:t xml:space="preserve"> </w:t>
      </w:r>
      <w:r>
        <w:t xml:space="preserve">998 Broadway, Buffalo brick, winter light, exterior and interior architecture. Sparing use.</w:t>
      </w:r>
    </w:p>
    <w:p>
      <w:pPr>
        <w:pStyle w:val="FirstParagraph"/>
      </w:pPr>
      <w:r>
        <w:t xml:space="preserve">Prohibited imagery: smoke, flame, lighters, leaf iconography, tie-dye, neon, glassware bongs, party or lifestyle stock, anyone appearing under 30, any depiction of consumption, any imagery that could appeal to minors.</w:t>
      </w:r>
    </w:p>
    <w:p>
      <w:pPr>
        <w:pStyle w:val="BodyText"/>
      </w:pPr>
      <w:r>
        <w:t xml:space="preserve">Illustration is permitted in exactly one form: thin-line SVG molecular and anatomical diagrams (terpene structures, receptor schematics, extraction flow), stroke 1px in</w:t>
      </w:r>
      <w:r>
        <w:t xml:space="preserve"> </w:t>
      </w:r>
      <w:r>
        <w:rPr>
          <w:rStyle w:val="VerbatimChar"/>
        </w:rPr>
        <w:t xml:space="preserve">text/primary</w:t>
      </w:r>
      <w:r>
        <w:t xml:space="preserve">, no fills, used in the Research and Method areas.</w:t>
      </w:r>
    </w:p>
    <w:p>
      <w:r>
        <w:pict>
          <v:rect style="width:0;height:1.5pt" o:hralign="center" o:hrstd="t" o:hr="t"/>
        </w:pict>
      </w:r>
    </w:p>
    <w:bookmarkEnd w:id="35"/>
    <w:bookmarkEnd w:id="36"/>
    <w:bookmarkStart w:id="39" w:name="information-architecture"/>
    <w:p>
      <w:pPr>
        <w:pStyle w:val="Heading2"/>
      </w:pPr>
      <w:r>
        <w:t xml:space="preserve">5. INFORMATION ARCHITECTURE</w:t>
      </w:r>
    </w:p>
    <w:bookmarkStart w:id="37" w:name="public-site-map"/>
    <w:p>
      <w:pPr>
        <w:pStyle w:val="Heading3"/>
      </w:pPr>
      <w:r>
        <w:t xml:space="preserve">5.1 Public site map</w:t>
      </w:r>
    </w:p>
    <w:p>
      <w:pPr>
        <w:pStyle w:val="SourceCode"/>
      </w:pPr>
      <w:r>
        <w:rPr>
          <w:rStyle w:val="VerbatimChar"/>
        </w:rPr>
        <w:t xml:space="preserve">/                       Home</w:t>
      </w:r>
      <w:r>
        <w:br/>
      </w:r>
      <w:r>
        <w:rPr>
          <w:rStyle w:val="VerbatimChar"/>
        </w:rPr>
        <w:t xml:space="preserve">/method                 From trim to rosin (the protocol)</w:t>
      </w:r>
      <w:r>
        <w:br/>
      </w:r>
      <w:r>
        <w:rPr>
          <w:rStyle w:val="VerbatimChar"/>
        </w:rPr>
        <w:t xml:space="preserve">/wellness               The five lines</w:t>
      </w:r>
      <w:r>
        <w:br/>
      </w:r>
      <w:r>
        <w:rPr>
          <w:rStyle w:val="VerbatimChar"/>
        </w:rPr>
        <w:t xml:space="preserve">  /wellness/rest        /relief  /focus  /calm  /restore</w:t>
      </w:r>
      <w:r>
        <w:br/>
      </w:r>
      <w:r>
        <w:rPr>
          <w:rStyle w:val="VerbatimChar"/>
        </w:rPr>
        <w:t xml:space="preserve">/products               By format</w:t>
      </w:r>
      <w:r>
        <w:br/>
      </w:r>
      <w:r>
        <w:rPr>
          <w:rStyle w:val="VerbatimChar"/>
        </w:rPr>
        <w:t xml:space="preserve">  /products/vape-05g    vape-1g</w:t>
      </w:r>
      <w:r>
        <w:br/>
      </w:r>
      <w:r>
        <w:rPr>
          <w:rStyle w:val="VerbatimChar"/>
        </w:rPr>
        <w:t xml:space="preserve">  /products/preroll-1g  preroll-5pk  dog-walker-5pk</w:t>
      </w:r>
      <w:r>
        <w:br/>
      </w:r>
      <w:r>
        <w:rPr>
          <w:rStyle w:val="VerbatimChar"/>
        </w:rPr>
        <w:t xml:space="preserve">  /products/gummies-10ct-100  gummies-10ct-200  gummies-20ct-200</w:t>
      </w:r>
      <w:r>
        <w:br/>
      </w:r>
      <w:r>
        <w:rPr>
          <w:rStyle w:val="VerbatimChar"/>
        </w:rPr>
        <w:t xml:space="preserve">/dna                    The Cannabis DNA Test</w:t>
      </w:r>
      <w:r>
        <w:br/>
      </w:r>
      <w:r>
        <w:rPr>
          <w:rStyle w:val="VerbatimChar"/>
        </w:rPr>
        <w:t xml:space="preserve">  /dna/how-it-works     /dna/traits  /dna/sample-report  /dna/privacy</w:t>
      </w:r>
      <w:r>
        <w:br/>
      </w:r>
      <w:r>
        <w:rPr>
          <w:rStyle w:val="VerbatimChar"/>
        </w:rPr>
        <w:t xml:space="preserve">/research               Research library</w:t>
      </w:r>
      <w:r>
        <w:br/>
      </w:r>
      <w:r>
        <w:rPr>
          <w:rStyle w:val="VerbatimChar"/>
        </w:rPr>
        <w:t xml:space="preserve">  /research/terpenes    terpene index</w:t>
      </w:r>
      <w:r>
        <w:br/>
      </w:r>
      <w:r>
        <w:rPr>
          <w:rStyle w:val="VerbatimChar"/>
        </w:rPr>
        <w:t xml:space="preserve">  /research/ecs         endocannabinoid primer</w:t>
      </w:r>
      <w:r>
        <w:br/>
      </w:r>
      <w:r>
        <w:rPr>
          <w:rStyle w:val="VerbatimChar"/>
        </w:rPr>
        <w:t xml:space="preserve">  /research/notes/[slug] method notes and citations</w:t>
      </w:r>
      <w:r>
        <w:br/>
      </w:r>
      <w:r>
        <w:rPr>
          <w:rStyle w:val="VerbatimChar"/>
        </w:rPr>
        <w:t xml:space="preserve">/transparency           Batch lookup and testing standards</w:t>
      </w:r>
      <w:r>
        <w:br/>
      </w:r>
      <w:r>
        <w:rPr>
          <w:rStyle w:val="VerbatimChar"/>
        </w:rPr>
        <w:t xml:space="preserve">/find                   Dispensary locator</w:t>
      </w:r>
      <w:r>
        <w:br/>
      </w:r>
      <w:r>
        <w:rPr>
          <w:rStyle w:val="VerbatimChar"/>
        </w:rPr>
        <w:t xml:space="preserve">/practitioners          Practitioner and naturopath channel</w:t>
      </w:r>
      <w:r>
        <w:br/>
      </w:r>
      <w:r>
        <w:rPr>
          <w:rStyle w:val="VerbatimChar"/>
        </w:rPr>
        <w:t xml:space="preserve">/wholesale              Dispensary buyer resources and order request</w:t>
      </w:r>
      <w:r>
        <w:br/>
      </w:r>
      <w:r>
        <w:rPr>
          <w:rStyle w:val="VerbatimChar"/>
        </w:rPr>
        <w:t xml:space="preserve">/about                  Facility, license, team, Buffalo</w:t>
      </w:r>
      <w:r>
        <w:br/>
      </w:r>
      <w:r>
        <w:rPr>
          <w:rStyle w:val="VerbatimChar"/>
        </w:rPr>
        <w:t xml:space="preserve">/journal                Editorial</w:t>
      </w:r>
      <w:r>
        <w:br/>
      </w:r>
      <w:r>
        <w:rPr>
          <w:rStyle w:val="VerbatimChar"/>
        </w:rPr>
        <w:t xml:space="preserve">/contact</w:t>
      </w:r>
      <w:r>
        <w:br/>
      </w:r>
      <w:r>
        <w:rPr>
          <w:rStyle w:val="VerbatimChar"/>
        </w:rPr>
        <w:t xml:space="preserve">/legal/privacy  /legal/terms  /legal/accessibility  /legal/compliance</w:t>
      </w:r>
    </w:p>
    <w:bookmarkEnd w:id="37"/>
    <w:bookmarkStart w:id="38" w:name="navigation"/>
    <w:p>
      <w:pPr>
        <w:pStyle w:val="Heading3"/>
      </w:pPr>
      <w:r>
        <w:t xml:space="preserve">5.2 Navigation</w:t>
      </w:r>
    </w:p>
    <w:p>
      <w:pPr>
        <w:pStyle w:val="FirstParagraph"/>
      </w:pPr>
      <w:r>
        <w:t xml:space="preserve">Primary row, centered, plain words, 0.02em tracking, no dropdown chrome beyond a single hairline mega-panel:</w:t>
      </w:r>
    </w:p>
    <w:p>
      <w:pPr>
        <w:pStyle w:val="BodyText"/>
      </w:pPr>
      <w:r>
        <w:rPr>
          <w:rStyle w:val="VerbatimChar"/>
        </w:rPr>
        <w:t xml:space="preserve">Method</w:t>
      </w:r>
      <w:r>
        <w:t xml:space="preserve"> </w:t>
      </w:r>
      <w:r>
        <w:t xml:space="preserve">·</w:t>
      </w:r>
      <w:r>
        <w:t xml:space="preserve"> </w:t>
      </w:r>
      <w:r>
        <w:rPr>
          <w:rStyle w:val="VerbatimChar"/>
        </w:rPr>
        <w:t xml:space="preserve">Wellness</w:t>
      </w:r>
      <w:r>
        <w:t xml:space="preserve"> </w:t>
      </w:r>
      <w:r>
        <w:t xml:space="preserve">·</w:t>
      </w:r>
      <w:r>
        <w:t xml:space="preserve"> </w:t>
      </w:r>
      <w:r>
        <w:rPr>
          <w:rStyle w:val="VerbatimChar"/>
        </w:rPr>
        <w:t xml:space="preserve">Products</w:t>
      </w:r>
      <w:r>
        <w:t xml:space="preserve"> </w:t>
      </w:r>
      <w:r>
        <w:t xml:space="preserve">·</w:t>
      </w:r>
      <w:r>
        <w:t xml:space="preserve"> </w:t>
      </w:r>
      <w:r>
        <w:rPr>
          <w:rStyle w:val="VerbatimChar"/>
        </w:rPr>
        <w:t xml:space="preserve">DNA Test</w:t>
      </w:r>
      <w:r>
        <w:t xml:space="preserve"> </w:t>
      </w:r>
      <w:r>
        <w:t xml:space="preserve">·</w:t>
      </w:r>
      <w:r>
        <w:t xml:space="preserve"> </w:t>
      </w:r>
      <w:r>
        <w:rPr>
          <w:rStyle w:val="VerbatimChar"/>
        </w:rPr>
        <w:t xml:space="preserve">Research</w:t>
      </w:r>
      <w:r>
        <w:t xml:space="preserve"> </w:t>
      </w:r>
      <w:r>
        <w:t xml:space="preserve">·</w:t>
      </w:r>
      <w:r>
        <w:t xml:space="preserve"> </w:t>
      </w:r>
      <w:r>
        <w:rPr>
          <w:rStyle w:val="VerbatimChar"/>
        </w:rPr>
        <w:t xml:space="preserve">Transparency</w:t>
      </w:r>
      <w:r>
        <w:t xml:space="preserve"> </w:t>
      </w:r>
      <w:r>
        <w:t xml:space="preserve">·</w:t>
      </w:r>
      <w:r>
        <w:t xml:space="preserve"> </w:t>
      </w:r>
      <w:r>
        <w:rPr>
          <w:rStyle w:val="VerbatimChar"/>
        </w:rPr>
        <w:t xml:space="preserve">Find</w:t>
      </w:r>
    </w:p>
    <w:p>
      <w:pPr>
        <w:pStyle w:val="BodyText"/>
      </w:pPr>
      <w:r>
        <w:t xml:space="preserve">Utility, left edge:</w:t>
      </w:r>
      <w:r>
        <w:t xml:space="preserve"> </w:t>
      </w:r>
      <w:r>
        <w:rPr>
          <w:rStyle w:val="VerbatimChar"/>
        </w:rPr>
        <w:t xml:space="preserve">Wholesale</w:t>
      </w:r>
      <w:r>
        <w:t xml:space="preserve">,</w:t>
      </w:r>
      <w:r>
        <w:t xml:space="preserve"> </w:t>
      </w:r>
      <w:r>
        <w:rPr>
          <w:rStyle w:val="VerbatimChar"/>
        </w:rPr>
        <w:t xml:space="preserve">Practitioners</w:t>
      </w:r>
      <w:r>
        <w:t xml:space="preserve">. Right edge:</w:t>
      </w:r>
      <w:r>
        <w:t xml:space="preserve"> </w:t>
      </w:r>
      <w:r>
        <w:rPr>
          <w:rStyle w:val="VerbatimChar"/>
        </w:rPr>
        <w:t xml:space="preserve">Search</w:t>
      </w:r>
      <w:r>
        <w:t xml:space="preserve">,</w:t>
      </w:r>
      <w:r>
        <w:t xml:space="preserve"> </w:t>
      </w:r>
      <w:r>
        <w:rPr>
          <w:rStyle w:val="VerbatimChar"/>
        </w:rPr>
        <w:t xml:space="preserve">Account</w:t>
      </w:r>
      <w:r>
        <w:t xml:space="preserve">,</w:t>
      </w:r>
      <w:r>
        <w:t xml:space="preserve"> </w:t>
      </w:r>
      <w:r>
        <w:rPr>
          <w:rStyle w:val="VerbatimChar"/>
        </w:rPr>
        <w:t xml:space="preserve">Cart (0)</w:t>
      </w:r>
      <w:r>
        <w:t xml:space="preserve">.</w:t>
      </w:r>
    </w:p>
    <w:p>
      <w:pPr>
        <w:pStyle w:val="BodyText"/>
      </w:pPr>
      <w:r>
        <w:t xml:space="preserve">Announcement bar, one sentence, ink background:</w:t>
      </w:r>
      <w:r>
        <w:t xml:space="preserve"> </w:t>
      </w:r>
      <w:r>
        <w:t xml:space="preserve">“</w:t>
      </w:r>
      <w:r>
        <w:t xml:space="preserve">Every batch published, with a full Certificate of Analysis.</w:t>
      </w:r>
      <w:r>
        <w:t xml:space="preserve">”</w:t>
      </w:r>
    </w:p>
    <w:p>
      <w:pPr>
        <w:pStyle w:val="BodyText"/>
      </w:pPr>
      <w:r>
        <w:t xml:space="preserve">Mega-panel behavior: opens as a full-width bone panel beneath the hairline, three columns of plain links plus one specimen image, 240ms fade, closes on escape and outside click, fully keyboard navigable.</w:t>
      </w:r>
    </w:p>
    <w:p>
      <w:r>
        <w:pict>
          <v:rect style="width:0;height:1.5pt" o:hralign="center" o:hrstd="t" o:hr="t"/>
        </w:pict>
      </w:r>
    </w:p>
    <w:bookmarkEnd w:id="38"/>
    <w:bookmarkEnd w:id="39"/>
    <w:bookmarkStart w:id="50" w:name="page-specifications-public-site"/>
    <w:p>
      <w:pPr>
        <w:pStyle w:val="Heading2"/>
      </w:pPr>
      <w:r>
        <w:t xml:space="preserve">6. PAGE SPECIFICATIONS (PUBLIC SITE)</w:t>
      </w:r>
    </w:p>
    <w:p>
      <w:pPr>
        <w:pStyle w:val="FirstParagraph"/>
      </w:pPr>
      <w:r>
        <w:t xml:space="preserve">Copy below is production-intent, written in the register. Use it, or improve it inside the same constraints. Do not soften it toward conventional cannabis marketing.</w:t>
      </w:r>
    </w:p>
    <w:bookmarkStart w:id="40" w:name="home"/>
    <w:p>
      <w:pPr>
        <w:pStyle w:val="Heading3"/>
      </w:pPr>
      <w:r>
        <w:t xml:space="preserve">6.1 Home</w:t>
      </w:r>
    </w:p>
    <w:p>
      <w:pPr>
        <w:pStyle w:val="FirstParagraph"/>
      </w:pPr>
      <w:r>
        <w:rPr>
          <w:bCs/>
          <w:b/>
        </w:rPr>
        <w:t xml:space="preserve">Block 1: Hero, full bleed, raw material macro (cured trim under raking light), ink scrim at 20 percent, centered type over the lower third.</w:t>
      </w:r>
      <w:r>
        <w:t xml:space="preserve"> </w:t>
      </w:r>
      <w:r>
        <w:t xml:space="preserve">- Eyebrow: A STUDY IN SUBTRACTION</w:t>
      </w:r>
      <w:r>
        <w:t xml:space="preserve"> </w:t>
      </w:r>
      <w:r>
        <w:t xml:space="preserve">- Headline: Cured trim. Ice. Pressure. Nothing else.</w:t>
      </w:r>
      <w:r>
        <w:t xml:space="preserve"> </w:t>
      </w:r>
      <w:r>
        <w:t xml:space="preserve">- Sub: CedarGrowth produces solventless live rosin in Buffalo, New York, formulated for outcome rather than potency.</w:t>
      </w:r>
      <w:r>
        <w:t xml:space="preserve"> </w:t>
      </w:r>
      <w:r>
        <w:t xml:space="preserve">- Outline button with arrow: Read the method</w:t>
      </w:r>
    </w:p>
    <w:p>
      <w:pPr>
        <w:pStyle w:val="BodyText"/>
      </w:pPr>
      <w:r>
        <w:rPr>
          <w:bCs/>
          <w:b/>
        </w:rPr>
        <w:t xml:space="preserve">Block 2: Statement band on parchment, centered, max width 720.</w:t>
      </w:r>
      <w:r>
        <w:t xml:space="preserve"> </w:t>
      </w:r>
      <w:r>
        <w:t xml:space="preserve">- Eyebrow: POSITION</w:t>
      </w:r>
      <w:r>
        <w:t xml:space="preserve"> </w:t>
      </w:r>
      <w:r>
        <w:t xml:space="preserve">- Headline: A wellness company that produces cannabis.</w:t>
      </w:r>
      <w:r>
        <w:t xml:space="preserve"> </w:t>
      </w:r>
      <w:r>
        <w:t xml:space="preserve">- Body: Every formulation begins with an intended state, not a strain name. Five lines, eight products, one extraction standard.</w:t>
      </w:r>
    </w:p>
    <w:p>
      <w:pPr>
        <w:pStyle w:val="BodyText"/>
      </w:pPr>
      <w:r>
        <w:rPr>
          <w:bCs/>
          <w:b/>
        </w:rPr>
        <w:t xml:space="preserve">Block 3: The five lines.</w:t>
      </w:r>
      <w:r>
        <w:t xml:space="preserve"> </w:t>
      </w:r>
      <w:r>
        <w:t xml:space="preserve">Five cards in a row on desktop (horizontal scroll on mobile), each with a specimen plate image, a 3px pigment marker rule, the line name in Newsreader, and one descriptor line:</w:t>
      </w:r>
      <w:r>
        <w:t xml:space="preserve"> </w:t>
      </w:r>
      <w:r>
        <w:t xml:space="preserve">- REST. For the hours before sleep.</w:t>
      </w:r>
      <w:r>
        <w:t xml:space="preserve"> </w:t>
      </w:r>
      <w:r>
        <w:t xml:space="preserve">- RELIEF. For the body after effort.</w:t>
      </w:r>
      <w:r>
        <w:t xml:space="preserve"> </w:t>
      </w:r>
      <w:r>
        <w:t xml:space="preserve">- FOCUS. For the clear part of the day.</w:t>
      </w:r>
      <w:r>
        <w:t xml:space="preserve"> </w:t>
      </w:r>
      <w:r>
        <w:t xml:space="preserve">- CALM. For the room full of people.</w:t>
      </w:r>
      <w:r>
        <w:t xml:space="preserve"> </w:t>
      </w:r>
      <w:r>
        <w:t xml:space="preserve">- RESTORE. For the long return.</w:t>
      </w:r>
    </w:p>
    <w:p>
      <w:pPr>
        <w:pStyle w:val="BodyText"/>
      </w:pPr>
      <w:r>
        <w:rPr>
          <w:bCs/>
          <w:b/>
        </w:rPr>
        <w:t xml:space="preserve">Block 4: The five absences (the purity strip, on ink).</w:t>
      </w:r>
      <w:r>
        <w:t xml:space="preserve"> </w:t>
      </w:r>
      <w:r>
        <w:t xml:space="preserve">Five hairline-separated cells, each a numeral 00 in IBM Plex Mono above a label: No solvents. No distillate. No additives. No fillers. No shortcuts. One line beneath: Ice water hash and rosin, pressed from 100 percent dried sugar trim.</w:t>
      </w:r>
    </w:p>
    <w:p>
      <w:pPr>
        <w:pStyle w:val="BodyText"/>
      </w:pPr>
      <w:r>
        <w:rPr>
          <w:bCs/>
          <w:b/>
        </w:rPr>
        <w:t xml:space="preserve">Block 5: The DNA Test, split layout.</w:t>
      </w:r>
      <w:r>
        <w:t xml:space="preserve"> </w:t>
      </w:r>
      <w:r>
        <w:t xml:space="preserve">Left: process documentary image of a sample kit on stainless. Right:</w:t>
      </w:r>
      <w:r>
        <w:t xml:space="preserve"> </w:t>
      </w:r>
      <w:r>
        <w:t xml:space="preserve">- Eyebrow: PRECISION</w:t>
      </w:r>
      <w:r>
        <w:t xml:space="preserve"> </w:t>
      </w:r>
      <w:r>
        <w:t xml:space="preserve">- Headline: Thirteen traits. One protocol.</w:t>
      </w:r>
      <w:r>
        <w:t xml:space="preserve"> </w:t>
      </w:r>
      <w:r>
        <w:t xml:space="preserve">- Body: Our Cannabis DNA Test reads how your body metabolizes cannabinoids, then matches you to a format, a ratio, and a starting protocol. Guesswork is not a wellness plan.</w:t>
      </w:r>
      <w:r>
        <w:t xml:space="preserve"> </w:t>
      </w:r>
      <w:r>
        <w:t xml:space="preserve">- Ghost link with arrow: See the thirteen traits</w:t>
      </w:r>
    </w:p>
    <w:p>
      <w:pPr>
        <w:pStyle w:val="BodyText"/>
      </w:pPr>
      <w:r>
        <w:rPr>
          <w:bCs/>
          <w:b/>
        </w:rPr>
        <w:t xml:space="preserve">Block 6: Transparency band.</w:t>
      </w:r>
      <w:r>
        <w:t xml:space="preserve"> </w:t>
      </w:r>
      <w:r>
        <w:t xml:space="preserve">Batch lookup input inline (mono placeholder</w:t>
      </w:r>
      <w:r>
        <w:t xml:space="preserve"> </w:t>
      </w:r>
      <w:r>
        <w:rPr>
          <w:rStyle w:val="VerbatimChar"/>
        </w:rPr>
        <w:t xml:space="preserve">BATCH ID</w:t>
      </w:r>
      <w:r>
        <w:t xml:space="preserve">), one line: Every batch we release is tested by a third-party laboratory. Enter a batch number to read its full profile.</w:t>
      </w:r>
    </w:p>
    <w:p>
      <w:pPr>
        <w:pStyle w:val="BodyText"/>
      </w:pPr>
      <w:r>
        <w:rPr>
          <w:bCs/>
          <w:b/>
        </w:rPr>
        <w:t xml:space="preserve">Block 7: Research teaser.</w:t>
      </w:r>
      <w:r>
        <w:t xml:space="preserve"> </w:t>
      </w:r>
      <w:r>
        <w:t xml:space="preserve">Three latest research notes as plain hairline-separated rows: date in mono, title in Newsreader, one-line abstract in Body M.</w:t>
      </w:r>
    </w:p>
    <w:p>
      <w:pPr>
        <w:pStyle w:val="BodyText"/>
      </w:pPr>
      <w:r>
        <w:rPr>
          <w:bCs/>
          <w:b/>
        </w:rPr>
        <w:t xml:space="preserve">Block 8: Find.</w:t>
      </w:r>
      <w:r>
        <w:t xml:space="preserve"> </w:t>
      </w:r>
      <w:r>
        <w:t xml:space="preserve">Map-still with a hairline overlay, headline: Available across New York State. Outline button: Find a dispensary.</w:t>
      </w:r>
    </w:p>
    <w:p>
      <w:pPr>
        <w:pStyle w:val="BodyText"/>
      </w:pPr>
      <w:r>
        <w:rPr>
          <w:bCs/>
          <w:b/>
        </w:rPr>
        <w:t xml:space="preserve">Block 9: Footer.</w:t>
      </w:r>
      <w:r>
        <w:t xml:space="preserve"> </w:t>
      </w:r>
      <w:r>
        <w:t xml:space="preserve">Four columns of plain links, license identifier, address (998 Broadway, Buffalo, NY 14212), 21+ line, warning block, small newsletter row.</w:t>
      </w:r>
    </w:p>
    <w:bookmarkEnd w:id="40"/>
    <w:bookmarkStart w:id="41" w:name="method"/>
    <w:p>
      <w:pPr>
        <w:pStyle w:val="Heading3"/>
      </w:pPr>
      <w:r>
        <w:t xml:space="preserve">6.2 /method</w:t>
      </w:r>
    </w:p>
    <w:p>
      <w:pPr>
        <w:pStyle w:val="FirstParagraph"/>
      </w:pPr>
      <w:r>
        <w:t xml:space="preserve">Written like a protocol document, not a story. Nine sequential steps, each an asymmetric row (process image left, text right), numbered in mono (01 through 09), separated by hairlines:</w:t>
      </w:r>
    </w:p>
    <w:p>
      <w:pPr>
        <w:pStyle w:val="BodyText"/>
      </w:pPr>
      <w:r>
        <w:t xml:space="preserve">01 Input selection (100 percent dried and cured sugar trim) · 02 Cold water agitation · 03 Micron filtration · 04 Collection and sieving · 05 Freeze drying · 06 Rosin pressing (temperature and pressure stated) · 07 Cold cure · 08 Formulation by line · 09 Third-party verification.</w:t>
      </w:r>
    </w:p>
    <w:p>
      <w:pPr>
        <w:pStyle w:val="BodyText"/>
      </w:pPr>
      <w:r>
        <w:t xml:space="preserve">Beneath the sequence, a data panel in the clinical surface stating input economics in plain figures: input material, yield, and the fact that yield discipline is what funds the packaging, the testing, and the price. Then a closing statement band: What we do not do. No hydrocarbons. No distillate. No cutting agents. No synthetic terpenes.</w:t>
      </w:r>
    </w:p>
    <w:bookmarkEnd w:id="41"/>
    <w:bookmarkStart w:id="42" w:name="wellness-and-the-five-line-pages"/>
    <w:p>
      <w:pPr>
        <w:pStyle w:val="Heading3"/>
      </w:pPr>
      <w:r>
        <w:t xml:space="preserve">6.3 /wellness and the five line pages</w:t>
      </w:r>
    </w:p>
    <w:p>
      <w:pPr>
        <w:pStyle w:val="FirstParagraph"/>
      </w:pPr>
      <w:r>
        <w:t xml:space="preserve">Index: five full-width alternating rows, pigment marker, name, descriptor, terpene anchor in mono, and the formats available.</w:t>
      </w:r>
    </w:p>
    <w:p>
      <w:pPr>
        <w:pStyle w:val="BodyText"/>
      </w:pPr>
      <w:r>
        <w:t xml:space="preserve">Each line page (template, five instances):</w:t>
      </w:r>
      <w:r>
        <w:t xml:space="preserve"> </w:t>
      </w:r>
      <w:r>
        <w:t xml:space="preserve">1. Hero split: raw material macro of the anchor botanical, line name, descriptor.</w:t>
      </w:r>
      <w:r>
        <w:t xml:space="preserve"> </w:t>
      </w:r>
      <w:r>
        <w:t xml:space="preserve">2. The intent: three short paragraphs describing the intended state, written without medical claims.</w:t>
      </w:r>
      <w:r>
        <w:t xml:space="preserve"> </w:t>
      </w:r>
      <w:r>
        <w:t xml:space="preserve">3. Terpene profile: thin-line molecular diagrams with names and one-line character notes.</w:t>
      </w:r>
      <w:r>
        <w:t xml:space="preserve"> </w:t>
      </w:r>
      <w:r>
        <w:t xml:space="preserve">4. Genetic traits that drive selection into this line, pulled from the DNA trait set, each linking to /dna/traits.</w:t>
      </w:r>
      <w:r>
        <w:t xml:space="preserve"> </w:t>
      </w:r>
      <w:r>
        <w:t xml:space="preserve">5. Formats in this line as product cards.</w:t>
      </w:r>
      <w:r>
        <w:t xml:space="preserve"> </w:t>
      </w:r>
      <w:r>
        <w:t xml:space="preserve">6. Related research notes.</w:t>
      </w:r>
    </w:p>
    <w:bookmarkEnd w:id="42"/>
    <w:bookmarkStart w:id="43" w:name="products-and-product-detail"/>
    <w:p>
      <w:pPr>
        <w:pStyle w:val="Heading3"/>
      </w:pPr>
      <w:r>
        <w:t xml:space="preserve">6.4 /products and product detail</w:t>
      </w:r>
    </w:p>
    <w:p>
      <w:pPr>
        <w:pStyle w:val="FirstParagraph"/>
      </w:pPr>
      <w:r>
        <w:t xml:space="preserve">Index groups by format (vape, infused pre-roll, gummy), Aesop-style plate photography on bone, name, one poetic descriptor line, format specification in mono.</w:t>
      </w:r>
    </w:p>
    <w:p>
      <w:pPr>
        <w:pStyle w:val="BodyText"/>
      </w:pPr>
      <w:r>
        <w:t xml:space="preserve">Product detail template:</w:t>
      </w:r>
      <w:r>
        <w:t xml:space="preserve"> </w:t>
      </w:r>
      <w:r>
        <w:t xml:space="preserve">- Full-bleed or centered specimen plate. No carousel of five near-identical shots. Two images maximum.</w:t>
      </w:r>
      <w:r>
        <w:t xml:space="preserve"> </w:t>
      </w:r>
      <w:r>
        <w:t xml:space="preserve">- Eyebrow (line name), product name (Newsreader), one-sentence descriptor.</w:t>
      </w:r>
      <w:r>
        <w:t xml:space="preserve"> </w:t>
      </w:r>
      <w:r>
        <w:t xml:space="preserve">- Specimen block in mono: format, net weight, cannabinoid profile, dominant terpenes, batch, harvest, lab, test date.</w:t>
      </w:r>
      <w:r>
        <w:t xml:space="preserve"> </w:t>
      </w:r>
      <w:r>
        <w:t xml:space="preserve">-</w:t>
      </w:r>
      <w:r>
        <w:t xml:space="preserve"> </w:t>
      </w:r>
      <w:r>
        <w:t xml:space="preserve">“</w:t>
      </w:r>
      <w:r>
        <w:t xml:space="preserve">How it is made</w:t>
      </w:r>
      <w:r>
        <w:t xml:space="preserve">”</w:t>
      </w:r>
      <w:r>
        <w:t xml:space="preserve"> </w:t>
      </w:r>
      <w:r>
        <w:t xml:space="preserve">three-line summary linking to /method.</w:t>
      </w:r>
      <w:r>
        <w:t xml:space="preserve"> </w:t>
      </w:r>
      <w:r>
        <w:t xml:space="preserve">- COA panel: expandable, real figures, pass indicator, link to full PDF.</w:t>
      </w:r>
      <w:r>
        <w:t xml:space="preserve"> </w:t>
      </w:r>
      <w:r>
        <w:t xml:space="preserve">- Genetic matching note: which traits indicate this product, linking to the DNA test.</w:t>
      </w:r>
      <w:r>
        <w:t xml:space="preserve"> </w:t>
      </w:r>
      <w:r>
        <w:t xml:space="preserve">-</w:t>
      </w:r>
      <w:r>
        <w:t xml:space="preserve"> </w:t>
      </w:r>
      <w:r>
        <w:rPr>
          <w:bCs/>
          <w:b/>
        </w:rPr>
        <w:t xml:space="preserve">Availability, not a cart.</w:t>
      </w:r>
      <w:r>
        <w:t xml:space="preserve"> </w:t>
      </w:r>
      <w:r>
        <w:t xml:space="preserve">Primary action is</w:t>
      </w:r>
      <w:r>
        <w:t xml:space="preserve"> </w:t>
      </w:r>
      <w:r>
        <w:rPr>
          <w:rStyle w:val="VerbatimChar"/>
        </w:rPr>
        <w:t xml:space="preserve">Find this product</w:t>
      </w:r>
      <w:r>
        <w:t xml:space="preserve"> </w:t>
      </w:r>
      <w:r>
        <w:t xml:space="preserve">(routes to the locator, pre-filtered). See Section 9.2.</w:t>
      </w:r>
      <w:r>
        <w:t xml:space="preserve"> </w:t>
      </w:r>
      <w:r>
        <w:t xml:space="preserve">- Accordion: full ingredients, packaging, storage, required state warnings.</w:t>
      </w:r>
    </w:p>
    <w:bookmarkEnd w:id="43"/>
    <w:bookmarkStart w:id="44" w:name="X4c26c027cabc23f21738345d4d40cb8d97c5f75"/>
    <w:p>
      <w:pPr>
        <w:pStyle w:val="Heading3"/>
      </w:pPr>
      <w:r>
        <w:t xml:space="preserve">6.5 /dna (the differentiator, treat this as the second front door)</w:t>
      </w:r>
    </w:p>
    <w:p>
      <w:pPr>
        <w:numPr>
          <w:ilvl w:val="0"/>
          <w:numId w:val="1007"/>
        </w:numPr>
        <w:pStyle w:val="Compact"/>
      </w:pPr>
      <w:r>
        <w:t xml:space="preserve">Hero: process documentary, kit on stainless. Eyebrow PRECISION WELLNESS. Headline: Your genetics already have an opinion. Sub: A saliva sample, a laboratory, and thirteen traits that determine how cannabinoids move through your body.</w:t>
      </w:r>
    </w:p>
    <w:p>
      <w:pPr>
        <w:numPr>
          <w:ilvl w:val="0"/>
          <w:numId w:val="1007"/>
        </w:numPr>
        <w:pStyle w:val="Compact"/>
      </w:pPr>
      <w:r>
        <w:t xml:space="preserve">Three-step sequence in mono numerals: 01 Collect at home · 02 Laboratory analysis · 03 Your Cannabis Wellness Profile in the app.</w:t>
      </w:r>
    </w:p>
    <w:p>
      <w:pPr>
        <w:numPr>
          <w:ilvl w:val="0"/>
          <w:numId w:val="1007"/>
        </w:numPr>
        <w:pStyle w:val="Compact"/>
      </w:pPr>
      <w:r>
        <w:rPr>
          <w:bCs/>
          <w:b/>
        </w:rPr>
        <w:t xml:space="preserve">The thirteen traits as a matrix.</w:t>
      </w:r>
      <w:r>
        <w:t xml:space="preserve"> </w:t>
      </w:r>
      <w:r>
        <w:t xml:space="preserve">A hairline table (desktop) or stacked cards (mobile), one row per trait: trait name, what it governs, what it changes about your protocol. All thirteen from the master plan are included, none paraphrased into a claim.</w:t>
      </w:r>
    </w:p>
    <w:p>
      <w:pPr>
        <w:numPr>
          <w:ilvl w:val="0"/>
          <w:numId w:val="1007"/>
        </w:numPr>
        <w:pStyle w:val="Compact"/>
      </w:pPr>
      <w:r>
        <w:t xml:space="preserve">Sample report: a genuine-looking, clearly labeled specimen of the output, watermarked SAMPLE, showing matched formats, ratio guidance, and flagged cautions.</w:t>
      </w:r>
    </w:p>
    <w:p>
      <w:pPr>
        <w:numPr>
          <w:ilvl w:val="0"/>
          <w:numId w:val="1007"/>
        </w:numPr>
        <w:pStyle w:val="Compact"/>
      </w:pPr>
      <w:r>
        <w:t xml:space="preserve">What this is and is not: a plain, prominent panel stating that this is a wellness tool, not a medical device or a diagnostic, and that it does not diagnose, treat, or prevent any condition.</w:t>
      </w:r>
    </w:p>
    <w:p>
      <w:pPr>
        <w:numPr>
          <w:ilvl w:val="0"/>
          <w:numId w:val="1007"/>
        </w:numPr>
        <w:pStyle w:val="Compact"/>
      </w:pPr>
      <w:r>
        <w:t xml:space="preserve">Privacy panel, linking to /dna/privacy: what is sequenced, where it is stored, who can see it, how to delete it, and the commitment that genetic data is never sold or shared without explicit consent.</w:t>
      </w:r>
    </w:p>
    <w:p>
      <w:pPr>
        <w:numPr>
          <w:ilvl w:val="0"/>
          <w:numId w:val="1007"/>
        </w:numPr>
        <w:pStyle w:val="Compact"/>
      </w:pPr>
      <w:r>
        <w:t xml:space="preserve">Price stated plainly. Kit purchase is the one true commerce path on this site.</w:t>
      </w:r>
    </w:p>
    <w:bookmarkEnd w:id="44"/>
    <w:bookmarkStart w:id="45" w:name="research-the-library"/>
    <w:p>
      <w:pPr>
        <w:pStyle w:val="Heading3"/>
      </w:pPr>
      <w:r>
        <w:t xml:space="preserve">6.6 /research (the library)</w:t>
      </w:r>
    </w:p>
    <w:p>
      <w:pPr>
        <w:pStyle w:val="FirstParagraph"/>
      </w:pPr>
      <w:r>
        <w:t xml:space="preserve">The most Aesop-adjacent area, tuned scientific. A plain index of notes, each row: date (mono), category tag, title (Newsreader), one-line abstract. No cards, no images in the index, hairlines only.</w:t>
      </w:r>
    </w:p>
    <w:p>
      <w:pPr>
        <w:pStyle w:val="BodyText"/>
      </w:pPr>
      <w:r>
        <w:t xml:space="preserve">Article template: 720px measure, generous leading, drop-in figures (thin-line diagrams and process photography), numbered citations rendered as superscript linking to a references block at the foot, each reference in full academic format. Pull quotes set in Newsreader at Display L with hairlines above and below.</w:t>
      </w:r>
    </w:p>
    <w:p>
      <w:pPr>
        <w:pStyle w:val="BodyText"/>
      </w:pPr>
      <w:r>
        <w:t xml:space="preserve">Two evergreen pillars, built first:</w:t>
      </w:r>
      <w:r>
        <w:t xml:space="preserve"> </w:t>
      </w:r>
      <w:r>
        <w:rPr>
          <w:bCs/>
          <w:b/>
        </w:rPr>
        <w:t xml:space="preserve">Terpene index</w:t>
      </w:r>
      <w:r>
        <w:t xml:space="preserve"> </w:t>
      </w:r>
      <w:r>
        <w:t xml:space="preserve">(a filterable hairline table of terpenes with character, aroma family, associated line, and citations) and</w:t>
      </w:r>
      <w:r>
        <w:t xml:space="preserve"> </w:t>
      </w:r>
      <w:r>
        <w:rPr>
          <w:bCs/>
          <w:b/>
        </w:rPr>
        <w:t xml:space="preserve">The endocannabinoid system, plainly</w:t>
      </w:r>
      <w:r>
        <w:t xml:space="preserve"> </w:t>
      </w:r>
      <w:r>
        <w:t xml:space="preserve">(a primer with anatomical line diagrams).</w:t>
      </w:r>
    </w:p>
    <w:bookmarkEnd w:id="45"/>
    <w:bookmarkStart w:id="46" w:name="transparency"/>
    <w:p>
      <w:pPr>
        <w:pStyle w:val="Heading3"/>
      </w:pPr>
      <w:r>
        <w:t xml:space="preserve">6.7 /transparency</w:t>
      </w:r>
    </w:p>
    <w:p>
      <w:pPr>
        <w:numPr>
          <w:ilvl w:val="0"/>
          <w:numId w:val="1008"/>
        </w:numPr>
        <w:pStyle w:val="Compact"/>
      </w:pPr>
      <w:r>
        <w:t xml:space="preserve">Batch lookup as the hero: a single mono input, a large search field, nothing else above the fold.</w:t>
      </w:r>
    </w:p>
    <w:p>
      <w:pPr>
        <w:numPr>
          <w:ilvl w:val="0"/>
          <w:numId w:val="1008"/>
        </w:numPr>
        <w:pStyle w:val="Compact"/>
      </w:pPr>
      <w:r>
        <w:t xml:space="preserve">Result state: full COA panel, cannabinoid table, terpene table, contaminant screens each with pass status, laboratory name, accreditation, test date, and a download link.</w:t>
      </w:r>
    </w:p>
    <w:p>
      <w:pPr>
        <w:numPr>
          <w:ilvl w:val="0"/>
          <w:numId w:val="1008"/>
        </w:numPr>
        <w:pStyle w:val="Compact"/>
      </w:pPr>
      <w:r>
        <w:t xml:space="preserve">Empty and not-found states written plainly, never blaming the user.</w:t>
      </w:r>
    </w:p>
    <w:p>
      <w:pPr>
        <w:numPr>
          <w:ilvl w:val="0"/>
          <w:numId w:val="1008"/>
        </w:numPr>
        <w:pStyle w:val="Compact"/>
      </w:pPr>
      <w:r>
        <w:t xml:space="preserve">Beneath: what we test for and why, the laboratory partners, and the sampling standard.</w:t>
      </w:r>
    </w:p>
    <w:bookmarkEnd w:id="46"/>
    <w:bookmarkStart w:id="47" w:name="find-dispensary-locator"/>
    <w:p>
      <w:pPr>
        <w:pStyle w:val="Heading3"/>
      </w:pPr>
      <w:r>
        <w:t xml:space="preserve">6.8 /find (dispensary locator)</w:t>
      </w:r>
    </w:p>
    <w:p>
      <w:pPr>
        <w:pStyle w:val="FirstParagraph"/>
      </w:pPr>
      <w:r>
        <w:t xml:space="preserve">Postal code or city input, radius filter, product filter, list plus map. Each card: dispensary name, address, distance, which CedarGrowth formats are stocked, hours, and a directions link. Map style is custom: bone base, hairline roads, ink pins, no default map chrome or saturated colors.</w:t>
      </w:r>
    </w:p>
    <w:bookmarkEnd w:id="47"/>
    <w:bookmarkStart w:id="48" w:name="wholesale-and-practitioners"/>
    <w:p>
      <w:pPr>
        <w:pStyle w:val="Heading3"/>
      </w:pPr>
      <w:r>
        <w:t xml:space="preserve">6.9 /wholesale and /practitioners</w:t>
      </w:r>
    </w:p>
    <w:p>
      <w:pPr>
        <w:pStyle w:val="FirstParagraph"/>
      </w:pPr>
      <w:r>
        <w:t xml:space="preserve">Two gated-lite request paths, not stores.</w:t>
      </w:r>
    </w:p>
    <w:p>
      <w:pPr>
        <w:pStyle w:val="BodyText"/>
      </w:pPr>
      <w:r>
        <w:t xml:space="preserve">Wholesale: the line sheet (downloadable), case configurations, minimums, lead times, budtender education materials, shelf talkers, COA archive, and an account request form. Tone shifts slightly more operational, visual language unchanged.</w:t>
      </w:r>
    </w:p>
    <w:p>
      <w:pPr>
        <w:pStyle w:val="BodyText"/>
      </w:pPr>
      <w:r>
        <w:t xml:space="preserve">Practitioners: the genetic-guided referral pathway, what a practitioner receives, the consent model, and a request form. This page carries the strongest medical register on the site and must be the most conservative in its claims.</w:t>
      </w:r>
    </w:p>
    <w:bookmarkEnd w:id="48"/>
    <w:bookmarkStart w:id="49" w:name="about"/>
    <w:p>
      <w:pPr>
        <w:pStyle w:val="Heading3"/>
      </w:pPr>
      <w:r>
        <w:t xml:space="preserve">6.10 /about</w:t>
      </w:r>
    </w:p>
    <w:p>
      <w:pPr>
        <w:pStyle w:val="FirstParagraph"/>
      </w:pPr>
      <w:r>
        <w:t xml:space="preserve">Facility, license, three-phase build, the team, and Buffalo. One large facility photograph, plain figures, no founder mythology. State the license and the regulator plainly.</w:t>
      </w:r>
    </w:p>
    <w:p>
      <w:r>
        <w:pict>
          <v:rect style="width:0;height:1.5pt" o:hralign="center" o:hrstd="t" o:hr="t"/>
        </w:pict>
      </w:r>
    </w:p>
    <w:bookmarkEnd w:id="49"/>
    <w:bookmarkEnd w:id="50"/>
    <w:bookmarkStart w:id="54" w:name="the-companion-app"/>
    <w:p>
      <w:pPr>
        <w:pStyle w:val="Heading2"/>
      </w:pPr>
      <w:r>
        <w:t xml:space="preserve">7. THE COMPANION APP</w:t>
      </w:r>
    </w:p>
    <w:p>
      <w:pPr>
        <w:pStyle w:val="FirstParagraph"/>
      </w:pPr>
      <w:r>
        <w:t xml:space="preserve">Platform recommendation: a React and Tailwind progressive web app first (installable, one codebase, fast to ship, no app-store review friction on cannabis-adjacent content), with a native shell in a later phase if push notification and kit-scanning ergonomics demand it. Flag for approval before Phase E.</w:t>
      </w:r>
    </w:p>
    <w:bookmarkStart w:id="51" w:name="app-principles"/>
    <w:p>
      <w:pPr>
        <w:pStyle w:val="Heading3"/>
      </w:pPr>
      <w:r>
        <w:t xml:space="preserve">7.1 App principles</w:t>
      </w:r>
    </w:p>
    <w:p>
      <w:pPr>
        <w:pStyle w:val="FirstParagraph"/>
      </w:pPr>
      <w:r>
        <w:t xml:space="preserve">The app is the delivery vehicle for the Cannabis Wellness Profile. It is a clinical instrument with a paper feel: the same tokens, the same type, more clinical surface, more data density, less photography.</w:t>
      </w:r>
    </w:p>
    <w:bookmarkEnd w:id="51"/>
    <w:bookmarkStart w:id="52" w:name="screens"/>
    <w:p>
      <w:pPr>
        <w:pStyle w:val="Heading3"/>
      </w:pPr>
      <w:r>
        <w:t xml:space="preserve">7.2 Screens</w:t>
      </w:r>
    </w:p>
    <w:p>
      <w:pPr>
        <w:numPr>
          <w:ilvl w:val="0"/>
          <w:numId w:val="1009"/>
        </w:numPr>
        <w:pStyle w:val="Compact"/>
      </w:pPr>
      <w:r>
        <w:rPr>
          <w:bCs/>
          <w:b/>
        </w:rPr>
        <w:t xml:space="preserve">Age and identity.</w:t>
      </w:r>
      <w:r>
        <w:t xml:space="preserve"> </w:t>
      </w:r>
      <w:r>
        <w:t xml:space="preserve">21+ affirmation at account creation, not a dismissible banner.</w:t>
      </w:r>
    </w:p>
    <w:p>
      <w:pPr>
        <w:numPr>
          <w:ilvl w:val="0"/>
          <w:numId w:val="1009"/>
        </w:numPr>
        <w:pStyle w:val="Compact"/>
      </w:pPr>
      <w:r>
        <w:rPr>
          <w:bCs/>
          <w:b/>
        </w:rPr>
        <w:t xml:space="preserve">Kit registration.</w:t>
      </w:r>
      <w:r>
        <w:t xml:space="preserve"> </w:t>
      </w:r>
      <w:r>
        <w:t xml:space="preserve">Camera scan of the kit barcode, manual entry fallback, chain-of-custody confirmation, consent capture presented in plain language, each consent separately toggled and separately revocable.</w:t>
      </w:r>
    </w:p>
    <w:p>
      <w:pPr>
        <w:numPr>
          <w:ilvl w:val="0"/>
          <w:numId w:val="1009"/>
        </w:numPr>
        <w:pStyle w:val="Compact"/>
      </w:pPr>
      <w:r>
        <w:rPr>
          <w:bCs/>
          <w:b/>
        </w:rPr>
        <w:t xml:space="preserve">Status.</w:t>
      </w:r>
      <w:r>
        <w:t xml:space="preserve"> </w:t>
      </w:r>
      <w:r>
        <w:t xml:space="preserve">While the sample is at the laboratory: an honest progress state with real stage names and no fabricated estimates.</w:t>
      </w:r>
    </w:p>
    <w:p>
      <w:pPr>
        <w:numPr>
          <w:ilvl w:val="0"/>
          <w:numId w:val="1009"/>
        </w:numPr>
        <w:pStyle w:val="Compact"/>
      </w:pPr>
      <w:r>
        <w:rPr>
          <w:bCs/>
          <w:b/>
        </w:rPr>
        <w:t xml:space="preserve">Your profile.</w:t>
      </w:r>
      <w:r>
        <w:t xml:space="preserve"> </w:t>
      </w:r>
      <w:r>
        <w:t xml:space="preserve">The thirteen traits as a readable matrix, each expandable into: what was measured, what it means, and how it changes the protocol. Confidence is stated. Where a marker is inconclusive, it reads UNKNOWN with an explanation, never a fabricated result.</w:t>
      </w:r>
    </w:p>
    <w:p>
      <w:pPr>
        <w:numPr>
          <w:ilvl w:val="0"/>
          <w:numId w:val="1009"/>
        </w:numPr>
        <w:pStyle w:val="Compact"/>
      </w:pPr>
      <w:r>
        <w:rPr>
          <w:bCs/>
          <w:b/>
        </w:rPr>
        <w:t xml:space="preserve">Your protocol.</w:t>
      </w:r>
      <w:r>
        <w:t xml:space="preserve"> </w:t>
      </w:r>
      <w:r>
        <w:t xml:space="preserve">Matched formats, matched CedarGrowth SKUs, ratio guidance, starting guidance, and flagged cautions. Every screen in this area carries the wellness-not-medical statement, and any dosing language is reviewed by counsel before it ships (Section 9.4).</w:t>
      </w:r>
    </w:p>
    <w:p>
      <w:pPr>
        <w:numPr>
          <w:ilvl w:val="0"/>
          <w:numId w:val="1009"/>
        </w:numPr>
        <w:pStyle w:val="Compact"/>
      </w:pPr>
      <w:r>
        <w:rPr>
          <w:bCs/>
          <w:b/>
        </w:rPr>
        <w:t xml:space="preserve">Batch scanner.</w:t>
      </w:r>
      <w:r>
        <w:t xml:space="preserve"> </w:t>
      </w:r>
      <w:r>
        <w:t xml:space="preserve">Scan a package, read the COA. This is the everyday-return feature and should be reachable in one tap from the home tab.</w:t>
      </w:r>
    </w:p>
    <w:p>
      <w:pPr>
        <w:numPr>
          <w:ilvl w:val="0"/>
          <w:numId w:val="1009"/>
        </w:numPr>
        <w:pStyle w:val="Compact"/>
      </w:pPr>
      <w:r>
        <w:rPr>
          <w:bCs/>
          <w:b/>
        </w:rPr>
        <w:t xml:space="preserve">Reflections.</w:t>
      </w:r>
      <w:r>
        <w:t xml:space="preserve"> </w:t>
      </w:r>
      <w:r>
        <w:t xml:space="preserve">A private, optional, free-text and simple-scale check-in for how a format felt. Framed as reflections, not as consumption tracking, and never surfaced as a total, a streak, or a target. Private by construction: readable only by the account holder, never visible to any administrator, no owner override.</w:t>
      </w:r>
    </w:p>
    <w:p>
      <w:pPr>
        <w:numPr>
          <w:ilvl w:val="0"/>
          <w:numId w:val="1009"/>
        </w:numPr>
        <w:pStyle w:val="Compact"/>
      </w:pPr>
      <w:r>
        <w:rPr>
          <w:bCs/>
          <w:b/>
        </w:rPr>
        <w:t xml:space="preserve">Library.</w:t>
      </w:r>
      <w:r>
        <w:t xml:space="preserve"> </w:t>
      </w:r>
      <w:r>
        <w:t xml:space="preserve">The same research content, formatted for reading on a phone.</w:t>
      </w:r>
    </w:p>
    <w:p>
      <w:pPr>
        <w:numPr>
          <w:ilvl w:val="0"/>
          <w:numId w:val="1009"/>
        </w:numPr>
        <w:pStyle w:val="Compact"/>
      </w:pPr>
      <w:r>
        <w:rPr>
          <w:bCs/>
          <w:b/>
        </w:rPr>
        <w:t xml:space="preserve">Find.</w:t>
      </w:r>
      <w:r>
        <w:t xml:space="preserve"> </w:t>
      </w:r>
      <w:r>
        <w:t xml:space="preserve">The locator.</w:t>
      </w:r>
    </w:p>
    <w:p>
      <w:pPr>
        <w:numPr>
          <w:ilvl w:val="0"/>
          <w:numId w:val="1009"/>
        </w:numPr>
        <w:pStyle w:val="Compact"/>
      </w:pPr>
      <w:r>
        <w:rPr>
          <w:bCs/>
          <w:b/>
        </w:rPr>
        <w:t xml:space="preserve">Account and data.</w:t>
      </w:r>
      <w:r>
        <w:t xml:space="preserve"> </w:t>
      </w:r>
      <w:r>
        <w:t xml:space="preserve">Self-serve export, self-serve deletion of both account and genetic data, consent management, practitioner sharing (explicit, revocable, time-limited).</w:t>
      </w:r>
    </w:p>
    <w:bookmarkEnd w:id="52"/>
    <w:bookmarkStart w:id="53" w:name="X51276a64662b7186a50ba7e9dc9e411f8c947a0"/>
    <w:p>
      <w:pPr>
        <w:pStyle w:val="Heading3"/>
      </w:pPr>
      <w:r>
        <w:t xml:space="preserve">7.3 Admin (later phase, do not build in Phase A to E)</w:t>
      </w:r>
    </w:p>
    <w:p>
      <w:pPr>
        <w:pStyle w:val="FirstParagraph"/>
      </w:pPr>
      <w:r>
        <w:t xml:space="preserve">A small operator console for content, batches and COAs, locator entries, kit fulfillment status, and request inboxes. Structural privacy wall: administrators see counts and status only. Member reflections and profile detail are unreadable from any administrative context, with no override.</w:t>
      </w:r>
    </w:p>
    <w:p>
      <w:r>
        <w:pict>
          <v:rect style="width:0;height:1.5pt" o:hralign="center" o:hrstd="t" o:hr="t"/>
        </w:pict>
      </w:r>
    </w:p>
    <w:bookmarkEnd w:id="53"/>
    <w:bookmarkEnd w:id="54"/>
    <w:bookmarkStart w:id="58" w:name="asset-pipeline-figma-framer-21st.dev"/>
    <w:p>
      <w:pPr>
        <w:pStyle w:val="Heading2"/>
      </w:pPr>
      <w:r>
        <w:t xml:space="preserve">8. ASSET PIPELINE: FIGMA, FRAMER, 21ST.DEV</w:t>
      </w:r>
    </w:p>
    <w:bookmarkStart w:id="55" w:name="figma-source-of-truth"/>
    <w:p>
      <w:pPr>
        <w:pStyle w:val="Heading3"/>
      </w:pPr>
      <w:r>
        <w:t xml:space="preserve">8.1 Figma (source of truth)</w:t>
      </w:r>
    </w:p>
    <w:p>
      <w:pPr>
        <w:pStyle w:val="FirstParagraph"/>
      </w:pPr>
      <w:r>
        <w:t xml:space="preserve">Create one file,</w:t>
      </w:r>
      <w:r>
        <w:t xml:space="preserve"> </w:t>
      </w:r>
      <w:r>
        <w:rPr>
          <w:rStyle w:val="VerbatimChar"/>
        </w:rPr>
        <w:t xml:space="preserve">CedarGrowth Design System</w:t>
      </w:r>
      <w:r>
        <w:t xml:space="preserve">, with pages:</w:t>
      </w:r>
      <w:r>
        <w:t xml:space="preserve"> </w:t>
      </w:r>
      <w:r>
        <w:rPr>
          <w:rStyle w:val="VerbatimChar"/>
        </w:rPr>
        <w:t xml:space="preserve">00 Foundations</w:t>
      </w:r>
      <w:r>
        <w:t xml:space="preserve">,</w:t>
      </w:r>
      <w:r>
        <w:t xml:space="preserve"> </w:t>
      </w:r>
      <w:r>
        <w:rPr>
          <w:rStyle w:val="VerbatimChar"/>
        </w:rPr>
        <w:t xml:space="preserve">01 Components</w:t>
      </w:r>
      <w:r>
        <w:t xml:space="preserve">,</w:t>
      </w:r>
      <w:r>
        <w:t xml:space="preserve"> </w:t>
      </w:r>
      <w:r>
        <w:rPr>
          <w:rStyle w:val="VerbatimChar"/>
        </w:rPr>
        <w:t xml:space="preserve">02 Web Desktop</w:t>
      </w:r>
      <w:r>
        <w:t xml:space="preserve">,</w:t>
      </w:r>
      <w:r>
        <w:t xml:space="preserve"> </w:t>
      </w:r>
      <w:r>
        <w:rPr>
          <w:rStyle w:val="VerbatimChar"/>
        </w:rPr>
        <w:t xml:space="preserve">03 Web Mobile</w:t>
      </w:r>
      <w:r>
        <w:t xml:space="preserve">,</w:t>
      </w:r>
      <w:r>
        <w:t xml:space="preserve"> </w:t>
      </w:r>
      <w:r>
        <w:rPr>
          <w:rStyle w:val="VerbatimChar"/>
        </w:rPr>
        <w:t xml:space="preserve">04 App</w:t>
      </w:r>
      <w:r>
        <w:t xml:space="preserve">,</w:t>
      </w:r>
      <w:r>
        <w:t xml:space="preserve"> </w:t>
      </w:r>
      <w:r>
        <w:rPr>
          <w:rStyle w:val="VerbatimChar"/>
        </w:rPr>
        <w:t xml:space="preserve">05 Flows</w:t>
      </w:r>
      <w:r>
        <w:t xml:space="preserve">,</w:t>
      </w:r>
      <w:r>
        <w:t xml:space="preserve"> </w:t>
      </w:r>
      <w:r>
        <w:rPr>
          <w:rStyle w:val="VerbatimChar"/>
        </w:rPr>
        <w:t xml:space="preserve">06 Handoff</w:t>
      </w:r>
      <w:r>
        <w:t xml:space="preserve">.</w:t>
      </w:r>
    </w:p>
    <w:p>
      <w:pPr>
        <w:numPr>
          <w:ilvl w:val="0"/>
          <w:numId w:val="1010"/>
        </w:numPr>
        <w:pStyle w:val="Compact"/>
      </w:pPr>
      <w:r>
        <w:t xml:space="preserve">Build variable collections exactly as named in Section 4.1 and 4.2:</w:t>
      </w:r>
      <w:r>
        <w:t xml:space="preserve"> </w:t>
      </w:r>
      <w:r>
        <w:rPr>
          <w:rStyle w:val="VerbatimChar"/>
        </w:rPr>
        <w:t xml:space="preserve">color/primitive</w:t>
      </w:r>
      <w:r>
        <w:t xml:space="preserve">,</w:t>
      </w:r>
      <w:r>
        <w:t xml:space="preserve"> </w:t>
      </w:r>
      <w:r>
        <w:rPr>
          <w:rStyle w:val="VerbatimChar"/>
        </w:rPr>
        <w:t xml:space="preserve">color/semantic</w:t>
      </w:r>
      <w:r>
        <w:t xml:space="preserve">,</w:t>
      </w:r>
      <w:r>
        <w:t xml:space="preserve"> </w:t>
      </w:r>
      <w:r>
        <w:rPr>
          <w:rStyle w:val="VerbatimChar"/>
        </w:rPr>
        <w:t xml:space="preserve">type/scale</w:t>
      </w:r>
      <w:r>
        <w:t xml:space="preserve">,</w:t>
      </w:r>
      <w:r>
        <w:t xml:space="preserve"> </w:t>
      </w:r>
      <w:r>
        <w:rPr>
          <w:rStyle w:val="VerbatimChar"/>
        </w:rPr>
        <w:t xml:space="preserve">space</w:t>
      </w:r>
      <w:r>
        <w:t xml:space="preserve">,</w:t>
      </w:r>
      <w:r>
        <w:t xml:space="preserve"> </w:t>
      </w:r>
      <w:r>
        <w:rPr>
          <w:rStyle w:val="VerbatimChar"/>
        </w:rPr>
        <w:t xml:space="preserve">radius</w:t>
      </w:r>
      <w:r>
        <w:t xml:space="preserve">,</w:t>
      </w:r>
      <w:r>
        <w:t xml:space="preserve"> </w:t>
      </w:r>
      <w:r>
        <w:rPr>
          <w:rStyle w:val="VerbatimChar"/>
        </w:rPr>
        <w:t xml:space="preserve">motion</w:t>
      </w:r>
      <w:r>
        <w:t xml:space="preserve">. Semantic variables alias primitives. Light mode only, no dark mode (the ink sections are compositional, not a theme).</w:t>
      </w:r>
    </w:p>
    <w:p>
      <w:pPr>
        <w:numPr>
          <w:ilvl w:val="0"/>
          <w:numId w:val="1010"/>
        </w:numPr>
        <w:pStyle w:val="Compact"/>
      </w:pPr>
      <w:r>
        <w:t xml:space="preserve">Build every component from Section 4.4 as a component set with variants for state and breakpoint, with auto layout, and with variables bound to every color, spacing, and type property. No hardcoded hex anywhere.</w:t>
      </w:r>
    </w:p>
    <w:p>
      <w:pPr>
        <w:numPr>
          <w:ilvl w:val="0"/>
          <w:numId w:val="1010"/>
        </w:numPr>
        <w:pStyle w:val="Compact"/>
      </w:pPr>
      <w:r>
        <w:t xml:space="preserve">Produce full page frames for every route in Section 5.1 at 1440 and 390.</w:t>
      </w:r>
    </w:p>
    <w:p>
      <w:pPr>
        <w:numPr>
          <w:ilvl w:val="0"/>
          <w:numId w:val="1010"/>
        </w:numPr>
        <w:pStyle w:val="Compact"/>
      </w:pPr>
      <w:r>
        <w:t xml:space="preserve">Produce flow diagrams for: kit purchase to result delivery, batch scan to COA, wholesale request, and practitioner referral.</w:t>
      </w:r>
    </w:p>
    <w:p>
      <w:pPr>
        <w:numPr>
          <w:ilvl w:val="0"/>
          <w:numId w:val="1010"/>
        </w:numPr>
        <w:pStyle w:val="Compact"/>
      </w:pPr>
      <w:r>
        <w:t xml:space="preserve">Prototype the three critical journeys end to end: home to product to locator, DNA landing to purchase, and app onboarding to profile.</w:t>
      </w:r>
    </w:p>
    <w:bookmarkEnd w:id="55"/>
    <w:bookmarkStart w:id="56" w:name="framer-production-marketing-site"/>
    <w:p>
      <w:pPr>
        <w:pStyle w:val="Heading3"/>
      </w:pPr>
      <w:r>
        <w:t xml:space="preserve">8.2 Framer (production marketing site)</w:t>
      </w:r>
    </w:p>
    <w:p>
      <w:pPr>
        <w:pStyle w:val="FirstParagraph"/>
      </w:pPr>
      <w:r>
        <w:t xml:space="preserve">Framer builds everything under Section 5.1 except the authenticated app.</w:t>
      </w:r>
    </w:p>
    <w:p>
      <w:pPr>
        <w:numPr>
          <w:ilvl w:val="0"/>
          <w:numId w:val="1011"/>
        </w:numPr>
        <w:pStyle w:val="Compact"/>
      </w:pPr>
      <w:r>
        <w:rPr>
          <w:bCs/>
          <w:b/>
        </w:rPr>
        <w:t xml:space="preserve">CMS collections:</w:t>
      </w:r>
      <w:r>
        <w:t xml:space="preserve"> </w:t>
      </w:r>
      <w:r>
        <w:rPr>
          <w:rStyle w:val="VerbatimChar"/>
        </w:rPr>
        <w:t xml:space="preserve">Products</w:t>
      </w:r>
      <w:r>
        <w:t xml:space="preserve"> </w:t>
      </w:r>
      <w:r>
        <w:t xml:space="preserve">(8 entries, with fields for line, format, specification, terpenes, COA reference, locator filter key),</w:t>
      </w:r>
      <w:r>
        <w:t xml:space="preserve"> </w:t>
      </w:r>
      <w:r>
        <w:rPr>
          <w:rStyle w:val="VerbatimChar"/>
        </w:rPr>
        <w:t xml:space="preserve">WellnessLines</w:t>
      </w:r>
      <w:r>
        <w:t xml:space="preserve"> </w:t>
      </w:r>
      <w:r>
        <w:t xml:space="preserve">(5),</w:t>
      </w:r>
      <w:r>
        <w:t xml:space="preserve"> </w:t>
      </w:r>
      <w:r>
        <w:rPr>
          <w:rStyle w:val="VerbatimChar"/>
        </w:rPr>
        <w:t xml:space="preserve">Traits</w:t>
      </w:r>
      <w:r>
        <w:t xml:space="preserve"> </w:t>
      </w:r>
      <w:r>
        <w:t xml:space="preserve">(13),</w:t>
      </w:r>
      <w:r>
        <w:t xml:space="preserve"> </w:t>
      </w:r>
      <w:r>
        <w:rPr>
          <w:rStyle w:val="VerbatimChar"/>
        </w:rPr>
        <w:t xml:space="preserve">ResearchNotes</w:t>
      </w:r>
      <w:r>
        <w:t xml:space="preserve">,</w:t>
      </w:r>
      <w:r>
        <w:t xml:space="preserve"> </w:t>
      </w:r>
      <w:r>
        <w:rPr>
          <w:rStyle w:val="VerbatimChar"/>
        </w:rPr>
        <w:t xml:space="preserve">TerpeneIndex</w:t>
      </w:r>
      <w:r>
        <w:t xml:space="preserve">,</w:t>
      </w:r>
      <w:r>
        <w:t xml:space="preserve"> </w:t>
      </w:r>
      <w:r>
        <w:rPr>
          <w:rStyle w:val="VerbatimChar"/>
        </w:rPr>
        <w:t xml:space="preserve">Journal</w:t>
      </w:r>
      <w:r>
        <w:t xml:space="preserve">,</w:t>
      </w:r>
      <w:r>
        <w:t xml:space="preserve"> </w:t>
      </w:r>
      <w:r>
        <w:rPr>
          <w:rStyle w:val="VerbatimChar"/>
        </w:rPr>
        <w:t xml:space="preserve">Dispensaries</w:t>
      </w:r>
      <w:r>
        <w:t xml:space="preserve">,</w:t>
      </w:r>
      <w:r>
        <w:t xml:space="preserve"> </w:t>
      </w:r>
      <w:r>
        <w:rPr>
          <w:rStyle w:val="VerbatimChar"/>
        </w:rPr>
        <w:t xml:space="preserve">Batches</w:t>
      </w:r>
      <w:r>
        <w:t xml:space="preserve"> </w:t>
      </w:r>
      <w:r>
        <w:t xml:space="preserve">(batch ID, COA PDF, results, status, product reference).</w:t>
      </w:r>
    </w:p>
    <w:p>
      <w:pPr>
        <w:numPr>
          <w:ilvl w:val="0"/>
          <w:numId w:val="1011"/>
        </w:numPr>
        <w:pStyle w:val="Compact"/>
      </w:pPr>
      <w:r>
        <w:t xml:space="preserve">Build the Framer components as direct mirrors of the Figma component set, using the same token names in Framer variables.</w:t>
      </w:r>
    </w:p>
    <w:p>
      <w:pPr>
        <w:numPr>
          <w:ilvl w:val="0"/>
          <w:numId w:val="1011"/>
        </w:numPr>
        <w:pStyle w:val="Compact"/>
      </w:pPr>
      <w:r>
        <w:t xml:space="preserve">Code components (React overrides) are required for: batch lookup and COA panel, dispensary locator, trait matrix filtering, and any form with consent capture. Everything else is native Framer.</w:t>
      </w:r>
    </w:p>
    <w:p>
      <w:pPr>
        <w:numPr>
          <w:ilvl w:val="0"/>
          <w:numId w:val="1011"/>
        </w:numPr>
        <w:pStyle w:val="Compact"/>
      </w:pPr>
      <w:r>
        <w:t xml:space="preserve">Effects: use Framer Appear animations with the timing in Section 4.5, and nothing from the Framer effects presets that introduces scale, blur, or springs.</w:t>
      </w:r>
    </w:p>
    <w:p>
      <w:pPr>
        <w:numPr>
          <w:ilvl w:val="0"/>
          <w:numId w:val="1011"/>
        </w:numPr>
        <w:pStyle w:val="Compact"/>
      </w:pPr>
      <w:r>
        <w:t xml:space="preserve">Set up: SEO fields per page, Open Graph specimen imagery, 404 and 500 pages in the same tone, redirects, and analytics that is privacy-first (no third-party advertising pixels on any page carrying genetic content).</w:t>
      </w:r>
    </w:p>
    <w:bookmarkEnd w:id="56"/>
    <w:bookmarkStart w:id="57" w:name="st.dev-harvest-then-strip"/>
    <w:p>
      <w:pPr>
        <w:pStyle w:val="Heading3"/>
      </w:pPr>
      <w:r>
        <w:t xml:space="preserve">8.3 21st.dev (harvest, then strip)</w:t>
      </w:r>
    </w:p>
    <w:p>
      <w:pPr>
        <w:pStyle w:val="FirstParagraph"/>
      </w:pPr>
      <w:r>
        <w:t xml:space="preserve">Harvest patterns for the app shell and for the four code components Framer needs. Suggested harvest list, all React plus Tailwind: navigation menu with mega-panel, command palette (repurposed as the batch lookup), data table, accordion, tabs, carousel with hairline controls, stepper (kit registration), file and camera input, empty state, toast, and footer.</w:t>
      </w:r>
    </w:p>
    <w:p>
      <w:pPr>
        <w:pStyle w:val="BodyText"/>
      </w:pPr>
      <w:r>
        <w:rPr>
          <w:bCs/>
          <w:b/>
        </w:rPr>
        <w:t xml:space="preserve">Mandatory strip protocol before any harvested component enters the build:</w:t>
      </w:r>
    </w:p>
    <w:p>
      <w:pPr>
        <w:numPr>
          <w:ilvl w:val="0"/>
          <w:numId w:val="1012"/>
        </w:numPr>
        <w:pStyle w:val="Compact"/>
      </w:pPr>
      <w:r>
        <w:t xml:space="preserve">Delete every gradient, shadow, blur, backdrop filter, and glow.</w:t>
      </w:r>
    </w:p>
    <w:p>
      <w:pPr>
        <w:numPr>
          <w:ilvl w:val="0"/>
          <w:numId w:val="1012"/>
        </w:numPr>
        <w:pStyle w:val="Compact"/>
      </w:pPr>
      <w:r>
        <w:t xml:space="preserve">Set every radius to 0 (2px permitted on status chips only).</w:t>
      </w:r>
    </w:p>
    <w:p>
      <w:pPr>
        <w:numPr>
          <w:ilvl w:val="0"/>
          <w:numId w:val="1012"/>
        </w:numPr>
        <w:pStyle w:val="Compact"/>
      </w:pPr>
      <w:r>
        <w:t xml:space="preserve">Replace every color with a CedarGrowth semantic token. No literal hex survives.</w:t>
      </w:r>
    </w:p>
    <w:p>
      <w:pPr>
        <w:numPr>
          <w:ilvl w:val="0"/>
          <w:numId w:val="1012"/>
        </w:numPr>
        <w:pStyle w:val="Compact"/>
      </w:pPr>
      <w:r>
        <w:t xml:space="preserve">Replace every icon with Lucide at strokeWidth 1.5.</w:t>
      </w:r>
    </w:p>
    <w:p>
      <w:pPr>
        <w:numPr>
          <w:ilvl w:val="0"/>
          <w:numId w:val="1012"/>
        </w:numPr>
        <w:pStyle w:val="Compact"/>
      </w:pPr>
      <w:r>
        <w:t xml:space="preserve">Retime every transition to Section 4.5 and add the reduced-motion branch.</w:t>
      </w:r>
    </w:p>
    <w:p>
      <w:pPr>
        <w:numPr>
          <w:ilvl w:val="0"/>
          <w:numId w:val="1012"/>
        </w:numPr>
        <w:pStyle w:val="Compact"/>
      </w:pPr>
      <w:r>
        <w:t xml:space="preserve">Replace every font declaration with the Section 4.2 stack.</w:t>
      </w:r>
    </w:p>
    <w:p>
      <w:pPr>
        <w:numPr>
          <w:ilvl w:val="0"/>
          <w:numId w:val="1012"/>
        </w:numPr>
        <w:pStyle w:val="Compact"/>
      </w:pPr>
      <w:r>
        <w:t xml:space="preserve">Rewrite every string in the CedarGrowth voice.</w:t>
      </w:r>
    </w:p>
    <w:p>
      <w:pPr>
        <w:numPr>
          <w:ilvl w:val="0"/>
          <w:numId w:val="1012"/>
        </w:numPr>
        <w:pStyle w:val="Compact"/>
      </w:pPr>
      <w:r>
        <w:t xml:space="preserve">Verify keyboard operation and focus visibility before merging.</w:t>
      </w:r>
    </w:p>
    <w:p>
      <w:pPr>
        <w:pStyle w:val="FirstParagraph"/>
      </w:pPr>
      <w:r>
        <w:t xml:space="preserve">A harvested component that still looks like its source is a defect.</w:t>
      </w:r>
    </w:p>
    <w:p>
      <w:r>
        <w:pict>
          <v:rect style="width:0;height:1.5pt" o:hralign="center" o:hrstd="t" o:hr="t"/>
        </w:pict>
      </w:r>
    </w:p>
    <w:bookmarkEnd w:id="57"/>
    <w:bookmarkEnd w:id="58"/>
    <w:bookmarkStart w:id="64" w:name="Xb476d8bdcd3234f75c77fe41138098a2a69e677"/>
    <w:p>
      <w:pPr>
        <w:pStyle w:val="Heading2"/>
      </w:pPr>
      <w:r>
        <w:t xml:space="preserve">9. COMPLIANCE AND CLAIMS (STRUCTURAL, NOT COSMETIC)</w:t>
      </w:r>
    </w:p>
    <w:bookmarkStart w:id="59" w:name="age-assurance"/>
    <w:p>
      <w:pPr>
        <w:pStyle w:val="Heading3"/>
      </w:pPr>
      <w:r>
        <w:t xml:space="preserve">9.1 Age assurance</w:t>
      </w:r>
    </w:p>
    <w:p>
      <w:pPr>
        <w:pStyle w:val="FirstParagraph"/>
      </w:pPr>
      <w:r>
        <w:t xml:space="preserve">A 21+ gate on first session, full-screen, in brand, month and year of birth entry (not a yes or no button), remembered by session cookie with a stated retention, re-affirmed at account creation in the app. Legal, careers, and accessibility pages remain reachable without the gate.</w:t>
      </w:r>
    </w:p>
    <w:bookmarkEnd w:id="59"/>
    <w:bookmarkStart w:id="60" w:name="X288d7ccd4887a890a7b47b8acaf94da8d973c91"/>
    <w:p>
      <w:pPr>
        <w:pStyle w:val="Heading3"/>
      </w:pPr>
      <w:r>
        <w:t xml:space="preserve">9.2 The commerce constraint (important, and it changes the design)</w:t>
      </w:r>
    </w:p>
    <w:p>
      <w:pPr>
        <w:pStyle w:val="FirstParagraph"/>
      </w:pPr>
      <w:r>
        <w:t xml:space="preserve">CedarGrowth is a licensed processor, not a retail dispensary. The site therefore cannot function as a direct-to-consumer cannabis store, which is the single largest structural departure from the Aesop reference. Aesop’s</w:t>
      </w:r>
      <w:r>
        <w:t xml:space="preserve"> </w:t>
      </w:r>
      <w:r>
        <w:t xml:space="preserve">“</w:t>
      </w:r>
      <w:r>
        <w:t xml:space="preserve">Add all to cart</w:t>
      </w:r>
      <w:r>
        <w:t xml:space="preserve">”</w:t>
      </w:r>
      <w:r>
        <w:t xml:space="preserve"> </w:t>
      </w:r>
      <w:r>
        <w:t xml:space="preserve">pattern has no equivalent here for cannabis SKUs.</w:t>
      </w:r>
    </w:p>
    <w:p>
      <w:pPr>
        <w:numPr>
          <w:ilvl w:val="0"/>
          <w:numId w:val="1013"/>
        </w:numPr>
        <w:pStyle w:val="Compact"/>
      </w:pPr>
      <w:r>
        <w:t xml:space="preserve">Cannabis product pages end in</w:t>
      </w:r>
      <w:r>
        <w:t xml:space="preserve"> </w:t>
      </w:r>
      <w:r>
        <w:rPr>
          <w:bCs/>
          <w:b/>
        </w:rPr>
        <w:t xml:space="preserve">Find this product</w:t>
      </w:r>
      <w:r>
        <w:t xml:space="preserve">, routing to the locator with a filter applied.</w:t>
      </w:r>
    </w:p>
    <w:p>
      <w:pPr>
        <w:numPr>
          <w:ilvl w:val="0"/>
          <w:numId w:val="1013"/>
        </w:numPr>
        <w:pStyle w:val="Compact"/>
      </w:pPr>
      <w:r>
        <w:t xml:space="preserve">The only true cart path is the</w:t>
      </w:r>
      <w:r>
        <w:t xml:space="preserve"> </w:t>
      </w:r>
      <w:r>
        <w:rPr>
          <w:bCs/>
          <w:b/>
        </w:rPr>
        <w:t xml:space="preserve">DNA Test kit</w:t>
      </w:r>
      <w:r>
        <w:t xml:space="preserve"> </w:t>
      </w:r>
      <w:r>
        <w:t xml:space="preserve">(a non-cannabis consumer good) and any future non-cannabis merchandise. Build the checkout for that path alone and keep it visually quiet.</w:t>
      </w:r>
    </w:p>
    <w:p>
      <w:pPr>
        <w:numPr>
          <w:ilvl w:val="0"/>
          <w:numId w:val="1013"/>
        </w:numPr>
        <w:pStyle w:val="Compact"/>
      </w:pPr>
      <w:r>
        <w:t xml:space="preserve">Wholesale is a</w:t>
      </w:r>
      <w:r>
        <w:t xml:space="preserve"> </w:t>
      </w:r>
      <w:r>
        <w:rPr>
          <w:bCs/>
          <w:b/>
        </w:rPr>
        <w:t xml:space="preserve">request</w:t>
      </w:r>
      <w:r>
        <w:t xml:space="preserve">, not an order, until an account is verified.</w:t>
      </w:r>
    </w:p>
    <w:p>
      <w:pPr>
        <w:numPr>
          <w:ilvl w:val="0"/>
          <w:numId w:val="1013"/>
        </w:numPr>
        <w:pStyle w:val="Compact"/>
      </w:pPr>
      <w:r>
        <w:t xml:space="preserve">Confirm the current New York Office of Cannabis Management position on processor-facing digital marketing, online ordering, and dispensary referral mechanics with counsel before launch. Treat this section as a design constraint to be verified, not as legal advice.</w:t>
      </w:r>
    </w:p>
    <w:bookmarkEnd w:id="60"/>
    <w:bookmarkStart w:id="61" w:name="marketing-restrictions-to-design-around"/>
    <w:p>
      <w:pPr>
        <w:pStyle w:val="Heading3"/>
      </w:pPr>
      <w:r>
        <w:t xml:space="preserve">9.3 Marketing restrictions to design around</w:t>
      </w:r>
    </w:p>
    <w:p>
      <w:pPr>
        <w:pStyle w:val="FirstParagraph"/>
      </w:pPr>
      <w:r>
        <w:t xml:space="preserve">No content or imagery appealing to minors (no cartoons, no candy language for the gummy line, describe them as</w:t>
      </w:r>
      <w:r>
        <w:t xml:space="preserve"> </w:t>
      </w:r>
      <w:r>
        <w:t xml:space="preserve">“</w:t>
      </w:r>
      <w:r>
        <w:t xml:space="preserve">10 count, 100mg</w:t>
      </w:r>
      <w:r>
        <w:t xml:space="preserve">”</w:t>
      </w:r>
      <w:r>
        <w:t xml:space="preserve"> </w:t>
      </w:r>
      <w:r>
        <w:t xml:space="preserve">not as sweets). No health, medical, therapeutic, or safety claims. No representations that the products are approved or endorsed by any government body. No promotional pricing, giveaways, coupons, or urgency mechanics. Required state warnings appear on the footer of every page and on every product page. License identifier in the footer. All advertising placements must satisfy the audience-composition rules, which means the site should function well without paid social traffic.</w:t>
      </w:r>
    </w:p>
    <w:bookmarkEnd w:id="61"/>
    <w:bookmarkStart w:id="62" w:name="claims-language-gate"/>
    <w:p>
      <w:pPr>
        <w:pStyle w:val="Heading3"/>
      </w:pPr>
      <w:r>
        <w:t xml:space="preserve">9.4 Claims language gate</w:t>
      </w:r>
    </w:p>
    <w:p>
      <w:pPr>
        <w:pStyle w:val="FirstParagraph"/>
      </w:pPr>
      <w:r>
        <w:t xml:space="preserve">Every line of copy that touches an effect passes this test before it ships: does it describe a formulation and an intended experience, or does it promise a physiological outcome?</w:t>
      </w:r>
      <w:r>
        <w:t xml:space="preserve"> </w:t>
      </w:r>
      <w:r>
        <w:t xml:space="preserve">“</w:t>
      </w:r>
      <w:r>
        <w:t xml:space="preserve">Myrcene-forward, formulated for the hours before sleep</w:t>
      </w:r>
      <w:r>
        <w:t xml:space="preserve">”</w:t>
      </w:r>
      <w:r>
        <w:t xml:space="preserve"> </w:t>
      </w:r>
      <w:r>
        <w:t xml:space="preserve">passes.</w:t>
      </w:r>
      <w:r>
        <w:t xml:space="preserve"> </w:t>
      </w:r>
      <w:r>
        <w:t xml:space="preserve">“</w:t>
      </w:r>
      <w:r>
        <w:t xml:space="preserve">Helps you sleep</w:t>
      </w:r>
      <w:r>
        <w:t xml:space="preserve">”</w:t>
      </w:r>
      <w:r>
        <w:t xml:space="preserve"> </w:t>
      </w:r>
      <w:r>
        <w:t xml:space="preserve">does not.</w:t>
      </w:r>
      <w:r>
        <w:t xml:space="preserve"> </w:t>
      </w:r>
      <w:r>
        <w:t xml:space="preserve">“</w:t>
      </w:r>
      <w:r>
        <w:t xml:space="preserve">Relieves pain</w:t>
      </w:r>
      <w:r>
        <w:t xml:space="preserve">”</w:t>
      </w:r>
      <w:r>
        <w:t xml:space="preserve"> </w:t>
      </w:r>
      <w:r>
        <w:t xml:space="preserve">does not. The DNA test is described as a wellness tool that informs product selection, never as a diagnostic. All protocol and dosing language in the app is drafted conservatively and reviewed by counsel before release.</w:t>
      </w:r>
    </w:p>
    <w:bookmarkEnd w:id="62"/>
    <w:bookmarkStart w:id="63" w:name="genetic-data"/>
    <w:p>
      <w:pPr>
        <w:pStyle w:val="Heading3"/>
      </w:pPr>
      <w:r>
        <w:t xml:space="preserve">9.5 Genetic data</w:t>
      </w:r>
    </w:p>
    <w:p>
      <w:pPr>
        <w:pStyle w:val="FirstParagraph"/>
      </w:pPr>
      <w:r>
        <w:t xml:space="preserve">Genetic information is the most sensitive data this business holds, and the design must earn that trust visibly: granular and separately revocable consent, plain-language explanation at the point of collection, no dark patterns, no pre-ticked boxes, self-serve export and deletion, explicit statement that data is never sold, and a named contact for data questions. Confirm the applicable regime (state genetic privacy statutes, GINA, and any HIPAA exposure through the practitioner channel) with counsel and reflect it accurately in /dna/privacy.</w:t>
      </w:r>
    </w:p>
    <w:p>
      <w:r>
        <w:pict>
          <v:rect style="width:0;height:1.5pt" o:hralign="center" o:hrstd="t" o:hr="t"/>
        </w:pict>
      </w:r>
    </w:p>
    <w:bookmarkEnd w:id="63"/>
    <w:bookmarkEnd w:id="64"/>
    <w:bookmarkStart w:id="65" w:name="accessibility-performance-and-seo"/>
    <w:p>
      <w:pPr>
        <w:pStyle w:val="Heading2"/>
      </w:pPr>
      <w:r>
        <w:t xml:space="preserve">10. ACCESSIBILITY, PERFORMANCE, AND SEO</w:t>
      </w:r>
    </w:p>
    <w:p>
      <w:pPr>
        <w:pStyle w:val="FirstParagraph"/>
      </w:pPr>
      <w:r>
        <w:rPr>
          <w:bCs/>
          <w:b/>
        </w:rPr>
        <w:t xml:space="preserve">Accessibility:</w:t>
      </w:r>
      <w:r>
        <w:t xml:space="preserve"> </w:t>
      </w:r>
      <w:r>
        <w:t xml:space="preserve">WCAG 2.2 AA. Verify the parchment and bone surfaces against</w:t>
      </w:r>
      <w:r>
        <w:t xml:space="preserve"> </w:t>
      </w:r>
      <w:r>
        <w:rPr>
          <w:rStyle w:val="VerbatimChar"/>
        </w:rPr>
        <w:t xml:space="preserve">text/tertiary</w:t>
      </w:r>
      <w:r>
        <w:t xml:space="preserve"> </w:t>
      </w:r>
      <w:r>
        <w:t xml:space="preserve">explicitly, since #8C877E on #F3EEE7 is the most likely contrast failure in the palette and may need darkening to roughly #6F6A62 for body-sized use. Focus ring is a 2px</w:t>
      </w:r>
      <w:r>
        <w:t xml:space="preserve"> </w:t>
      </w:r>
      <w:r>
        <w:rPr>
          <w:rStyle w:val="VerbatimChar"/>
        </w:rPr>
        <w:t xml:space="preserve">accent/cedar</w:t>
      </w:r>
      <w:r>
        <w:t xml:space="preserve"> </w:t>
      </w:r>
      <w:r>
        <w:t xml:space="preserve">outline with 2px offset, visible on every surface. All data tables use proper header scope. The locator map has a full list-based equivalent. Video, if used, is captioned and never autoplays with sound.</w:t>
      </w:r>
    </w:p>
    <w:p>
      <w:pPr>
        <w:pStyle w:val="BodyText"/>
      </w:pPr>
      <w:r>
        <w:rPr>
          <w:bCs/>
          <w:b/>
        </w:rPr>
        <w:t xml:space="preserve">Performance:</w:t>
      </w:r>
      <w:r>
        <w:t xml:space="preserve"> </w:t>
      </w:r>
      <w:r>
        <w:t xml:space="preserve">static generation for all marketing routes, AVIF with WebP fallback, responsive srcset at 400, 800, 1200, 1600, 2400, lazy loading below the fold, font subsetting with</w:t>
      </w:r>
      <w:r>
        <w:t xml:space="preserve"> </w:t>
      </w:r>
      <w:r>
        <w:rPr>
          <w:rStyle w:val="VerbatimChar"/>
        </w:rPr>
        <w:t xml:space="preserve">font-display: swap</w:t>
      </w:r>
      <w:r>
        <w:t xml:space="preserve">, no more than three font files per page, and a hard rule that hero imagery is art-directed per breakpoint rather than cropped by CSS.</w:t>
      </w:r>
    </w:p>
    <w:p>
      <w:pPr>
        <w:pStyle w:val="BodyText"/>
      </w:pPr>
      <w:r>
        <w:rPr>
          <w:bCs/>
          <w:b/>
        </w:rPr>
        <w:t xml:space="preserve">SEO and structured data:</w:t>
      </w:r>
      <w:r>
        <w:t xml:space="preserve"> </w:t>
      </w:r>
      <w:r>
        <w:t xml:space="preserve">Organization, LocalBusiness, Product (without price for cannabis SKUs), FAQ on /dna and /transparency, and Article on research notes. Canonical URLs, one H1 per page, descriptive alt text written in the same voice, and an XML sitemap. Target queries in the research and terpene areas rather than in the product areas, since organic intent for a processor is educational.</w:t>
      </w:r>
    </w:p>
    <w:p>
      <w:r>
        <w:pict>
          <v:rect style="width:0;height:1.5pt" o:hralign="center" o:hrstd="t" o:hr="t"/>
        </w:pict>
      </w:r>
    </w:p>
    <w:bookmarkEnd w:id="65"/>
    <w:bookmarkStart w:id="66" w:name="content-inventory-required-before-launch"/>
    <w:p>
      <w:pPr>
        <w:pStyle w:val="Heading2"/>
      </w:pPr>
      <w:r>
        <w:t xml:space="preserve">11. CONTENT INVENTORY REQUIRED BEFORE LAUNCH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Count</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Product specimen photography</w:t>
            </w:r>
          </w:p>
        </w:tc>
        <w:tc>
          <w:tcPr/>
          <w:p>
            <w:pPr>
              <w:pStyle w:val="Compact"/>
              <w:jc w:val="left"/>
            </w:pPr>
            <w:r>
              <w:t xml:space="preserve">8 SKUs, 2 angles each</w:t>
            </w:r>
          </w:p>
        </w:tc>
        <w:tc>
          <w:tcPr/>
          <w:p>
            <w:pPr>
              <w:pStyle w:val="Compact"/>
              <w:jc w:val="left"/>
            </w:pPr>
            <w:r>
              <w:t xml:space="preserve">Photography</w:t>
            </w:r>
          </w:p>
        </w:tc>
        <w:tc>
          <w:tcPr/>
          <w:p>
            <w:pPr>
              <w:pStyle w:val="Compact"/>
              <w:jc w:val="left"/>
            </w:pPr>
            <w:r>
              <w:t xml:space="preserve">Not started</w:t>
            </w:r>
          </w:p>
        </w:tc>
      </w:tr>
      <w:tr>
        <w:tc>
          <w:tcPr/>
          <w:p>
            <w:pPr>
              <w:pStyle w:val="Compact"/>
              <w:jc w:val="left"/>
            </w:pPr>
            <w:r>
              <w:t xml:space="preserve">Raw material macro set</w:t>
            </w:r>
          </w:p>
        </w:tc>
        <w:tc>
          <w:tcPr/>
          <w:p>
            <w:pPr>
              <w:pStyle w:val="Compact"/>
              <w:jc w:val="left"/>
            </w:pPr>
            <w:r>
              <w:t xml:space="preserve">12 to 16 frames</w:t>
            </w:r>
          </w:p>
        </w:tc>
        <w:tc>
          <w:tcPr/>
          <w:p>
            <w:pPr>
              <w:pStyle w:val="Compact"/>
              <w:jc w:val="left"/>
            </w:pPr>
            <w:r>
              <w:t xml:space="preserve">Photography</w:t>
            </w:r>
          </w:p>
        </w:tc>
        <w:tc>
          <w:tcPr/>
          <w:p>
            <w:pPr>
              <w:pStyle w:val="Compact"/>
              <w:jc w:val="left"/>
            </w:pPr>
            <w:r>
              <w:t xml:space="preserve">Not started</w:t>
            </w:r>
          </w:p>
        </w:tc>
      </w:tr>
      <w:tr>
        <w:tc>
          <w:tcPr/>
          <w:p>
            <w:pPr>
              <w:pStyle w:val="Compact"/>
              <w:jc w:val="left"/>
            </w:pPr>
            <w:r>
              <w:t xml:space="preserve">Process documentary set</w:t>
            </w:r>
          </w:p>
        </w:tc>
        <w:tc>
          <w:tcPr/>
          <w:p>
            <w:pPr>
              <w:pStyle w:val="Compact"/>
              <w:jc w:val="left"/>
            </w:pPr>
            <w:r>
              <w:t xml:space="preserve">20 to 24 frames</w:t>
            </w:r>
          </w:p>
        </w:tc>
        <w:tc>
          <w:tcPr/>
          <w:p>
            <w:pPr>
              <w:pStyle w:val="Compact"/>
              <w:jc w:val="left"/>
            </w:pPr>
            <w:r>
              <w:t xml:space="preserve">Photography</w:t>
            </w:r>
          </w:p>
        </w:tc>
        <w:tc>
          <w:tcPr/>
          <w:p>
            <w:pPr>
              <w:pStyle w:val="Compact"/>
              <w:jc w:val="left"/>
            </w:pPr>
            <w:r>
              <w:t xml:space="preserve">Not started</w:t>
            </w:r>
          </w:p>
        </w:tc>
      </w:tr>
      <w:tr>
        <w:tc>
          <w:tcPr/>
          <w:p>
            <w:pPr>
              <w:pStyle w:val="Compact"/>
              <w:jc w:val="left"/>
            </w:pPr>
            <w:r>
              <w:t xml:space="preserve">Facility set</w:t>
            </w:r>
          </w:p>
        </w:tc>
        <w:tc>
          <w:tcPr/>
          <w:p>
            <w:pPr>
              <w:pStyle w:val="Compact"/>
              <w:jc w:val="left"/>
            </w:pPr>
            <w:r>
              <w:t xml:space="preserve">6 to 8 frames</w:t>
            </w:r>
          </w:p>
        </w:tc>
        <w:tc>
          <w:tcPr/>
          <w:p>
            <w:pPr>
              <w:pStyle w:val="Compact"/>
              <w:jc w:val="left"/>
            </w:pPr>
            <w:r>
              <w:t xml:space="preserve">Photography</w:t>
            </w:r>
          </w:p>
        </w:tc>
        <w:tc>
          <w:tcPr/>
          <w:p>
            <w:pPr>
              <w:pStyle w:val="Compact"/>
              <w:jc w:val="left"/>
            </w:pPr>
            <w:r>
              <w:t xml:space="preserve">Not started</w:t>
            </w:r>
          </w:p>
        </w:tc>
      </w:tr>
      <w:tr>
        <w:tc>
          <w:tcPr/>
          <w:p>
            <w:pPr>
              <w:pStyle w:val="Compact"/>
              <w:jc w:val="left"/>
            </w:pPr>
            <w:r>
              <w:t xml:space="preserve">Product copy (descriptor plus specification)</w:t>
            </w:r>
          </w:p>
        </w:tc>
        <w:tc>
          <w:tcPr/>
          <w:p>
            <w:pPr>
              <w:pStyle w:val="Compact"/>
              <w:jc w:val="left"/>
            </w:pPr>
            <w:r>
              <w:t xml:space="preserve">8</w:t>
            </w:r>
          </w:p>
        </w:tc>
        <w:tc>
          <w:tcPr/>
          <w:p>
            <w:pPr>
              <w:pStyle w:val="Compact"/>
              <w:jc w:val="left"/>
            </w:pPr>
            <w:r>
              <w:t xml:space="preserve">Copy</w:t>
            </w:r>
          </w:p>
        </w:tc>
        <w:tc>
          <w:tcPr/>
          <w:p>
            <w:pPr>
              <w:pStyle w:val="Compact"/>
              <w:jc w:val="left"/>
            </w:pPr>
            <w:r>
              <w:t xml:space="preserve">Draft in this document</w:t>
            </w:r>
          </w:p>
        </w:tc>
      </w:tr>
      <w:tr>
        <w:tc>
          <w:tcPr/>
          <w:p>
            <w:pPr>
              <w:pStyle w:val="Compact"/>
              <w:jc w:val="left"/>
            </w:pPr>
            <w:r>
              <w:t xml:space="preserve">Wellness line copy</w:t>
            </w:r>
          </w:p>
        </w:tc>
        <w:tc>
          <w:tcPr/>
          <w:p>
            <w:pPr>
              <w:pStyle w:val="Compact"/>
              <w:jc w:val="left"/>
            </w:pPr>
            <w:r>
              <w:t xml:space="preserve">5</w:t>
            </w:r>
          </w:p>
        </w:tc>
        <w:tc>
          <w:tcPr/>
          <w:p>
            <w:pPr>
              <w:pStyle w:val="Compact"/>
              <w:jc w:val="left"/>
            </w:pPr>
            <w:r>
              <w:t xml:space="preserve">Copy</w:t>
            </w:r>
          </w:p>
        </w:tc>
        <w:tc>
          <w:tcPr/>
          <w:p>
            <w:pPr>
              <w:pStyle w:val="Compact"/>
              <w:jc w:val="left"/>
            </w:pPr>
            <w:r>
              <w:t xml:space="preserve">Draft in this document</w:t>
            </w:r>
          </w:p>
        </w:tc>
      </w:tr>
      <w:tr>
        <w:tc>
          <w:tcPr/>
          <w:p>
            <w:pPr>
              <w:pStyle w:val="Compact"/>
              <w:jc w:val="left"/>
            </w:pPr>
            <w:r>
              <w:t xml:space="preserve">Thirteen trait entries</w:t>
            </w:r>
          </w:p>
        </w:tc>
        <w:tc>
          <w:tcPr/>
          <w:p>
            <w:pPr>
              <w:pStyle w:val="Compact"/>
              <w:jc w:val="left"/>
            </w:pPr>
            <w:r>
              <w:t xml:space="preserve">13</w:t>
            </w:r>
          </w:p>
        </w:tc>
        <w:tc>
          <w:tcPr/>
          <w:p>
            <w:pPr>
              <w:pStyle w:val="Compact"/>
              <w:jc w:val="left"/>
            </w:pPr>
            <w:r>
              <w:t xml:space="preserve">Science and copy</w:t>
            </w:r>
          </w:p>
        </w:tc>
        <w:tc>
          <w:tcPr/>
          <w:p>
            <w:pPr>
              <w:pStyle w:val="Compact"/>
              <w:jc w:val="left"/>
            </w:pPr>
            <w:r>
              <w:t xml:space="preserve">Available in master plan</w:t>
            </w:r>
          </w:p>
        </w:tc>
      </w:tr>
      <w:tr>
        <w:tc>
          <w:tcPr/>
          <w:p>
            <w:pPr>
              <w:pStyle w:val="Compact"/>
              <w:jc w:val="left"/>
            </w:pPr>
            <w:r>
              <w:t xml:space="preserve">Research notes at launch</w:t>
            </w:r>
          </w:p>
        </w:tc>
        <w:tc>
          <w:tcPr/>
          <w:p>
            <w:pPr>
              <w:pStyle w:val="Compact"/>
              <w:jc w:val="left"/>
            </w:pPr>
            <w:r>
              <w:t xml:space="preserve">6 minimum</w:t>
            </w:r>
          </w:p>
        </w:tc>
        <w:tc>
          <w:tcPr/>
          <w:p>
            <w:pPr>
              <w:pStyle w:val="Compact"/>
              <w:jc w:val="left"/>
            </w:pPr>
            <w:r>
              <w:t xml:space="preserve">Science and copy</w:t>
            </w:r>
          </w:p>
        </w:tc>
        <w:tc>
          <w:tcPr/>
          <w:p>
            <w:pPr>
              <w:pStyle w:val="Compact"/>
              <w:jc w:val="left"/>
            </w:pPr>
            <w:r>
              <w:t xml:space="preserve">Not started</w:t>
            </w:r>
          </w:p>
        </w:tc>
      </w:tr>
      <w:tr>
        <w:tc>
          <w:tcPr/>
          <w:p>
            <w:pPr>
              <w:pStyle w:val="Compact"/>
              <w:jc w:val="left"/>
            </w:pPr>
            <w:r>
              <w:t xml:space="preserve">Terpene index entries</w:t>
            </w:r>
          </w:p>
        </w:tc>
        <w:tc>
          <w:tcPr/>
          <w:p>
            <w:pPr>
              <w:pStyle w:val="Compact"/>
              <w:jc w:val="left"/>
            </w:pPr>
            <w:r>
              <w:t xml:space="preserve">10 to 14</w:t>
            </w:r>
          </w:p>
        </w:tc>
        <w:tc>
          <w:tcPr/>
          <w:p>
            <w:pPr>
              <w:pStyle w:val="Compact"/>
              <w:jc w:val="left"/>
            </w:pPr>
            <w:r>
              <w:t xml:space="preserve">Science</w:t>
            </w:r>
          </w:p>
        </w:tc>
        <w:tc>
          <w:tcPr/>
          <w:p>
            <w:pPr>
              <w:pStyle w:val="Compact"/>
              <w:jc w:val="left"/>
            </w:pPr>
            <w:r>
              <w:t xml:space="preserve">Not started</w:t>
            </w:r>
          </w:p>
        </w:tc>
      </w:tr>
      <w:tr>
        <w:tc>
          <w:tcPr/>
          <w:p>
            <w:pPr>
              <w:pStyle w:val="Compact"/>
              <w:jc w:val="left"/>
            </w:pPr>
            <w:r>
              <w:t xml:space="preserve">COA archive and batch data</w:t>
            </w:r>
          </w:p>
        </w:tc>
        <w:tc>
          <w:tcPr/>
          <w:p>
            <w:pPr>
              <w:pStyle w:val="Compact"/>
              <w:jc w:val="left"/>
            </w:pPr>
            <w:r>
              <w:t xml:space="preserve">Ongoing</w:t>
            </w:r>
          </w:p>
        </w:tc>
        <w:tc>
          <w:tcPr/>
          <w:p>
            <w:pPr>
              <w:pStyle w:val="Compact"/>
              <w:jc w:val="left"/>
            </w:pPr>
            <w:r>
              <w:t xml:space="preserve">Compliance</w:t>
            </w:r>
          </w:p>
        </w:tc>
        <w:tc>
          <w:tcPr/>
          <w:p>
            <w:pPr>
              <w:pStyle w:val="Compact"/>
              <w:jc w:val="left"/>
            </w:pPr>
            <w:r>
              <w:t xml:space="preserve">Pending</w:t>
            </w:r>
          </w:p>
        </w:tc>
      </w:tr>
      <w:tr>
        <w:tc>
          <w:tcPr/>
          <w:p>
            <w:pPr>
              <w:pStyle w:val="Compact"/>
              <w:jc w:val="left"/>
            </w:pPr>
            <w:r>
              <w:t xml:space="preserve">Dispensary list</w:t>
            </w:r>
          </w:p>
        </w:tc>
        <w:tc>
          <w:tcPr/>
          <w:p>
            <w:pPr>
              <w:pStyle w:val="Compact"/>
              <w:jc w:val="left"/>
            </w:pPr>
            <w:r>
              <w:t xml:space="preserve">Launch accounts</w:t>
            </w:r>
          </w:p>
        </w:tc>
        <w:tc>
          <w:tcPr/>
          <w:p>
            <w:pPr>
              <w:pStyle w:val="Compact"/>
              <w:jc w:val="left"/>
            </w:pPr>
            <w:r>
              <w:t xml:space="preserve">Sales</w:t>
            </w:r>
          </w:p>
        </w:tc>
        <w:tc>
          <w:tcPr/>
          <w:p>
            <w:pPr>
              <w:pStyle w:val="Compact"/>
              <w:jc w:val="left"/>
            </w:pPr>
            <w:r>
              <w:t xml:space="preserve">Pending</w:t>
            </w:r>
          </w:p>
        </w:tc>
      </w:tr>
      <w:tr>
        <w:tc>
          <w:tcPr/>
          <w:p>
            <w:pPr>
              <w:pStyle w:val="Compact"/>
              <w:jc w:val="left"/>
            </w:pPr>
            <w:r>
              <w:t xml:space="preserve">Legal pages and warnings</w:t>
            </w:r>
          </w:p>
        </w:tc>
        <w:tc>
          <w:tcPr/>
          <w:p>
            <w:pPr>
              <w:pStyle w:val="Compact"/>
              <w:jc w:val="left"/>
            </w:pPr>
            <w:r>
              <w:t xml:space="preserve">4</w:t>
            </w:r>
          </w:p>
        </w:tc>
        <w:tc>
          <w:tcPr/>
          <w:p>
            <w:pPr>
              <w:pStyle w:val="Compact"/>
              <w:jc w:val="left"/>
            </w:pPr>
            <w:r>
              <w:t xml:space="preserve">Counsel</w:t>
            </w:r>
          </w:p>
        </w:tc>
        <w:tc>
          <w:tcPr/>
          <w:p>
            <w:pPr>
              <w:pStyle w:val="Compact"/>
              <w:jc w:val="left"/>
            </w:pPr>
            <w:r>
              <w:t xml:space="preserve">Pending</w:t>
            </w:r>
          </w:p>
        </w:tc>
      </w:tr>
    </w:tbl>
    <w:p>
      <w:r>
        <w:pict>
          <v:rect style="width:0;height:1.5pt" o:hralign="center" o:hrstd="t" o:hr="t"/>
        </w:pict>
      </w:r>
    </w:p>
    <w:bookmarkEnd w:id="66"/>
    <w:bookmarkStart w:id="67" w:name="what-success-looks-like"/>
    <w:p>
      <w:pPr>
        <w:pStyle w:val="Heading2"/>
      </w:pPr>
      <w:r>
        <w:t xml:space="preserve">12. WHAT SUCCESS LOOKS LIKE</w:t>
      </w:r>
    </w:p>
    <w:p>
      <w:pPr>
        <w:numPr>
          <w:ilvl w:val="0"/>
          <w:numId w:val="1014"/>
        </w:numPr>
        <w:pStyle w:val="Compact"/>
      </w:pPr>
      <w:r>
        <w:t xml:space="preserve">A health-literate visitor who has never used cannabis feels the site was built for them.</w:t>
      </w:r>
    </w:p>
    <w:p>
      <w:pPr>
        <w:numPr>
          <w:ilvl w:val="0"/>
          <w:numId w:val="1014"/>
        </w:numPr>
        <w:pStyle w:val="Compact"/>
      </w:pPr>
      <w:r>
        <w:t xml:space="preserve">A dispensary buyer can find the line sheet, the COA archive, and a request form in under thirty seconds.</w:t>
      </w:r>
    </w:p>
    <w:p>
      <w:pPr>
        <w:numPr>
          <w:ilvl w:val="0"/>
          <w:numId w:val="1014"/>
        </w:numPr>
        <w:pStyle w:val="Compact"/>
      </w:pPr>
      <w:r>
        <w:t xml:space="preserve">A skeptic can verify a claim: every effect statement traces to a terpene, every terpene traces to a batch, every batch traces to a laboratory result.</w:t>
      </w:r>
    </w:p>
    <w:p>
      <w:pPr>
        <w:numPr>
          <w:ilvl w:val="0"/>
          <w:numId w:val="1014"/>
        </w:numPr>
        <w:pStyle w:val="Compact"/>
      </w:pPr>
      <w:r>
        <w:t xml:space="preserve">Nothing on any screen would look out of place in a pharmacy, a design magazine, or a laboratory.</w:t>
      </w:r>
    </w:p>
    <w:p>
      <w:pPr>
        <w:numPr>
          <w:ilvl w:val="0"/>
          <w:numId w:val="1014"/>
        </w:numPr>
        <w:pStyle w:val="Compact"/>
      </w:pPr>
      <w:r>
        <w:t xml:space="preserve">Remove the logo and the site is still unmistakably CedarGrowth.</w:t>
      </w:r>
    </w:p>
    <w:p>
      <w:r>
        <w:pict>
          <v:rect style="width:0;height:1.5pt" o:hralign="center" o:hrstd="t" o:hr="t"/>
        </w:pict>
      </w:r>
    </w:p>
    <w:bookmarkEnd w:id="67"/>
    <w:bookmarkStart w:id="69" w:name="build-sequence-for-claude-design"/>
    <w:p>
      <w:pPr>
        <w:pStyle w:val="Heading2"/>
      </w:pPr>
      <w:r>
        <w:t xml:space="preserve">13. BUILD SEQUENCE FOR CLAUDE DESIGN</w:t>
      </w:r>
    </w:p>
    <w:p>
      <w:pPr>
        <w:pStyle w:val="FirstParagraph"/>
      </w:pPr>
      <w:r>
        <w:t xml:space="preserve">Paste one phase at a time, with Sections 1 through 12 attached as canon each time. Do not begin a phase until the previous phase is accepted.</w:t>
      </w:r>
    </w:p>
    <w:p>
      <w:pPr>
        <w:pStyle w:val="BodyText"/>
      </w:pPr>
      <w:r>
        <w:rPr>
          <w:bCs/>
          <w:b/>
        </w:rPr>
        <w:t xml:space="preserve">Phase A: Foundations.</w:t>
      </w:r>
      <w:r>
        <w:t xml:space="preserve"> </w:t>
      </w:r>
      <w:r>
        <w:t xml:space="preserve">Create the Figma file, all variable collections, all type styles, grid styles, and the full atom and molecule component sets with every state, at 1440 and 390. Deliver a one-page foundations sheet showing the palette, type scale, spacing ramp, and motion specimens.</w:t>
      </w:r>
    </w:p>
    <w:p>
      <w:pPr>
        <w:pStyle w:val="BodyText"/>
      </w:pPr>
      <w:r>
        <w:rPr>
          <w:bCs/>
          <w:b/>
        </w:rPr>
        <w:t xml:space="preserve">Phase B: Home and Method.</w:t>
      </w:r>
      <w:r>
        <w:t xml:space="preserve"> </w:t>
      </w:r>
      <w:r>
        <w:t xml:space="preserve">Full desktop and mobile frames for</w:t>
      </w:r>
      <w:r>
        <w:t xml:space="preserve"> </w:t>
      </w:r>
      <w:r>
        <w:rPr>
          <w:rStyle w:val="VerbatimChar"/>
        </w:rPr>
        <w:t xml:space="preserve">/</w:t>
      </w:r>
      <w:r>
        <w:t xml:space="preserve"> </w:t>
      </w:r>
      <w:r>
        <w:t xml:space="preserve">and</w:t>
      </w:r>
      <w:r>
        <w:t xml:space="preserve"> </w:t>
      </w:r>
      <w:r>
        <w:rPr>
          <w:rStyle w:val="VerbatimChar"/>
        </w:rPr>
        <w:t xml:space="preserve">/method</w:t>
      </w:r>
      <w:r>
        <w:t xml:space="preserve">, with real copy from Section 6, placeholder photography clearly marked as placeholder, and the announcement bar, navigation, mega-panel, and footer completed as reusable components.</w:t>
      </w:r>
    </w:p>
    <w:p>
      <w:pPr>
        <w:pStyle w:val="BodyText"/>
      </w:pPr>
      <w:r>
        <w:rPr>
          <w:bCs/>
          <w:b/>
        </w:rPr>
        <w:t xml:space="preserve">Phase C: Wellness, Products, and Transparency.</w:t>
      </w:r>
      <w:r>
        <w:t xml:space="preserve"> </w:t>
      </w:r>
      <w:r>
        <w:t xml:space="preserve">The five line pages from one template, the product index and the eight product detail pages from one template, and the transparency and COA panels including empty, not-found, pending, and failed states.</w:t>
      </w:r>
    </w:p>
    <w:p>
      <w:pPr>
        <w:pStyle w:val="BodyText"/>
      </w:pPr>
      <w:r>
        <w:rPr>
          <w:bCs/>
          <w:b/>
        </w:rPr>
        <w:t xml:space="preserve">Phase D: DNA, Research, and Locator.</w:t>
      </w:r>
      <w:r>
        <w:t xml:space="preserve"> </w:t>
      </w:r>
      <w:r>
        <w:t xml:space="preserve">The DNA hub, the thirteen-trait matrix, the sample report specimen, the privacy page, the research index and article template, the terpene index, and the locator with its custom map style.</w:t>
      </w:r>
    </w:p>
    <w:p>
      <w:pPr>
        <w:pStyle w:val="BodyText"/>
      </w:pPr>
      <w:r>
        <w:rPr>
          <w:bCs/>
          <w:b/>
        </w:rPr>
        <w:t xml:space="preserve">Phase E: Framer build.</w:t>
      </w:r>
      <w:r>
        <w:t xml:space="preserve"> </w:t>
      </w:r>
      <w:r>
        <w:t xml:space="preserve">Translate Phases B through D into Framer with the CMS collections in Section 8.2, build the four code components, wire forms and consent capture, and ship staging.</w:t>
      </w:r>
    </w:p>
    <w:p>
      <w:pPr>
        <w:pStyle w:val="BodyText"/>
      </w:pPr>
      <w:r>
        <w:rPr>
          <w:bCs/>
          <w:b/>
        </w:rPr>
        <w:t xml:space="preserve">Phase F: App.</w:t>
      </w:r>
      <w:r>
        <w:t xml:space="preserve"> </w:t>
      </w:r>
      <w:r>
        <w:t xml:space="preserve">The progressive web app from Section 7, screens 1 through 10, built from the same tokens with harvested and stripped 21st.dev patterns.</w:t>
      </w:r>
    </w:p>
    <w:p>
      <w:pPr>
        <w:pStyle w:val="BodyText"/>
      </w:pPr>
      <w:r>
        <w:rPr>
          <w:bCs/>
          <w:b/>
        </w:rPr>
        <w:t xml:space="preserve">Phase G: Hardening.</w:t>
      </w:r>
      <w:r>
        <w:t xml:space="preserve"> </w:t>
      </w:r>
      <w:r>
        <w:t xml:space="preserve">Accessibility audit, performance budget verification, compliance review pass against Section 9, content load, and launch checklist.</w:t>
      </w:r>
    </w:p>
    <w:bookmarkStart w:id="68" w:name="acceptance-gate-for-every-phase"/>
    <w:p>
      <w:pPr>
        <w:pStyle w:val="Heading3"/>
      </w:pPr>
      <w:r>
        <w:t xml:space="preserve">Acceptance gate for every phase</w:t>
      </w:r>
    </w:p>
    <w:p>
      <w:pPr>
        <w:numPr>
          <w:ilvl w:val="0"/>
          <w:numId w:val="1015"/>
        </w:numPr>
        <w:pStyle w:val="Compact"/>
      </w:pPr>
      <w:r>
        <w:t xml:space="preserve">☐ Zero em-dashes and zero en-dashes in any output</w:t>
      </w:r>
    </w:p>
    <w:p>
      <w:pPr>
        <w:numPr>
          <w:ilvl w:val="0"/>
          <w:numId w:val="1015"/>
        </w:numPr>
        <w:pStyle w:val="Compact"/>
      </w:pPr>
      <w:r>
        <w:t xml:space="preserve">☐ Every color, space, and type value bound to a token, no literal values</w:t>
      </w:r>
    </w:p>
    <w:p>
      <w:pPr>
        <w:numPr>
          <w:ilvl w:val="0"/>
          <w:numId w:val="1015"/>
        </w:numPr>
        <w:pStyle w:val="Compact"/>
      </w:pPr>
      <w:r>
        <w:t xml:space="preserve">☐ Desktop and mobile delivered in the same pass</w:t>
      </w:r>
    </w:p>
    <w:p>
      <w:pPr>
        <w:numPr>
          <w:ilvl w:val="0"/>
          <w:numId w:val="1015"/>
        </w:numPr>
        <w:pStyle w:val="Compact"/>
      </w:pPr>
      <w:r>
        <w:t xml:space="preserve">☐ All component states present, including empty, loading, and error</w:t>
      </w:r>
    </w:p>
    <w:p>
      <w:pPr>
        <w:numPr>
          <w:ilvl w:val="0"/>
          <w:numId w:val="1015"/>
        </w:numPr>
        <w:pStyle w:val="Compact"/>
      </w:pPr>
      <w:r>
        <w:t xml:space="preserve">☐ Lucide icons only, strokeWidth 1.5</w:t>
      </w:r>
    </w:p>
    <w:p>
      <w:pPr>
        <w:numPr>
          <w:ilvl w:val="0"/>
          <w:numId w:val="1015"/>
        </w:numPr>
        <w:pStyle w:val="Compact"/>
      </w:pPr>
      <w:r>
        <w:t xml:space="preserve">☐ No shadows, gradients, or radii above 2px</w:t>
      </w:r>
    </w:p>
    <w:p>
      <w:pPr>
        <w:numPr>
          <w:ilvl w:val="0"/>
          <w:numId w:val="1015"/>
        </w:numPr>
        <w:pStyle w:val="Compact"/>
      </w:pPr>
      <w:r>
        <w:t xml:space="preserve">☐ Focus visible and keyboard operable on every interactive element</w:t>
      </w:r>
    </w:p>
    <w:p>
      <w:pPr>
        <w:numPr>
          <w:ilvl w:val="0"/>
          <w:numId w:val="1015"/>
        </w:numPr>
        <w:pStyle w:val="Compact"/>
      </w:pPr>
      <w:r>
        <w:t xml:space="preserve">☐ Contrast verified, including the tertiary text case</w:t>
      </w:r>
    </w:p>
    <w:p>
      <w:pPr>
        <w:numPr>
          <w:ilvl w:val="0"/>
          <w:numId w:val="1015"/>
        </w:numPr>
        <w:pStyle w:val="Compact"/>
      </w:pPr>
      <w:r>
        <w:t xml:space="preserve">☐ Reduced-motion branch present</w:t>
      </w:r>
    </w:p>
    <w:p>
      <w:pPr>
        <w:numPr>
          <w:ilvl w:val="0"/>
          <w:numId w:val="1015"/>
        </w:numPr>
        <w:pStyle w:val="Compact"/>
      </w:pPr>
      <w:r>
        <w:t xml:space="preserve">☐ No claim in any string that promises a physiological outcome</w:t>
      </w:r>
    </w:p>
    <w:p>
      <w:pPr>
        <w:numPr>
          <w:ilvl w:val="0"/>
          <w:numId w:val="1015"/>
        </w:numPr>
        <w:pStyle w:val="Compact"/>
      </w:pPr>
      <w:r>
        <w:t xml:space="preserve">☐ No fabricated data: absent values render as UNKNOWN with an explanation</w:t>
      </w:r>
    </w:p>
    <w:p>
      <w:r>
        <w:pict>
          <v:rect style="width:0;height:1.5pt" o:hralign="center" o:hrstd="t" o:hr="t"/>
        </w:pict>
      </w:r>
    </w:p>
    <w:bookmarkEnd w:id="68"/>
    <w:bookmarkEnd w:id="69"/>
    <w:bookmarkStart w:id="70" w:name="open-decisions"/>
    <w:p>
      <w:pPr>
        <w:pStyle w:val="Heading2"/>
      </w:pPr>
      <w:r>
        <w:t xml:space="preserve">14. OPEN DECISIONS</w:t>
      </w:r>
    </w:p>
    <w:p>
      <w:pPr>
        <w:pStyle w:val="FirstParagraph"/>
      </w:pPr>
      <w:r>
        <w:t xml:space="preserve">These are yours to settle. The build can start without them, but Phase D depends on the first two.</w:t>
      </w:r>
    </w:p>
    <w:p>
      <w:pPr>
        <w:numPr>
          <w:ilvl w:val="0"/>
          <w:numId w:val="1016"/>
        </w:numPr>
        <w:pStyle w:val="Compact"/>
      </w:pPr>
      <w:r>
        <w:rPr>
          <w:bCs/>
          <w:b/>
        </w:rPr>
        <w:t xml:space="preserve">Ecosystem attribution.</w:t>
      </w:r>
      <w:r>
        <w:t xml:space="preserve"> </w:t>
      </w:r>
      <w:r>
        <w:t xml:space="preserve">The master plan positions the DNA test as a FarmCeutica product running on GENEX360 with results delivered through ViaConnect. Your standing rule is that CedarGrowth and FarmCeutica are kept separate in deliverables. This prompt therefore describes the test as the CedarGrowth Cannabis DNA Test and treats the platform attribution as a switch. Confirm one of: full attribution (named partner, strongest scientific credibility), quiet attribution (a single</w:t>
      </w:r>
      <w:r>
        <w:t xml:space="preserve"> </w:t>
      </w:r>
      <w:r>
        <w:t xml:space="preserve">“</w:t>
      </w:r>
      <w:r>
        <w:t xml:space="preserve">powered by</w:t>
      </w:r>
      <w:r>
        <w:t xml:space="preserve">”</w:t>
      </w:r>
      <w:r>
        <w:t xml:space="preserve"> </w:t>
      </w:r>
      <w:r>
        <w:t xml:space="preserve">line in the footer and the privacy page), or no attribution (CedarGrowth-only branding, requires its own privacy and laboratory disclosure).</w:t>
      </w:r>
    </w:p>
    <w:p>
      <w:pPr>
        <w:numPr>
          <w:ilvl w:val="0"/>
          <w:numId w:val="1016"/>
        </w:numPr>
        <w:pStyle w:val="Compact"/>
      </w:pPr>
      <w:r>
        <w:rPr>
          <w:bCs/>
          <w:b/>
        </w:rPr>
        <w:t xml:space="preserve">App delivery.</w:t>
      </w:r>
      <w:r>
        <w:t xml:space="preserve"> </w:t>
      </w:r>
      <w:r>
        <w:t xml:space="preserve">The companion experience can be a CedarGrowth-branded progressive web app, or it can be an existing platform surface. This document assumes a standalone CedarGrowth PWA.</w:t>
      </w:r>
    </w:p>
    <w:p>
      <w:pPr>
        <w:numPr>
          <w:ilvl w:val="0"/>
          <w:numId w:val="1016"/>
        </w:numPr>
        <w:pStyle w:val="Compact"/>
      </w:pPr>
      <w:r>
        <w:rPr>
          <w:bCs/>
          <w:b/>
        </w:rPr>
        <w:t xml:space="preserve">Naming of the app</w:t>
      </w:r>
      <w:r>
        <w:t xml:space="preserve"> </w:t>
      </w:r>
      <w:r>
        <w:t xml:space="preserve">and whether it carries a distinct name from the site.</w:t>
      </w:r>
    </w:p>
    <w:p>
      <w:pPr>
        <w:numPr>
          <w:ilvl w:val="0"/>
          <w:numId w:val="1016"/>
        </w:numPr>
        <w:pStyle w:val="Compact"/>
      </w:pPr>
      <w:r>
        <w:rPr>
          <w:bCs/>
          <w:b/>
        </w:rPr>
        <w:t xml:space="preserve">Typography licensing.</w:t>
      </w:r>
      <w:r>
        <w:t xml:space="preserve"> </w:t>
      </w:r>
      <w:r>
        <w:t xml:space="preserve">Approve the free stack (Newsreader, Inter Tight, IBM Plex Mono) or fund the licensed upgrade (Suisse Works and Suisse Int’l).</w:t>
      </w:r>
    </w:p>
    <w:p>
      <w:pPr>
        <w:numPr>
          <w:ilvl w:val="0"/>
          <w:numId w:val="1016"/>
        </w:numPr>
        <w:pStyle w:val="Compact"/>
      </w:pPr>
      <w:r>
        <w:rPr>
          <w:bCs/>
          <w:b/>
        </w:rPr>
        <w:t xml:space="preserve">Photography.</w:t>
      </w:r>
      <w:r>
        <w:t xml:space="preserve"> </w:t>
      </w:r>
      <w:r>
        <w:t xml:space="preserve">Commissioned shoot at 998 Broadway versus a licensed library. The process documentary family cannot be bought convincingly and is the single highest-leverage asset in the build.</w:t>
      </w:r>
    </w:p>
    <w:p>
      <w:pPr>
        <w:numPr>
          <w:ilvl w:val="0"/>
          <w:numId w:val="1016"/>
        </w:numPr>
        <w:pStyle w:val="Compact"/>
      </w:pPr>
      <w:r>
        <w:rPr>
          <w:bCs/>
          <w:b/>
        </w:rPr>
        <w:t xml:space="preserve">Locator data source</w:t>
      </w:r>
      <w:r>
        <w:t xml:space="preserve"> </w:t>
      </w:r>
      <w:r>
        <w:t xml:space="preserve">and who maintains dispensary listings.</w:t>
      </w:r>
    </w:p>
    <w:p>
      <w:pPr>
        <w:numPr>
          <w:ilvl w:val="0"/>
          <w:numId w:val="1016"/>
        </w:numPr>
        <w:pStyle w:val="Compact"/>
      </w:pPr>
      <w:r>
        <w:rPr>
          <w:bCs/>
          <w:b/>
        </w:rPr>
        <w:t xml:space="preserve">Domain and license identifier</w:t>
      </w:r>
      <w:r>
        <w:t xml:space="preserve"> </w:t>
      </w:r>
      <w:r>
        <w:t xml:space="preserve">to display in the footer.</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2026-07-27T22:38:43Z</dcterms:created>
  <dcterms:modified xsi:type="dcterms:W3CDTF">2026-07-27T22:38:43Z</dcterms:modified>
</cp:coreProperties>
</file>

<file path=docProps/custom.xml><?xml version="1.0" encoding="utf-8"?>
<Properties xmlns="http://schemas.openxmlformats.org/officeDocument/2006/custom-properties" xmlns:vt="http://schemas.openxmlformats.org/officeDocument/2006/docPropsVTypes"/>
</file>