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Anti-Bribery and Anti-Corruption Policy - First Digital</w:t>
      </w:r>
    </w:p>
    <w:bookmarkStart w:id="22" w:name="anti-bribery-and-anti-corruption-policy"/>
    <w:p>
      <w:pPr>
        <w:pStyle w:val="Heading1"/>
      </w:pPr>
      <w:r>
        <w:t xml:space="preserve">Anti-Bribery and Anti-Corruption Policy</w:t>
      </w:r>
    </w:p>
    <w:p>
      <w:pPr>
        <w:pStyle w:val="FirstParagraph"/>
      </w:pPr>
      <w:r>
        <w:t xml:space="preserve">Policy ID: FD-LC-002 | Version 2.1 | Effective: 1 September 2025</w:t>
      </w:r>
    </w:p>
    <w:p>
      <w:pPr>
        <w:pStyle w:val="BodyText"/>
      </w:pPr>
      <w:r>
        <w:rPr>
          <w:b/>
          <w:bCs/>
        </w:rPr>
        <w:t xml:space="preserve">Zero Tolerance:</w:t>
      </w:r>
      <w:r>
        <w:t xml:space="preserve"> </w:t>
      </w:r>
      <w:r>
        <w:t xml:space="preserve">First Digital operates a zero-tolerance approach to bribery and corruption. Any employee found to be involved in bribery or corrupt practices will face immediate disciplinary action, including termination, and may be subject to criminal prosecution.</w:t>
      </w:r>
    </w:p>
    <w:bookmarkStart w:id="9" w:name="purpose"/>
    <w:p>
      <w:pPr>
        <w:pStyle w:val="Heading2"/>
      </w:pPr>
      <w:r>
        <w:t xml:space="preserve">1. Purpose</w:t>
      </w:r>
    </w:p>
    <w:p>
      <w:pPr>
        <w:pStyle w:val="FirstParagraph"/>
      </w:pPr>
      <w:r>
        <w:t xml:space="preserve">This policy sets out First Digital's position on bribery and corruption and provides guidance to all employees on recognising, preventing, and reporting bribery and corrupt business practices. First Digital is committed to conducting business ethically, transparently, and in full compliance with all applicable anti-bribery and anti-corruption legislation.</w:t>
      </w:r>
    </w:p>
    <w:bookmarkEnd w:id="9"/>
    <w:bookmarkStart w:id="10" w:name="scope"/>
    <w:p>
      <w:pPr>
        <w:pStyle w:val="Heading2"/>
      </w:pPr>
      <w:r>
        <w:t xml:space="preserve">2. Scope</w:t>
      </w:r>
    </w:p>
    <w:p>
      <w:pPr>
        <w:pStyle w:val="FirstParagraph"/>
      </w:pPr>
      <w:r>
        <w:t xml:space="preserve">This policy applies to all directors, officers, employees, contractors, consultants, agents, and any third parties acting on behalf of First Digital worldwide. It covers all business dealings and transactions in every country in which First Digital operates.</w:t>
      </w:r>
    </w:p>
    <w:bookmarkEnd w:id="10"/>
    <w:bookmarkStart w:id="11" w:name="legal-framework"/>
    <w:p>
      <w:pPr>
        <w:pStyle w:val="Heading2"/>
      </w:pPr>
      <w:r>
        <w:t xml:space="preserve">3. Legal Framework</w:t>
      </w:r>
    </w:p>
    <w:p>
      <w:pPr>
        <w:pStyle w:val="FirstParagraph"/>
      </w:pPr>
      <w:r>
        <w:t xml:space="preserve">This policy is designed to ensure compliance with:</w:t>
      </w:r>
    </w:p>
    <w:p>
      <w:pPr>
        <w:pStyle w:val="Compact"/>
        <w:numPr>
          <w:ilvl w:val="0"/>
          <w:numId w:val="1001"/>
        </w:numPr>
      </w:pPr>
      <w:r>
        <w:t xml:space="preserve">UK Bribery Act 2010 (including facilitation payments and failure to prevent bribery)</w:t>
      </w:r>
    </w:p>
    <w:p>
      <w:pPr>
        <w:pStyle w:val="Compact"/>
        <w:numPr>
          <w:ilvl w:val="0"/>
          <w:numId w:val="1001"/>
        </w:numPr>
      </w:pPr>
      <w:r>
        <w:t xml:space="preserve">US Foreign Corrupt Practices Act (FCPA)</w:t>
      </w:r>
    </w:p>
    <w:p>
      <w:pPr>
        <w:pStyle w:val="Compact"/>
        <w:numPr>
          <w:ilvl w:val="0"/>
          <w:numId w:val="1001"/>
        </w:numPr>
      </w:pPr>
      <w:r>
        <w:t xml:space="preserve">Australian Criminal Code Act 1995, Division 70</w:t>
      </w:r>
    </w:p>
    <w:p>
      <w:pPr>
        <w:pStyle w:val="Compact"/>
        <w:numPr>
          <w:ilvl w:val="0"/>
          <w:numId w:val="1001"/>
        </w:numPr>
      </w:pPr>
      <w:r>
        <w:t xml:space="preserve">All applicable local anti-corruption laws in jurisdictions where First Digital operates</w:t>
      </w:r>
    </w:p>
    <w:bookmarkEnd w:id="11"/>
    <w:bookmarkStart w:id="12" w:name="definitions"/>
    <w:p>
      <w:pPr>
        <w:pStyle w:val="Heading2"/>
      </w:pPr>
      <w:r>
        <w:t xml:space="preserve">4.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Bribery</w:t>
            </w:r>
          </w:p>
        </w:tc>
        <w:tc>
          <w:tcPr/>
          <w:p>
            <w:pPr>
              <w:pStyle w:val="Compact"/>
            </w:pPr>
            <w:r>
              <w:t xml:space="preserve">Offering, promising, giving, requesting, or accepting a financial or other advantage to induce or reward improper performance of a function or activity.</w:t>
            </w:r>
          </w:p>
        </w:tc>
      </w:tr>
      <w:tr>
        <w:tc>
          <w:tcPr/>
          <w:p>
            <w:pPr>
              <w:pStyle w:val="Compact"/>
            </w:pPr>
            <w:r>
              <w:t xml:space="preserve">Facilitation Payment</w:t>
            </w:r>
          </w:p>
        </w:tc>
        <w:tc>
          <w:tcPr/>
          <w:p>
            <w:pPr>
              <w:pStyle w:val="Compact"/>
            </w:pPr>
            <w:r>
              <w:t xml:space="preserve">An unofficial payment made to a public official to expedite a routine government action. These are prohibited under this policy.</w:t>
            </w:r>
          </w:p>
        </w:tc>
      </w:tr>
      <w:tr>
        <w:tc>
          <w:tcPr/>
          <w:p>
            <w:pPr>
              <w:pStyle w:val="Compact"/>
            </w:pPr>
            <w:r>
              <w:t xml:space="preserve">Public Official</w:t>
            </w:r>
          </w:p>
        </w:tc>
        <w:tc>
          <w:tcPr/>
          <w:p>
            <w:pPr>
              <w:pStyle w:val="Compact"/>
            </w:pPr>
            <w:r>
              <w:t xml:space="preserve">Any person holding a legislative, administrative, or judicial position, or any person exercising a public function for a government body.</w:t>
            </w:r>
          </w:p>
        </w:tc>
      </w:tr>
      <w:tr>
        <w:tc>
          <w:tcPr/>
          <w:p>
            <w:pPr>
              <w:pStyle w:val="Compact"/>
            </w:pPr>
            <w:r>
              <w:t xml:space="preserve">Gifts and Hospitality</w:t>
            </w:r>
          </w:p>
        </w:tc>
        <w:tc>
          <w:tcPr/>
          <w:p>
            <w:pPr>
              <w:pStyle w:val="Compact"/>
            </w:pPr>
            <w:r>
              <w:t xml:space="preserve">Any benefit, entertainment, travel, accommodation, or other advantage provided to or received from external parties in connection with business.</w:t>
            </w:r>
          </w:p>
        </w:tc>
      </w:tr>
    </w:tbl>
    <w:bookmarkEnd w:id="12"/>
    <w:bookmarkStart w:id="16" w:name="policy-statements"/>
    <w:p>
      <w:pPr>
        <w:pStyle w:val="Heading2"/>
      </w:pPr>
      <w:r>
        <w:t xml:space="preserve">5. Policy Statements</w:t>
      </w:r>
    </w:p>
    <w:bookmarkStart w:id="13" w:name="prohibited-conduct"/>
    <w:p>
      <w:pPr>
        <w:pStyle w:val="Heading3"/>
      </w:pPr>
      <w:r>
        <w:t xml:space="preserve">5.1 Prohibited Conduct</w:t>
      </w:r>
    </w:p>
    <w:p>
      <w:pPr>
        <w:pStyle w:val="FirstParagraph"/>
      </w:pPr>
      <w:r>
        <w:t xml:space="preserve">Employees and associated persons must not, directly or through a third party:</w:t>
      </w:r>
    </w:p>
    <w:p>
      <w:pPr>
        <w:pStyle w:val="Compact"/>
        <w:numPr>
          <w:ilvl w:val="0"/>
          <w:numId w:val="1002"/>
        </w:numPr>
      </w:pPr>
      <w:r>
        <w:t xml:space="preserve">Offer, promise, or give a bribe to any person in the public or private sector.</w:t>
      </w:r>
    </w:p>
    <w:p>
      <w:pPr>
        <w:pStyle w:val="Compact"/>
        <w:numPr>
          <w:ilvl w:val="0"/>
          <w:numId w:val="1002"/>
        </w:numPr>
      </w:pPr>
      <w:r>
        <w:t xml:space="preserve">Request, agree to receive, or accept a bribe from any person.</w:t>
      </w:r>
    </w:p>
    <w:p>
      <w:pPr>
        <w:pStyle w:val="Compact"/>
        <w:numPr>
          <w:ilvl w:val="0"/>
          <w:numId w:val="1002"/>
        </w:numPr>
      </w:pPr>
      <w:r>
        <w:t xml:space="preserve">Make facilitation payments of any kind, regardless of local custom or practice.</w:t>
      </w:r>
    </w:p>
    <w:p>
      <w:pPr>
        <w:pStyle w:val="Compact"/>
        <w:numPr>
          <w:ilvl w:val="0"/>
          <w:numId w:val="1002"/>
        </w:numPr>
      </w:pPr>
      <w:r>
        <w:t xml:space="preserve">Make political donations or charitable contributions to secure a business advantage.</w:t>
      </w:r>
    </w:p>
    <w:p>
      <w:pPr>
        <w:pStyle w:val="Compact"/>
        <w:numPr>
          <w:ilvl w:val="0"/>
          <w:numId w:val="1002"/>
        </w:numPr>
      </w:pPr>
      <w:r>
        <w:t xml:space="preserve">Engage a third party where there are reasonable grounds to believe they may engage in bribery.</w:t>
      </w:r>
    </w:p>
    <w:bookmarkEnd w:id="13"/>
    <w:bookmarkStart w:id="14" w:name="gifts-and-hospitality"/>
    <w:p>
      <w:pPr>
        <w:pStyle w:val="Heading3"/>
      </w:pPr>
      <w:r>
        <w:t xml:space="preserve">5.2 Gifts and Hospitality</w:t>
      </w:r>
    </w:p>
    <w:p>
      <w:pPr>
        <w:pStyle w:val="FirstParagraph"/>
      </w:pPr>
      <w:r>
        <w:t xml:space="preserve">Gifts and hospitality may only be offered or accepted where they are:</w:t>
      </w:r>
    </w:p>
    <w:p>
      <w:pPr>
        <w:pStyle w:val="Compact"/>
        <w:numPr>
          <w:ilvl w:val="0"/>
          <w:numId w:val="1003"/>
        </w:numPr>
      </w:pPr>
      <w:r>
        <w:t xml:space="preserve">Reasonable, proportionate, and made in good faith.</w:t>
      </w:r>
    </w:p>
    <w:p>
      <w:pPr>
        <w:pStyle w:val="Compact"/>
        <w:numPr>
          <w:ilvl w:val="0"/>
          <w:numId w:val="1003"/>
        </w:numPr>
      </w:pPr>
      <w:r>
        <w:t xml:space="preserve">Not intended to influence a business decision or create an obligation.</w:t>
      </w:r>
    </w:p>
    <w:p>
      <w:pPr>
        <w:pStyle w:val="Compact"/>
        <w:numPr>
          <w:ilvl w:val="0"/>
          <w:numId w:val="1003"/>
        </w:numPr>
      </w:pPr>
      <w:r>
        <w:t xml:space="preserve">Below AUD $200 in value (gifts exceeding this threshold require prior written approval from the Compliance Officer).</w:t>
      </w:r>
    </w:p>
    <w:p>
      <w:pPr>
        <w:pStyle w:val="Compact"/>
        <w:numPr>
          <w:ilvl w:val="0"/>
          <w:numId w:val="1003"/>
        </w:numPr>
      </w:pPr>
      <w:r>
        <w:t xml:space="preserve">Recorded in the company's Gifts and Hospitality Register within 5 business days.</w:t>
      </w:r>
    </w:p>
    <w:bookmarkEnd w:id="14"/>
    <w:bookmarkStart w:id="15" w:name="third-party-due-diligence"/>
    <w:p>
      <w:pPr>
        <w:pStyle w:val="Heading3"/>
      </w:pPr>
      <w:r>
        <w:t xml:space="preserve">5.3 Third-Party Due Diligence</w:t>
      </w:r>
    </w:p>
    <w:p>
      <w:pPr>
        <w:pStyle w:val="FirstParagraph"/>
      </w:pPr>
      <w:r>
        <w:t xml:space="preserve">All agents, consultants, and business partners must undergo anti-corruption due diligence before engagement. This includes background checks, reference verification, and ongoing monitoring proportionate to the corruption risk of the engagement.</w:t>
      </w:r>
    </w:p>
    <w:bookmarkEnd w:id="15"/>
    <w:bookmarkEnd w:id="16"/>
    <w:bookmarkStart w:id="17" w:name="responsibilities"/>
    <w:p>
      <w:pPr>
        <w:pStyle w:val="Heading2"/>
      </w:pPr>
      <w:r>
        <w:t xml:space="preserve">6.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Board of Directors</w:t>
            </w:r>
          </w:p>
        </w:tc>
        <w:tc>
          <w:tcPr/>
          <w:p>
            <w:pPr>
              <w:pStyle w:val="Compact"/>
            </w:pPr>
            <w:r>
              <w:t xml:space="preserve">Ensure adequate procedures are in place to prevent bribery across the organisation.</w:t>
            </w:r>
          </w:p>
        </w:tc>
      </w:tr>
      <w:tr>
        <w:tc>
          <w:tcPr/>
          <w:p>
            <w:pPr>
              <w:pStyle w:val="Compact"/>
            </w:pPr>
            <w:r>
              <w:t xml:space="preserve">Compliance Officer</w:t>
            </w:r>
          </w:p>
        </w:tc>
        <w:tc>
          <w:tcPr/>
          <w:p>
            <w:pPr>
              <w:pStyle w:val="Compact"/>
            </w:pPr>
            <w:r>
              <w:t xml:space="preserve">Administer this policy; conduct risk assessments; oversee due diligence; manage the Gifts Register.</w:t>
            </w:r>
          </w:p>
        </w:tc>
      </w:tr>
      <w:tr>
        <w:tc>
          <w:tcPr/>
          <w:p>
            <w:pPr>
              <w:pStyle w:val="Compact"/>
            </w:pPr>
            <w:r>
              <w:t xml:space="preserve">All Employees</w:t>
            </w:r>
          </w:p>
        </w:tc>
        <w:tc>
          <w:tcPr/>
          <w:p>
            <w:pPr>
              <w:pStyle w:val="Compact"/>
            </w:pPr>
            <w:r>
              <w:t xml:space="preserve">Read and comply with this policy; report suspected breaches; complete annual anti-bribery training.</w:t>
            </w:r>
          </w:p>
        </w:tc>
      </w:tr>
      <w:tr>
        <w:tc>
          <w:tcPr/>
          <w:p>
            <w:pPr>
              <w:pStyle w:val="Compact"/>
            </w:pPr>
            <w:r>
              <w:t xml:space="preserve">Procurement</w:t>
            </w:r>
          </w:p>
        </w:tc>
        <w:tc>
          <w:tcPr/>
          <w:p>
            <w:pPr>
              <w:pStyle w:val="Compact"/>
            </w:pPr>
            <w:r>
              <w:t xml:space="preserve">Ensure anti-corruption clauses are included in all supplier and partner contracts.</w:t>
            </w:r>
          </w:p>
        </w:tc>
      </w:tr>
    </w:tbl>
    <w:bookmarkEnd w:id="17"/>
    <w:bookmarkStart w:id="18" w:name="reporting-and-whistleblowing"/>
    <w:p>
      <w:pPr>
        <w:pStyle w:val="Heading2"/>
      </w:pPr>
      <w:r>
        <w:t xml:space="preserve">7. Reporting and Whistleblowing</w:t>
      </w:r>
    </w:p>
    <w:p>
      <w:pPr>
        <w:pStyle w:val="FirstParagraph"/>
      </w:pPr>
      <w:r>
        <w:t xml:space="preserve">Any employee who suspects or becomes aware of bribery or corruption must report it immediately through one of the following channels: their line manager, the Compliance Officer, or the confidential whistleblowing hotline. Reports may be made anonymously. First Digital will not tolerate retaliation against anyone who reports a concern in good faith.</w:t>
      </w:r>
    </w:p>
    <w:bookmarkEnd w:id="18"/>
    <w:bookmarkStart w:id="19" w:name="record-keeping"/>
    <w:p>
      <w:pPr>
        <w:pStyle w:val="Heading2"/>
      </w:pPr>
      <w:r>
        <w:t xml:space="preserve">8. Record Keeping</w:t>
      </w:r>
    </w:p>
    <w:p>
      <w:pPr>
        <w:pStyle w:val="FirstParagraph"/>
      </w:pPr>
      <w:r>
        <w:t xml:space="preserve">First Digital will maintain accurate books and records that properly document all financial transactions. No off-book accounts, inadequately identified transactions, or falsified records will be tolerated. All gifts, hospitality, and third-party payments must be accurately recorded and available for audit.</w:t>
      </w:r>
    </w:p>
    <w:bookmarkEnd w:id="19"/>
    <w:bookmarkStart w:id="20" w:name="training"/>
    <w:p>
      <w:pPr>
        <w:pStyle w:val="Heading2"/>
      </w:pPr>
      <w:r>
        <w:t xml:space="preserve">9. Training</w:t>
      </w:r>
    </w:p>
    <w:p>
      <w:pPr>
        <w:pStyle w:val="FirstParagraph"/>
      </w:pPr>
      <w:r>
        <w:t xml:space="preserve">All employees are required to complete anti-bribery and anti-corruption training within 30 days of joining and annually thereafter. Employees in high-risk roles (procurement, sales, government relations) must complete enhanced training every 6 months.</w:t>
      </w:r>
    </w:p>
    <w:bookmarkEnd w:id="20"/>
    <w:bookmarkStart w:id="21" w:name="review"/>
    <w:p>
      <w:pPr>
        <w:pStyle w:val="Heading2"/>
      </w:pPr>
      <w:r>
        <w:t xml:space="preserve">10. Review</w:t>
      </w:r>
    </w:p>
    <w:p>
      <w:pPr>
        <w:pStyle w:val="FirstParagraph"/>
      </w:pPr>
      <w:r>
        <w:t xml:space="preserve">This policy is reviewed annually by the Legal and Compliance Department and approved by the Board. The next review is due September 2026.</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Anti-Bribery and Anti-Corruption Policy - First Digital</dc:title>
  <dc:creator/>
  <dc:language>en</dc:language>
  <cp:keywords/>
  <dcterms:created xsi:type="dcterms:W3CDTF">2026-04-11T22:11:22Z</dcterms:created>
  <dcterms:modified xsi:type="dcterms:W3CDTF">2026-04-11T22:11:22Z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