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Classification Policy - First Digital</w:t>
      </w:r>
    </w:p>
    <w:bookmarkStart w:id="22" w:name="data-classification-policy"/>
    <w:p>
      <w:pPr>
        <w:pStyle w:val="Heading1"/>
      </w:pPr>
      <w:r>
        <w:t xml:space="preserve">Data Classification Policy</w:t>
      </w:r>
    </w:p>
    <w:p>
      <w:pPr>
        <w:pStyle w:val="FirstParagraph"/>
      </w:pPr>
      <w:r>
        <w:t xml:space="preserve">Policy ID: FD-IS-003 | Version 4.0 | Effective: 1 February 2026</w:t>
      </w:r>
    </w:p>
    <w:bookmarkStart w:id="9" w:name="purpose"/>
    <w:p>
      <w:pPr>
        <w:pStyle w:val="Heading2"/>
      </w:pPr>
      <w:r>
        <w:t xml:space="preserve">1. Purpose</w:t>
      </w:r>
    </w:p>
    <w:p>
      <w:pPr>
        <w:pStyle w:val="FirstParagraph"/>
      </w:pPr>
      <w:r>
        <w:t xml:space="preserve">This policy establishes a framework for classifying First Digital's information assets according to their sensitivity and business value. Proper data classification ensures that information receives the appropriate level of protection, reduces the risk of unauthorised disclosure, and supports regulatory compliance obligations.</w:t>
      </w:r>
    </w:p>
    <w:bookmarkEnd w:id="9"/>
    <w:bookmarkStart w:id="10" w:name="scope"/>
    <w:p>
      <w:pPr>
        <w:pStyle w:val="Heading2"/>
      </w:pPr>
      <w:r>
        <w:t xml:space="preserve">2. Scope</w:t>
      </w:r>
    </w:p>
    <w:p>
      <w:pPr>
        <w:pStyle w:val="FirstParagraph"/>
      </w:pPr>
      <w:r>
        <w:t xml:space="preserve">This policy applies to all information created, received, maintained, or transmitted by First Digital, regardless of format (electronic, paper, verbal). All employees, contractors, and third parties with access to company information must classify and handle data in accordance with this policy.</w:t>
      </w:r>
    </w:p>
    <w:bookmarkEnd w:id="10"/>
    <w:bookmarkStart w:id="11" w:name="classification-tiers"/>
    <w:p>
      <w:pPr>
        <w:pStyle w:val="Heading2"/>
      </w:pPr>
      <w:r>
        <w:t xml:space="preserve">3. Classification Tiers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Label</w:t>
            </w:r>
          </w:p>
        </w:tc>
        <w:tc>
          <w:tcPr/>
          <w:p>
            <w:pPr>
              <w:pStyle w:val="Compact"/>
            </w:pPr>
            <w:r>
              <w:t xml:space="preserve">Description</w:t>
            </w:r>
          </w:p>
        </w:tc>
        <w:tc>
          <w:tcPr/>
          <w:p>
            <w:pPr>
              <w:pStyle w:val="Compact"/>
            </w:pPr>
            <w:r>
              <w:t xml:space="preserve">Examples</w:t>
            </w:r>
          </w:p>
        </w:tc>
      </w:tr>
      <w:tr>
        <w:tc>
          <w:tcPr/>
          <w:p>
            <w:pPr>
              <w:pStyle w:val="Compact"/>
            </w:pPr>
            <w:r>
              <w:rPr>
                <w:b/>
                <w:bCs/>
              </w:rPr>
              <w:t xml:space="preserve">Tier 1</w:t>
            </w:r>
          </w:p>
        </w:tc>
        <w:tc>
          <w:tcPr/>
          <w:p>
            <w:pPr>
              <w:pStyle w:val="Compact"/>
            </w:pPr>
            <w:r>
              <w:t xml:space="preserve">Restricted</w:t>
            </w:r>
          </w:p>
        </w:tc>
        <w:tc>
          <w:tcPr/>
          <w:p>
            <w:pPr>
              <w:pStyle w:val="Compact"/>
            </w:pPr>
            <w:r>
              <w:t xml:space="preserve">Highest sensitivity. Unauthorised disclosure would cause severe harm to the organisation, its clients, or individuals.</w:t>
            </w:r>
          </w:p>
        </w:tc>
        <w:tc>
          <w:tcPr/>
          <w:p>
            <w:pPr>
              <w:pStyle w:val="Compact"/>
            </w:pPr>
            <w:r>
              <w:t xml:space="preserve">Encryption keys, authentication credentials, client financial data, medical records, trade secrets</w:t>
            </w:r>
          </w:p>
        </w:tc>
      </w:tr>
      <w:tr>
        <w:tc>
          <w:tcPr/>
          <w:p>
            <w:pPr>
              <w:pStyle w:val="Compact"/>
            </w:pPr>
            <w:r>
              <w:rPr>
                <w:b/>
                <w:bCs/>
              </w:rPr>
              <w:t xml:space="preserve">Tier 2</w:t>
            </w:r>
          </w:p>
        </w:tc>
        <w:tc>
          <w:tcPr/>
          <w:p>
            <w:pPr>
              <w:pStyle w:val="Compact"/>
            </w:pPr>
            <w:r>
              <w:t xml:space="preserve">Confidential</w:t>
            </w:r>
          </w:p>
        </w:tc>
        <w:tc>
          <w:tcPr/>
          <w:p>
            <w:pPr>
              <w:pStyle w:val="Compact"/>
            </w:pPr>
            <w:r>
              <w:t xml:space="preserve">Sensitive business information. Disclosure could cause significant financial or reputational damage.</w:t>
            </w:r>
          </w:p>
        </w:tc>
        <w:tc>
          <w:tcPr/>
          <w:p>
            <w:pPr>
              <w:pStyle w:val="Compact"/>
            </w:pPr>
            <w:r>
              <w:t xml:space="preserve">Employee records, salary data, unreleased financial reports, contracts, strategic plans, source code</w:t>
            </w:r>
          </w:p>
        </w:tc>
      </w:tr>
      <w:tr>
        <w:tc>
          <w:tcPr/>
          <w:p>
            <w:pPr>
              <w:pStyle w:val="Compact"/>
            </w:pPr>
            <w:r>
              <w:rPr>
                <w:b/>
                <w:bCs/>
              </w:rPr>
              <w:t xml:space="preserve">Tier 3</w:t>
            </w:r>
          </w:p>
        </w:tc>
        <w:tc>
          <w:tcPr/>
          <w:p>
            <w:pPr>
              <w:pStyle w:val="Compact"/>
            </w:pPr>
            <w:r>
              <w:t xml:space="preserve">Internal</w:t>
            </w:r>
          </w:p>
        </w:tc>
        <w:tc>
          <w:tcPr/>
          <w:p>
            <w:pPr>
              <w:pStyle w:val="Compact"/>
            </w:pPr>
            <w:r>
              <w:t xml:space="preserve">Information intended for internal use only. Low risk if disclosed but not intended for external distribution.</w:t>
            </w:r>
          </w:p>
        </w:tc>
        <w:tc>
          <w:tcPr/>
          <w:p>
            <w:pPr>
              <w:pStyle w:val="Compact"/>
            </w:pPr>
            <w:r>
              <w:t xml:space="preserve">Internal memos, meeting minutes, organisational charts, training materials, internal policies</w:t>
            </w:r>
          </w:p>
        </w:tc>
      </w:tr>
      <w:tr>
        <w:tc>
          <w:tcPr/>
          <w:p>
            <w:pPr>
              <w:pStyle w:val="Compact"/>
            </w:pPr>
            <w:r>
              <w:rPr>
                <w:b/>
                <w:bCs/>
              </w:rPr>
              <w:t xml:space="preserve">Tier 4</w:t>
            </w:r>
          </w:p>
        </w:tc>
        <w:tc>
          <w:tcPr/>
          <w:p>
            <w:pPr>
              <w:pStyle w:val="Compact"/>
            </w:pPr>
            <w:r>
              <w:t xml:space="preserve">Public</w:t>
            </w:r>
          </w:p>
        </w:tc>
        <w:tc>
          <w:tcPr/>
          <w:p>
            <w:pPr>
              <w:pStyle w:val="Compact"/>
            </w:pPr>
            <w:r>
              <w:t xml:space="preserve">Information approved for public release. No harm from disclosure.</w:t>
            </w:r>
          </w:p>
        </w:tc>
        <w:tc>
          <w:tcPr/>
          <w:p>
            <w:pPr>
              <w:pStyle w:val="Compact"/>
            </w:pPr>
            <w:r>
              <w:t xml:space="preserve">Marketing materials, press releases, public website content, published annual reports</w:t>
            </w:r>
          </w:p>
        </w:tc>
      </w:tr>
    </w:tbl>
    <w:bookmarkEnd w:id="11"/>
    <w:bookmarkStart w:id="16" w:name="handling-requirements"/>
    <w:p>
      <w:pPr>
        <w:pStyle w:val="Heading2"/>
      </w:pPr>
      <w:r>
        <w:t xml:space="preserve">4. Handling Requirements</w:t>
      </w:r>
    </w:p>
    <w:bookmarkStart w:id="12" w:name="restricted-data-tier-1"/>
    <w:p>
      <w:pPr>
        <w:pStyle w:val="Heading3"/>
      </w:pPr>
      <w:r>
        <w:t xml:space="preserve">4.1 Restricted Data (Tier 1)</w:t>
      </w:r>
    </w:p>
    <w:p>
      <w:pPr>
        <w:pStyle w:val="Compact"/>
        <w:numPr>
          <w:ilvl w:val="0"/>
          <w:numId w:val="1001"/>
        </w:numPr>
      </w:pPr>
      <w:r>
        <w:t xml:space="preserve">Must be encrypted at rest (AES-256) and in transit (TLS 1.2+).</w:t>
      </w:r>
    </w:p>
    <w:p>
      <w:pPr>
        <w:pStyle w:val="Compact"/>
        <w:numPr>
          <w:ilvl w:val="0"/>
          <w:numId w:val="1001"/>
        </w:numPr>
      </w:pPr>
      <w:r>
        <w:t xml:space="preserve">Access limited to named individuals with documented business need and manager approval.</w:t>
      </w:r>
    </w:p>
    <w:p>
      <w:pPr>
        <w:pStyle w:val="Compact"/>
        <w:numPr>
          <w:ilvl w:val="0"/>
          <w:numId w:val="1001"/>
        </w:numPr>
      </w:pPr>
      <w:r>
        <w:t xml:space="preserve">Must not be stored on personal devices, removable media, or unapproved cloud services.</w:t>
      </w:r>
    </w:p>
    <w:p>
      <w:pPr>
        <w:pStyle w:val="Compact"/>
        <w:numPr>
          <w:ilvl w:val="0"/>
          <w:numId w:val="1001"/>
        </w:numPr>
      </w:pPr>
      <w:r>
        <w:t xml:space="preserve">Printing is prohibited unless specifically authorised; printed copies must be stored in locked cabinets.</w:t>
      </w:r>
    </w:p>
    <w:p>
      <w:pPr>
        <w:pStyle w:val="Compact"/>
        <w:numPr>
          <w:ilvl w:val="0"/>
          <w:numId w:val="1001"/>
        </w:numPr>
      </w:pPr>
      <w:r>
        <w:t xml:space="preserve">Must be securely destroyed when no longer required (digital: cryptographic erasure; physical: cross-cut shredding).</w:t>
      </w:r>
    </w:p>
    <w:bookmarkEnd w:id="12"/>
    <w:bookmarkStart w:id="13" w:name="confidential-data-tier-2"/>
    <w:p>
      <w:pPr>
        <w:pStyle w:val="Heading3"/>
      </w:pPr>
      <w:r>
        <w:t xml:space="preserve">4.2 Confidential Data (Tier 2)</w:t>
      </w:r>
    </w:p>
    <w:p>
      <w:pPr>
        <w:pStyle w:val="Compact"/>
        <w:numPr>
          <w:ilvl w:val="0"/>
          <w:numId w:val="1002"/>
        </w:numPr>
      </w:pPr>
      <w:r>
        <w:t xml:space="preserve">Must be encrypted in transit; encryption at rest is strongly recommended.</w:t>
      </w:r>
    </w:p>
    <w:p>
      <w:pPr>
        <w:pStyle w:val="Compact"/>
        <w:numPr>
          <w:ilvl w:val="0"/>
          <w:numId w:val="1002"/>
        </w:numPr>
      </w:pPr>
      <w:r>
        <w:t xml:space="preserve">Access controlled via role-based permissions; shared only on a need-to-know basis.</w:t>
      </w:r>
    </w:p>
    <w:p>
      <w:pPr>
        <w:pStyle w:val="Compact"/>
        <w:numPr>
          <w:ilvl w:val="0"/>
          <w:numId w:val="1002"/>
        </w:numPr>
      </w:pPr>
      <w:r>
        <w:t xml:space="preserve">External sharing requires a signed Non-Disclosure Agreement (NDA) and manager approval.</w:t>
      </w:r>
    </w:p>
    <w:p>
      <w:pPr>
        <w:pStyle w:val="Compact"/>
        <w:numPr>
          <w:ilvl w:val="0"/>
          <w:numId w:val="1002"/>
        </w:numPr>
      </w:pPr>
      <w:r>
        <w:t xml:space="preserve">Must be labelled "Confidential" in document headers, footers, or metadata.</w:t>
      </w:r>
    </w:p>
    <w:bookmarkEnd w:id="13"/>
    <w:bookmarkStart w:id="14" w:name="internal-data-tier-3"/>
    <w:p>
      <w:pPr>
        <w:pStyle w:val="Heading3"/>
      </w:pPr>
      <w:r>
        <w:t xml:space="preserve">4.3 Internal Data (Tier 3)</w:t>
      </w:r>
    </w:p>
    <w:p>
      <w:pPr>
        <w:pStyle w:val="Compact"/>
        <w:numPr>
          <w:ilvl w:val="0"/>
          <w:numId w:val="1003"/>
        </w:numPr>
      </w:pPr>
      <w:r>
        <w:t xml:space="preserve">May be shared freely within the organisation via approved channels (email, Teams, SharePoint).</w:t>
      </w:r>
    </w:p>
    <w:p>
      <w:pPr>
        <w:pStyle w:val="Compact"/>
        <w:numPr>
          <w:ilvl w:val="0"/>
          <w:numId w:val="1003"/>
        </w:numPr>
      </w:pPr>
      <w:r>
        <w:t xml:space="preserve">External sharing requires manager approval but does not require an NDA.</w:t>
      </w:r>
    </w:p>
    <w:p>
      <w:pPr>
        <w:pStyle w:val="Compact"/>
        <w:numPr>
          <w:ilvl w:val="0"/>
          <w:numId w:val="1003"/>
        </w:numPr>
      </w:pPr>
      <w:r>
        <w:t xml:space="preserve">Standard access controls apply; no additional encryption requirements beyond baseline.</w:t>
      </w:r>
    </w:p>
    <w:bookmarkEnd w:id="14"/>
    <w:bookmarkStart w:id="15" w:name="public-data-tier-4"/>
    <w:p>
      <w:pPr>
        <w:pStyle w:val="Heading3"/>
      </w:pPr>
      <w:r>
        <w:t xml:space="preserve">4.4 Public Data (Tier 4)</w:t>
      </w:r>
    </w:p>
    <w:p>
      <w:pPr>
        <w:pStyle w:val="Compact"/>
        <w:numPr>
          <w:ilvl w:val="0"/>
          <w:numId w:val="1004"/>
        </w:numPr>
      </w:pPr>
      <w:r>
        <w:t xml:space="preserve">May be shared externally without restriction.</w:t>
      </w:r>
    </w:p>
    <w:p>
      <w:pPr>
        <w:pStyle w:val="Compact"/>
        <w:numPr>
          <w:ilvl w:val="0"/>
          <w:numId w:val="1004"/>
        </w:numPr>
      </w:pPr>
      <w:r>
        <w:t xml:space="preserve">Must be approved for public release by the Communications team before distribution.</w:t>
      </w:r>
    </w:p>
    <w:p>
      <w:pPr>
        <w:pStyle w:val="Compact"/>
        <w:numPr>
          <w:ilvl w:val="0"/>
          <w:numId w:val="1004"/>
        </w:numPr>
      </w:pPr>
      <w:r>
        <w:t xml:space="preserve">No special handling or encryption requirements.</w:t>
      </w:r>
    </w:p>
    <w:bookmarkEnd w:id="15"/>
    <w:bookmarkEnd w:id="16"/>
    <w:bookmarkStart w:id="17" w:name="classification-process"/>
    <w:p>
      <w:pPr>
        <w:pStyle w:val="Heading2"/>
      </w:pPr>
      <w:r>
        <w:t xml:space="preserve">5. Classification Process</w:t>
      </w:r>
    </w:p>
    <w:p>
      <w:pPr>
        <w:pStyle w:val="FirstParagraph"/>
      </w:pPr>
      <w:r>
        <w:t xml:space="preserve">Data owners are responsible for classifying their information assets at the point of creation. Classification must be reviewed when data is modified, shared, or at least annually. When combining data from multiple classification levels, the aggregate dataset inherits the highest classification of any component.</w:t>
      </w:r>
    </w:p>
    <w:bookmarkEnd w:id="17"/>
    <w:bookmarkStart w:id="18" w:name="labelling"/>
    <w:p>
      <w:pPr>
        <w:pStyle w:val="Heading2"/>
      </w:pPr>
      <w:r>
        <w:t xml:space="preserve">6. Labelling</w:t>
      </w:r>
    </w:p>
    <w:p>
      <w:pPr>
        <w:pStyle w:val="FirstParagraph"/>
      </w:pPr>
      <w:r>
        <w:t xml:space="preserve">All documents and data stores containing Tier 1 or Tier 2 information must be clearly labelled with the appropriate classification. Electronic documents must include the classification in the document header or as a metadata property. Email containing Tier 1 or Tier 2 data must include the classification in the subject line prefix, e.g., "[RESTRICTED]" or "[CONFIDENTIAL]".</w:t>
      </w:r>
    </w:p>
    <w:bookmarkEnd w:id="18"/>
    <w:bookmarkStart w:id="19" w:name="responsibilities"/>
    <w:p>
      <w:pPr>
        <w:pStyle w:val="Heading2"/>
      </w:pPr>
      <w:r>
        <w:t xml:space="preserve">7.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Data Owners</w:t>
            </w:r>
          </w:p>
        </w:tc>
        <w:tc>
          <w:tcPr/>
          <w:p>
            <w:pPr>
              <w:pStyle w:val="Compact"/>
            </w:pPr>
            <w:r>
              <w:t xml:space="preserve">Classify information; approve access requests; review classification annually.</w:t>
            </w:r>
          </w:p>
        </w:tc>
      </w:tr>
      <w:tr>
        <w:tc>
          <w:tcPr/>
          <w:p>
            <w:pPr>
              <w:pStyle w:val="Compact"/>
            </w:pPr>
            <w:r>
              <w:t xml:space="preserve">Data Custodians (IT)</w:t>
            </w:r>
          </w:p>
        </w:tc>
        <w:tc>
          <w:tcPr/>
          <w:p>
            <w:pPr>
              <w:pStyle w:val="Compact"/>
            </w:pPr>
            <w:r>
              <w:t xml:space="preserve">Implement technical controls; manage access; monitor for policy violations.</w:t>
            </w:r>
          </w:p>
        </w:tc>
      </w:tr>
      <w:tr>
        <w:tc>
          <w:tcPr/>
          <w:p>
            <w:pPr>
              <w:pStyle w:val="Compact"/>
            </w:pPr>
            <w:r>
              <w:t xml:space="preserve">All Employees</w:t>
            </w:r>
          </w:p>
        </w:tc>
        <w:tc>
          <w:tcPr/>
          <w:p>
            <w:pPr>
              <w:pStyle w:val="Compact"/>
            </w:pPr>
            <w:r>
              <w:t xml:space="preserve">Handle data according to its classification; report misclassified or mishandled data.</w:t>
            </w:r>
          </w:p>
        </w:tc>
      </w:tr>
      <w:tr>
        <w:tc>
          <w:tcPr/>
          <w:p>
            <w:pPr>
              <w:pStyle w:val="Compact"/>
            </w:pPr>
            <w:r>
              <w:t xml:space="preserve">CISO</w:t>
            </w:r>
          </w:p>
        </w:tc>
        <w:tc>
          <w:tcPr/>
          <w:p>
            <w:pPr>
              <w:pStyle w:val="Compact"/>
            </w:pPr>
            <w:r>
              <w:t xml:space="preserve">Maintain this policy; conduct compliance audits; provide training.</w:t>
            </w:r>
          </w:p>
        </w:tc>
      </w:tr>
    </w:tbl>
    <w:bookmarkEnd w:id="19"/>
    <w:bookmarkStart w:id="20" w:name="compliance"/>
    <w:p>
      <w:pPr>
        <w:pStyle w:val="Heading2"/>
      </w:pPr>
      <w:r>
        <w:t xml:space="preserve">8. Compliance</w:t>
      </w:r>
    </w:p>
    <w:p>
      <w:pPr>
        <w:pStyle w:val="FirstParagraph"/>
      </w:pPr>
      <w:r>
        <w:t xml:space="preserve">Non-compliance with this policy may result in disciplinary action. Data breaches resulting from failure to follow classification requirements will be investigated and may result in regulatory penalties under the Privacy Act 1988, GDPR, or other applicable legislation.</w:t>
      </w:r>
    </w:p>
    <w:bookmarkEnd w:id="20"/>
    <w:bookmarkStart w:id="21" w:name="review"/>
    <w:p>
      <w:pPr>
        <w:pStyle w:val="Heading2"/>
      </w:pPr>
      <w:r>
        <w:t xml:space="preserve">9. Review</w:t>
      </w:r>
    </w:p>
    <w:p>
      <w:pPr>
        <w:pStyle w:val="FirstParagraph"/>
      </w:pPr>
      <w:r>
        <w:t xml:space="preserve">This policy is reviewed annually by the Information Security Team. The next review is scheduled for February 2027.</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Classification Policy - First Digital</dc:title>
  <dc:creator/>
  <dc:language>en</dc:language>
  <cp:keywords/>
  <dcterms:created xsi:type="dcterms:W3CDTF">2026-04-11T22:11:23Z</dcterms:created>
  <dcterms:modified xsi:type="dcterms:W3CDTF">2026-04-11T22:11:23Z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