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Disciplinary Procedure</w:t>
      </w:r>
    </w:p>
    <w:p>
      <w:pPr>
        <w:pStyle w:val="Author"/>
      </w:pPr>
      <w:r>
        <w:t xml:space="preserve">First Digital — DWx Policy Manager</w:t>
      </w:r>
    </w:p>
    <w:bookmarkStart w:id="15" w:name="disciplinary-procedure"/>
    <w:p>
      <w:pPr>
        <w:pStyle w:val="Heading1"/>
      </w:pPr>
      <w:r>
        <w:t xml:space="preserve">Disciplinary Procedure</w:t>
      </w:r>
    </w:p>
    <w:tbl>
      <w:tblPr>
        <w:tblStyle w:val="Table"/>
        <w:tblW w:type="auto" w:w="0"/>
        <w:tblLook w:firstRow="0" w:lastRow="0" w:firstColumn="0" w:lastColumn="0" w:noHBand="0" w:noVBand="0" w:val="0000"/>
      </w:tblPr>
      <w:tblGrid>
        <w:gridCol w:w="3960"/>
        <w:gridCol w:w="3960"/>
      </w:tblGrid>
      <w:tr>
        <w:tc>
          <w:tcPr/>
          <w:p>
            <w:pPr>
              <w:pStyle w:val="Compact"/>
            </w:pPr>
            <w:r>
              <w:t xml:space="preserve">Policy Number</w:t>
            </w:r>
          </w:p>
        </w:tc>
        <w:tc>
          <w:tcPr/>
          <w:p>
            <w:pPr>
              <w:pStyle w:val="Compact"/>
            </w:pPr>
            <w:r>
              <w:t xml:space="preserve">POL-HR-006</w:t>
            </w:r>
          </w:p>
        </w:tc>
      </w:tr>
      <w:tr>
        <w:tc>
          <w:tcPr/>
          <w:p>
            <w:pPr>
              <w:pStyle w:val="Compact"/>
            </w:pPr>
            <w:r>
              <w:t xml:space="preserve">Effective Date</w:t>
            </w:r>
          </w:p>
        </w:tc>
        <w:tc>
          <w:tcPr/>
          <w:p>
            <w:pPr>
              <w:pStyle w:val="Compact"/>
            </w:pPr>
            <w:r>
              <w:t xml:space="preserve">1 January 2026</w:t>
            </w:r>
          </w:p>
        </w:tc>
      </w:tr>
      <w:tr>
        <w:tc>
          <w:tcPr/>
          <w:p>
            <w:pPr>
              <w:pStyle w:val="Compact"/>
            </w:pPr>
            <w:r>
              <w:t xml:space="preserve">Review Date</w:t>
            </w:r>
          </w:p>
        </w:tc>
        <w:tc>
          <w:tcPr/>
          <w:p>
            <w:pPr>
              <w:pStyle w:val="Compact"/>
            </w:pPr>
            <w:r>
              <w:t xml:space="preserve">1 January 2027</w:t>
            </w:r>
          </w:p>
        </w:tc>
      </w:tr>
      <w:tr>
        <w:tc>
          <w:tcPr/>
          <w:p>
            <w:pPr>
              <w:pStyle w:val="Compact"/>
            </w:pPr>
            <w:r>
              <w:t xml:space="preserve">Policy Owner</w:t>
            </w:r>
          </w:p>
        </w:tc>
        <w:tc>
          <w:tcPr/>
          <w:p>
            <w:pPr>
              <w:pStyle w:val="Compact"/>
            </w:pPr>
            <w:r>
              <w:t xml:space="preserve">Chief People Officer</w:t>
            </w:r>
          </w:p>
        </w:tc>
      </w:tr>
      <w:tr>
        <w:tc>
          <w:tcPr/>
          <w:p>
            <w:pPr>
              <w:pStyle w:val="Compact"/>
            </w:pPr>
            <w:r>
              <w:t xml:space="preserve">Classification</w:t>
            </w:r>
          </w:p>
        </w:tc>
        <w:tc>
          <w:tcPr/>
          <w:p>
            <w:pPr>
              <w:pStyle w:val="Compact"/>
            </w:pPr>
            <w:r>
              <w:t xml:space="preserve">Internal — Managers and HR</w:t>
            </w:r>
          </w:p>
        </w:tc>
      </w:tr>
      <w:tr>
        <w:tc>
          <w:tcPr/>
          <w:p>
            <w:pPr>
              <w:pStyle w:val="Compact"/>
            </w:pPr>
            <w:r>
              <w:t xml:space="preserve">Compliance Risk</w:t>
            </w:r>
          </w:p>
        </w:tc>
        <w:tc>
          <w:tcPr/>
          <w:p>
            <w:pPr>
              <w:pStyle w:val="Compact"/>
            </w:pPr>
            <w:r>
              <w:t xml:space="preserve">Critical</w:t>
            </w:r>
          </w:p>
        </w:tc>
      </w:tr>
    </w:tbl>
    <w:bookmarkStart w:id="9" w:name="purpose"/>
    <w:p>
      <w:pPr>
        <w:pStyle w:val="Heading2"/>
      </w:pPr>
      <w:r>
        <w:t xml:space="preserve">1. Purpose</w:t>
      </w:r>
    </w:p>
    <w:p>
      <w:pPr>
        <w:pStyle w:val="FirstParagraph"/>
      </w:pPr>
      <w:r>
        <w:t xml:space="preserve">This procedure provides a fair and consistent framework for addressing employee misconduct and performance issues at First Digital. It ensures that employees are treated equitably and that due process is followed in all disciplinary matters.</w:t>
      </w:r>
    </w:p>
    <w:bookmarkEnd w:id="9"/>
    <w:bookmarkStart w:id="10" w:name="principles"/>
    <w:p>
      <w:pPr>
        <w:pStyle w:val="Heading2"/>
      </w:pPr>
      <w:r>
        <w:t xml:space="preserve">2. Principles</w:t>
      </w:r>
    </w:p>
    <w:p>
      <w:pPr>
        <w:pStyle w:val="Compact"/>
        <w:numPr>
          <w:ilvl w:val="0"/>
          <w:numId w:val="1001"/>
        </w:numPr>
      </w:pPr>
      <w:r>
        <w:t xml:space="preserve">Disciplinary action should be proportionate to the nature and severity of the issue</w:t>
      </w:r>
    </w:p>
    <w:p>
      <w:pPr>
        <w:pStyle w:val="Compact"/>
        <w:numPr>
          <w:ilvl w:val="0"/>
          <w:numId w:val="1001"/>
        </w:numPr>
      </w:pPr>
      <w:r>
        <w:t xml:space="preserve">Employees have the right to be informed of allegations and to respond before decisions are made</w:t>
      </w:r>
    </w:p>
    <w:p>
      <w:pPr>
        <w:pStyle w:val="Compact"/>
        <w:numPr>
          <w:ilvl w:val="0"/>
          <w:numId w:val="1001"/>
        </w:numPr>
      </w:pPr>
      <w:r>
        <w:t xml:space="preserve">Employees may have a support person present at any formal disciplinary meeting</w:t>
      </w:r>
    </w:p>
    <w:p>
      <w:pPr>
        <w:pStyle w:val="Compact"/>
        <w:numPr>
          <w:ilvl w:val="0"/>
          <w:numId w:val="1001"/>
        </w:numPr>
      </w:pPr>
      <w:r>
        <w:t xml:space="preserve">All matters are treated confidentially to the extent possible</w:t>
      </w:r>
    </w:p>
    <w:p>
      <w:pPr>
        <w:pStyle w:val="Compact"/>
        <w:numPr>
          <w:ilvl w:val="0"/>
          <w:numId w:val="1001"/>
        </w:numPr>
      </w:pPr>
      <w:r>
        <w:t xml:space="preserve">Records of disciplinary outcomes are maintained securely by HR</w:t>
      </w:r>
    </w:p>
    <w:bookmarkEnd w:id="10"/>
    <w:bookmarkStart w:id="11" w:name="progressive-discipline-steps"/>
    <w:p>
      <w:pPr>
        <w:pStyle w:val="Heading2"/>
      </w:pPr>
      <w:r>
        <w:t xml:space="preserve">3. Progressive Discipline Steps</w:t>
      </w:r>
    </w:p>
    <w:p>
      <w:pPr>
        <w:pStyle w:val="FirstParagraph"/>
      </w:pPr>
      <w:r>
        <w:t xml:space="preserve">1</w:t>
      </w:r>
      <w:r>
        <w:rPr>
          <w:b/>
          <w:bCs/>
        </w:rPr>
        <w:t xml:space="preserve">Informal Counselling</w:t>
      </w:r>
    </w:p>
    <w:p>
      <w:pPr>
        <w:pStyle w:val="BodyText"/>
      </w:pPr>
      <w:r>
        <w:t xml:space="preserve">Manager has a private conversation with the employee to address the concern, set expectations, and agree on improvements. No formal record is placed on file, but a file note may be kept by the manager.</w:t>
      </w:r>
    </w:p>
    <w:p>
      <w:pPr>
        <w:pStyle w:val="BodyText"/>
      </w:pPr>
      <w:r>
        <w:t xml:space="preserve">2</w:t>
      </w:r>
      <w:r>
        <w:rPr>
          <w:b/>
          <w:bCs/>
        </w:rPr>
        <w:t xml:space="preserve">Verbal Warning</w:t>
      </w:r>
    </w:p>
    <w:p>
      <w:pPr>
        <w:pStyle w:val="BodyText"/>
      </w:pPr>
      <w:r>
        <w:t xml:space="preserve">If the issue persists, a formal verbal warning is issued during a documented meeting. The employee is advised of the specific concern, the expected standard, and the timeframe for improvement (typically 30 days). HR is notified.</w:t>
      </w:r>
    </w:p>
    <w:p>
      <w:pPr>
        <w:pStyle w:val="BodyText"/>
      </w:pPr>
      <w:r>
        <w:t xml:space="preserve">3</w:t>
      </w:r>
      <w:r>
        <w:rPr>
          <w:b/>
          <w:bCs/>
        </w:rPr>
        <w:t xml:space="preserve">First Written Warning</w:t>
      </w:r>
    </w:p>
    <w:p>
      <w:pPr>
        <w:pStyle w:val="BodyText"/>
      </w:pPr>
      <w:r>
        <w:t xml:space="preserve">A written warning is issued detailing the allegation, previous warnings, and the expected improvement. The employee is given the opportunity to respond in writing. The warning remains active on file for 12 months.</w:t>
      </w:r>
    </w:p>
    <w:p>
      <w:pPr>
        <w:pStyle w:val="BodyText"/>
      </w:pPr>
      <w:r>
        <w:t xml:space="preserve">4</w:t>
      </w:r>
      <w:r>
        <w:rPr>
          <w:b/>
          <w:bCs/>
        </w:rPr>
        <w:t xml:space="preserve">Final Written Warning</w:t>
      </w:r>
    </w:p>
    <w:p>
      <w:pPr>
        <w:pStyle w:val="BodyText"/>
      </w:pPr>
      <w:r>
        <w:t xml:space="preserve">A final written warning is issued, placing the employee on notice that further incidents may result in termination. A formal Performance Improvement Plan (PIP) is typically initiated at this stage with a 90-day review period.</w:t>
      </w:r>
    </w:p>
    <w:p>
      <w:pPr>
        <w:pStyle w:val="BodyText"/>
      </w:pPr>
      <w:r>
        <w:t xml:space="preserve">5</w:t>
      </w:r>
      <w:r>
        <w:rPr>
          <w:b/>
          <w:bCs/>
        </w:rPr>
        <w:t xml:space="preserve">Termination</w:t>
      </w:r>
    </w:p>
    <w:p>
      <w:pPr>
        <w:pStyle w:val="BodyText"/>
      </w:pPr>
      <w:r>
        <w:t xml:space="preserve">Where previous steps have not resulted in adequate improvement, or where the conduct warrants it, employment may be terminated. Termination decisions must be approved by the CPO and reviewed by Legal.</w:t>
      </w:r>
    </w:p>
    <w:bookmarkEnd w:id="11"/>
    <w:bookmarkStart w:id="12" w:name="summary-dismissal"/>
    <w:p>
      <w:pPr>
        <w:pStyle w:val="Heading2"/>
      </w:pPr>
      <w:r>
        <w:t xml:space="preserve">4. Summary Dismissal</w:t>
      </w:r>
    </w:p>
    <w:p>
      <w:pPr>
        <w:pStyle w:val="FirstParagraph"/>
      </w:pPr>
      <w:r>
        <w:rPr>
          <w:b/>
          <w:bCs/>
        </w:rPr>
        <w:t xml:space="preserve">Serious Misconduct:</w:t>
      </w:r>
      <w:r>
        <w:t xml:space="preserve"> </w:t>
      </w:r>
      <w:r>
        <w:t xml:space="preserve">Certain behaviours may warrant immediate termination without progressing through the standard steps. These include theft, fraud, violence, serious safety breaches, and wilful damage to company property. An investigation must still be conducted before any summary dismissal.</w:t>
      </w:r>
    </w:p>
    <w:bookmarkEnd w:id="12"/>
    <w:bookmarkStart w:id="13" w:name="right-of-appeal"/>
    <w:p>
      <w:pPr>
        <w:pStyle w:val="Heading2"/>
      </w:pPr>
      <w:r>
        <w:t xml:space="preserve">5. Right of Appeal</w:t>
      </w:r>
    </w:p>
    <w:p>
      <w:pPr>
        <w:pStyle w:val="FirstParagraph"/>
      </w:pPr>
      <w:r>
        <w:t xml:space="preserve">Employees have the right to appeal any formal disciplinary outcome within 10 business days of receiving the decision. Appeals are heard by a senior leader who was not involved in the original decision, and HR will facilitate the process.</w:t>
      </w:r>
    </w:p>
    <w:bookmarkEnd w:id="13"/>
    <w:bookmarkStart w:id="14" w:name="record-keeping"/>
    <w:p>
      <w:pPr>
        <w:pStyle w:val="Heading2"/>
      </w:pPr>
      <w:r>
        <w:t xml:space="preserve">6. Record Keeping</w:t>
      </w:r>
    </w:p>
    <w:p>
      <w:pPr>
        <w:pStyle w:val="FirstParagraph"/>
      </w:pPr>
      <w:r>
        <w:t xml:space="preserve">Disciplinary records are maintained in the employee's confidential HR file for the active period of the warning (12 months for written warnings, 24 months for final written warnings), after which they are expunged if no further incidents have occurred.</w:t>
      </w:r>
    </w:p>
    <w:p>
      <w:pPr>
        <w:pStyle w:val="BodyText"/>
      </w:pPr>
      <w:r>
        <w:t xml:space="preserve">First Digital — DWx Policy Manager • Document generated for testing purposes • Version 1.0</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Disciplinary Procedure</dc:title>
  <dc:creator>First Digital — DWx Policy Manager</dc:creator>
  <cp:category>Human Resources</cp:category>
  <cp:keywords/>
  <dcterms:created xsi:type="dcterms:W3CDTF">2026-04-11T22:11:36Z</dcterms:created>
  <dcterms:modified xsi:type="dcterms:W3CDTF">2026-04-11T22:11:36Z</dcterms:modified>
</cp:coreProperties>
</file>

<file path=docProps/custom.xml><?xml version="1.0" encoding="utf-8"?>
<Properties xmlns="http://schemas.openxmlformats.org/officeDocument/2006/custom-properties" xmlns:vt="http://schemas.openxmlformats.org/officeDocument/2006/docPropsVTypes"/>
</file>