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Diversity and Inclusion Policy</w:t>
      </w:r>
    </w:p>
    <w:p>
      <w:pPr>
        <w:pStyle w:val="Author"/>
      </w:pPr>
      <w:r>
        <w:t xml:space="preserve">First Digital — DWx Policy Manager</w:t>
      </w:r>
    </w:p>
    <w:bookmarkStart w:id="20" w:name="diversity-and-inclusion-policy"/>
    <w:p>
      <w:pPr>
        <w:pStyle w:val="Heading1"/>
      </w:pPr>
      <w:r>
        <w:t xml:space="preserve">Diversity and Inclusion Policy</w:t>
      </w:r>
    </w:p>
    <w:tbl>
      <w:tblPr>
        <w:tblStyle w:val="Table"/>
        <w:tblW w:type="auto" w:w="0"/>
        <w:tblLook w:firstRow="0" w:lastRow="0" w:firstColumn="0" w:lastColumn="0" w:noHBand="0" w:noVBand="0" w:val="0000"/>
      </w:tblPr>
      <w:tblGrid>
        <w:gridCol w:w="3960"/>
        <w:gridCol w:w="3960"/>
      </w:tblGrid>
      <w:tr>
        <w:tc>
          <w:tcPr/>
          <w:p>
            <w:pPr>
              <w:pStyle w:val="Compact"/>
            </w:pPr>
            <w:r>
              <w:t xml:space="preserve">Policy Number</w:t>
            </w:r>
          </w:p>
        </w:tc>
        <w:tc>
          <w:tcPr/>
          <w:p>
            <w:pPr>
              <w:pStyle w:val="Compact"/>
            </w:pPr>
            <w:r>
              <w:t xml:space="preserve">POL-HR-010</w:t>
            </w:r>
          </w:p>
        </w:tc>
      </w:tr>
      <w:tr>
        <w:tc>
          <w:tcPr/>
          <w:p>
            <w:pPr>
              <w:pStyle w:val="Compact"/>
            </w:pPr>
            <w:r>
              <w:t xml:space="preserve">Effective Date</w:t>
            </w:r>
          </w:p>
        </w:tc>
        <w:tc>
          <w:tcPr/>
          <w:p>
            <w:pPr>
              <w:pStyle w:val="Compact"/>
            </w:pPr>
            <w:r>
              <w:t xml:space="preserve">1 January 2026</w:t>
            </w:r>
          </w:p>
        </w:tc>
      </w:tr>
      <w:tr>
        <w:tc>
          <w:tcPr/>
          <w:p>
            <w:pPr>
              <w:pStyle w:val="Compact"/>
            </w:pPr>
            <w:r>
              <w:t xml:space="preserve">Review Date</w:t>
            </w:r>
          </w:p>
        </w:tc>
        <w:tc>
          <w:tcPr/>
          <w:p>
            <w:pPr>
              <w:pStyle w:val="Compact"/>
            </w:pPr>
            <w:r>
              <w:t xml:space="preserve">1 July 2026</w:t>
            </w:r>
          </w:p>
        </w:tc>
      </w:tr>
      <w:tr>
        <w:tc>
          <w:tcPr/>
          <w:p>
            <w:pPr>
              <w:pStyle w:val="Compact"/>
            </w:pPr>
            <w:r>
              <w:t xml:space="preserve">Policy Owner</w:t>
            </w:r>
          </w:p>
        </w:tc>
        <w:tc>
          <w:tcPr/>
          <w:p>
            <w:pPr>
              <w:pStyle w:val="Compact"/>
            </w:pPr>
            <w:r>
              <w:t xml:space="preserve">Chief People Officer</w:t>
            </w:r>
          </w:p>
        </w:tc>
      </w:tr>
      <w:tr>
        <w:tc>
          <w:tcPr/>
          <w:p>
            <w:pPr>
              <w:pStyle w:val="Compact"/>
            </w:pPr>
            <w:r>
              <w:t xml:space="preserve">Classification</w:t>
            </w:r>
          </w:p>
        </w:tc>
        <w:tc>
          <w:tcPr/>
          <w:p>
            <w:pPr>
              <w:pStyle w:val="Compact"/>
            </w:pPr>
            <w:r>
              <w:t xml:space="preserve">Public</w:t>
            </w:r>
          </w:p>
        </w:tc>
      </w:tr>
      <w:tr>
        <w:tc>
          <w:tcPr/>
          <w:p>
            <w:pPr>
              <w:pStyle w:val="Compact"/>
            </w:pPr>
            <w:r>
              <w:t xml:space="preserve">Compliance Risk</w:t>
            </w:r>
          </w:p>
        </w:tc>
        <w:tc>
          <w:tcPr/>
          <w:p>
            <w:pPr>
              <w:pStyle w:val="Compact"/>
            </w:pPr>
            <w:r>
              <w:t xml:space="preserve">High</w:t>
            </w:r>
          </w:p>
        </w:tc>
      </w:tr>
    </w:tbl>
    <w:bookmarkStart w:id="9" w:name="our-commitment"/>
    <w:p>
      <w:pPr>
        <w:pStyle w:val="Heading2"/>
      </w:pPr>
      <w:r>
        <w:t xml:space="preserve">1. Our Commitment</w:t>
      </w:r>
    </w:p>
    <w:p>
      <w:pPr>
        <w:pStyle w:val="FirstParagraph"/>
      </w:pPr>
      <w:r>
        <w:t xml:space="preserve">First Digital is committed to building a diverse and inclusive workplace where every employee feels valued, respected, and empowered to contribute their best work. We believe that diversity of thought, experience, and background drives innovation and better outcomes for our clients and communities.</w:t>
      </w:r>
    </w:p>
    <w:bookmarkEnd w:id="9"/>
    <w:bookmarkStart w:id="10" w:name="scope"/>
    <w:p>
      <w:pPr>
        <w:pStyle w:val="Heading2"/>
      </w:pPr>
      <w:r>
        <w:t xml:space="preserve">2. Scope</w:t>
      </w:r>
    </w:p>
    <w:p>
      <w:pPr>
        <w:pStyle w:val="FirstParagraph"/>
      </w:pPr>
      <w:r>
        <w:t xml:space="preserve">This policy applies to all aspects of employment at First Digital, including recruitment, selection, promotion, training, remuneration, benefits, and separation. It covers all employees, contractors, and stakeholders.</w:t>
      </w:r>
    </w:p>
    <w:bookmarkEnd w:id="10"/>
    <w:bookmarkStart w:id="11" w:name="dimensions-of-diversity"/>
    <w:p>
      <w:pPr>
        <w:pStyle w:val="Heading2"/>
      </w:pPr>
      <w:r>
        <w:t xml:space="preserve">3. Dimensions of Diversity</w:t>
      </w:r>
    </w:p>
    <w:p>
      <w:pPr>
        <w:pStyle w:val="FirstParagraph"/>
      </w:pPr>
      <w:r>
        <w:t xml:space="preserve">First Digital recognises and values diversity across many dimensions, including but not limited to:</w:t>
      </w:r>
    </w:p>
    <w:p>
      <w:pPr>
        <w:pStyle w:val="Compact"/>
        <w:numPr>
          <w:ilvl w:val="0"/>
          <w:numId w:val="1001"/>
        </w:numPr>
      </w:pPr>
      <w:r>
        <w:t xml:space="preserve">Gender and gender identity</w:t>
      </w:r>
    </w:p>
    <w:p>
      <w:pPr>
        <w:pStyle w:val="Compact"/>
        <w:numPr>
          <w:ilvl w:val="0"/>
          <w:numId w:val="1001"/>
        </w:numPr>
      </w:pPr>
      <w:r>
        <w:t xml:space="preserve">Age and generational perspectives</w:t>
      </w:r>
    </w:p>
    <w:p>
      <w:pPr>
        <w:pStyle w:val="Compact"/>
        <w:numPr>
          <w:ilvl w:val="0"/>
          <w:numId w:val="1001"/>
        </w:numPr>
      </w:pPr>
      <w:r>
        <w:t xml:space="preserve">Cultural and ethnic background</w:t>
      </w:r>
    </w:p>
    <w:p>
      <w:pPr>
        <w:pStyle w:val="Compact"/>
        <w:numPr>
          <w:ilvl w:val="0"/>
          <w:numId w:val="1001"/>
        </w:numPr>
      </w:pPr>
      <w:r>
        <w:t xml:space="preserve">Aboriginal and Torres Strait Islander heritage</w:t>
      </w:r>
    </w:p>
    <w:p>
      <w:pPr>
        <w:pStyle w:val="Compact"/>
        <w:numPr>
          <w:ilvl w:val="0"/>
          <w:numId w:val="1001"/>
        </w:numPr>
      </w:pPr>
      <w:r>
        <w:t xml:space="preserve">Disability (visible and invisible)</w:t>
      </w:r>
    </w:p>
    <w:p>
      <w:pPr>
        <w:pStyle w:val="Compact"/>
        <w:numPr>
          <w:ilvl w:val="0"/>
          <w:numId w:val="1001"/>
        </w:numPr>
      </w:pPr>
      <w:r>
        <w:t xml:space="preserve">Sexual orientation</w:t>
      </w:r>
    </w:p>
    <w:p>
      <w:pPr>
        <w:pStyle w:val="Compact"/>
        <w:numPr>
          <w:ilvl w:val="0"/>
          <w:numId w:val="1001"/>
        </w:numPr>
      </w:pPr>
      <w:r>
        <w:t xml:space="preserve">Religious belief and spiritual practice</w:t>
      </w:r>
    </w:p>
    <w:p>
      <w:pPr>
        <w:pStyle w:val="Compact"/>
        <w:numPr>
          <w:ilvl w:val="0"/>
          <w:numId w:val="1001"/>
        </w:numPr>
      </w:pPr>
      <w:r>
        <w:t xml:space="preserve">Socioeconomic background</w:t>
      </w:r>
    </w:p>
    <w:p>
      <w:pPr>
        <w:pStyle w:val="Compact"/>
        <w:numPr>
          <w:ilvl w:val="0"/>
          <w:numId w:val="1001"/>
        </w:numPr>
      </w:pPr>
      <w:r>
        <w:t xml:space="preserve">Neurodiversity</w:t>
      </w:r>
    </w:p>
    <w:p>
      <w:pPr>
        <w:pStyle w:val="Compact"/>
        <w:numPr>
          <w:ilvl w:val="0"/>
          <w:numId w:val="1001"/>
        </w:numPr>
      </w:pPr>
      <w:r>
        <w:t xml:space="preserve">Family and caring responsibilities</w:t>
      </w:r>
    </w:p>
    <w:p>
      <w:pPr>
        <w:pStyle w:val="Compact"/>
        <w:numPr>
          <w:ilvl w:val="0"/>
          <w:numId w:val="1001"/>
        </w:numPr>
      </w:pPr>
      <w:r>
        <w:t xml:space="preserve">Language and communication styles</w:t>
      </w:r>
    </w:p>
    <w:bookmarkEnd w:id="11"/>
    <w:bookmarkStart w:id="12" w:name="strategic-objectives"/>
    <w:p>
      <w:pPr>
        <w:pStyle w:val="Heading2"/>
      </w:pPr>
      <w:r>
        <w:t xml:space="preserve">4. Strategic Objectives</w:t>
      </w:r>
    </w:p>
    <w:p>
      <w:pPr>
        <w:pStyle w:val="FirstParagraph"/>
      </w:pPr>
      <w:r>
        <w:t xml:space="preserve">First Digital has set the following measurable D&amp;I objectives for 2026:</w:t>
      </w:r>
    </w:p>
    <w:p>
      <w:pPr>
        <w:pStyle w:val="Compact"/>
        <w:numPr>
          <w:ilvl w:val="0"/>
          <w:numId w:val="1002"/>
        </w:numPr>
      </w:pPr>
      <w:r>
        <w:t xml:space="preserve">Achieve gender balance (40/40/20) at all leadership levels by December 2027</w:t>
      </w:r>
    </w:p>
    <w:p>
      <w:pPr>
        <w:pStyle w:val="Compact"/>
        <w:numPr>
          <w:ilvl w:val="0"/>
          <w:numId w:val="1002"/>
        </w:numPr>
      </w:pPr>
      <w:r>
        <w:t xml:space="preserve">Increase representation of underrepresented groups in technical roles by 15%</w:t>
      </w:r>
    </w:p>
    <w:p>
      <w:pPr>
        <w:pStyle w:val="Compact"/>
        <w:numPr>
          <w:ilvl w:val="0"/>
          <w:numId w:val="1002"/>
        </w:numPr>
      </w:pPr>
      <w:r>
        <w:t xml:space="preserve">Maintain an employee engagement score of 80%+ for inclusion-related questions</w:t>
      </w:r>
    </w:p>
    <w:p>
      <w:pPr>
        <w:pStyle w:val="Compact"/>
        <w:numPr>
          <w:ilvl w:val="0"/>
          <w:numId w:val="1002"/>
        </w:numPr>
      </w:pPr>
      <w:r>
        <w:t xml:space="preserve">Ensure 100% of people leaders complete inclusive leadership training annually</w:t>
      </w:r>
    </w:p>
    <w:p>
      <w:pPr>
        <w:pStyle w:val="Compact"/>
        <w:numPr>
          <w:ilvl w:val="0"/>
          <w:numId w:val="1002"/>
        </w:numPr>
      </w:pPr>
      <w:r>
        <w:t xml:space="preserve">Conduct annual pay equity analysis and close any identified gaps within 6 months</w:t>
      </w:r>
    </w:p>
    <w:bookmarkEnd w:id="12"/>
    <w:bookmarkStart w:id="17" w:name="inclusive-practices"/>
    <w:p>
      <w:pPr>
        <w:pStyle w:val="Heading2"/>
      </w:pPr>
      <w:r>
        <w:t xml:space="preserve">5. Inclusive Practices</w:t>
      </w:r>
    </w:p>
    <w:bookmarkStart w:id="13" w:name="recruitment"/>
    <w:p>
      <w:pPr>
        <w:pStyle w:val="Heading3"/>
      </w:pPr>
      <w:r>
        <w:t xml:space="preserve">5.1 Recruitment</w:t>
      </w:r>
    </w:p>
    <w:p>
      <w:pPr>
        <w:pStyle w:val="FirstParagraph"/>
      </w:pPr>
      <w:r>
        <w:t xml:space="preserve">All job advertisements use inclusive language. Shortlists must include diverse candidates. Interview panels reflect diversity. Reasonable adjustments are offered to candidates with disabilities.</w:t>
      </w:r>
    </w:p>
    <w:bookmarkEnd w:id="13"/>
    <w:bookmarkStart w:id="14" w:name="workplace-adjustments"/>
    <w:p>
      <w:pPr>
        <w:pStyle w:val="Heading3"/>
      </w:pPr>
      <w:r>
        <w:t xml:space="preserve">5.2 Workplace Adjustments</w:t>
      </w:r>
    </w:p>
    <w:p>
      <w:pPr>
        <w:pStyle w:val="FirstParagraph"/>
      </w:pPr>
      <w:r>
        <w:t xml:space="preserve">Reasonable adjustments are provided to employees with disabilities, medical conditions, or caring responsibilities. Requests are managed confidentially through HR and reviewed within 10 business days.</w:t>
      </w:r>
    </w:p>
    <w:bookmarkEnd w:id="14"/>
    <w:bookmarkStart w:id="15" w:name="flexible-working"/>
    <w:p>
      <w:pPr>
        <w:pStyle w:val="Heading3"/>
      </w:pPr>
      <w:r>
        <w:t xml:space="preserve">5.3 Flexible Working</w:t>
      </w:r>
    </w:p>
    <w:p>
      <w:pPr>
        <w:pStyle w:val="FirstParagraph"/>
      </w:pPr>
      <w:r>
        <w:t xml:space="preserve">First Digital supports flexible working arrangements including part-time work, job sharing, compressed hours, and hybrid/remote work. All roles are considered flexible unless business requirements dictate otherwise.</w:t>
      </w:r>
    </w:p>
    <w:bookmarkEnd w:id="15"/>
    <w:bookmarkStart w:id="16" w:name="cultural-safety"/>
    <w:p>
      <w:pPr>
        <w:pStyle w:val="Heading3"/>
      </w:pPr>
      <w:r>
        <w:t xml:space="preserve">5.4 Cultural Safety</w:t>
      </w:r>
    </w:p>
    <w:p>
      <w:pPr>
        <w:pStyle w:val="FirstParagraph"/>
      </w:pPr>
      <w:r>
        <w:t xml:space="preserve">We are committed to creating a culturally safe environment for Aboriginal and Torres Strait Islander employees, clients, and stakeholders. Cultural awareness training is mandatory for all employees.</w:t>
      </w:r>
    </w:p>
    <w:bookmarkEnd w:id="16"/>
    <w:bookmarkEnd w:id="17"/>
    <w:bookmarkStart w:id="18" w:name="employee-resource-groups"/>
    <w:p>
      <w:pPr>
        <w:pStyle w:val="Heading2"/>
      </w:pPr>
      <w:r>
        <w:t xml:space="preserve">6. Employee Resource Groups</w:t>
      </w:r>
    </w:p>
    <w:p>
      <w:pPr>
        <w:pStyle w:val="FirstParagraph"/>
      </w:pPr>
      <w:r>
        <w:t xml:space="preserve">First Digital supports and funds employee-led resource groups (ERGs) that foster community, provide mentoring, and advise the business on D&amp;I initiatives. Current ERGs include Women in Tech, Pride Network, Cultural Diversity Group, and AccessAbility Network.</w:t>
      </w:r>
    </w:p>
    <w:bookmarkEnd w:id="18"/>
    <w:bookmarkStart w:id="19" w:name="reporting-and-accountability"/>
    <w:p>
      <w:pPr>
        <w:pStyle w:val="Heading2"/>
      </w:pPr>
      <w:r>
        <w:t xml:space="preserve">7. Reporting and Accountability</w:t>
      </w:r>
    </w:p>
    <w:p>
      <w:pPr>
        <w:pStyle w:val="FirstParagraph"/>
      </w:pPr>
      <w:r>
        <w:t xml:space="preserve">D&amp;I metrics are reported to the Board quarterly. The CPO is the executive sponsor for D&amp;I, supported by a dedicated D&amp;I Manager. All people leaders have D&amp;I objectives embedded in their performance goals.</w:t>
      </w:r>
    </w:p>
    <w:p>
      <w:pPr>
        <w:pStyle w:val="BodyText"/>
      </w:pPr>
      <w:r>
        <w:rPr>
          <w:b/>
          <w:bCs/>
        </w:rPr>
        <w:t xml:space="preserve">Complaints:</w:t>
      </w:r>
      <w:r>
        <w:t xml:space="preserve"> </w:t>
      </w:r>
      <w:r>
        <w:t xml:space="preserve">Any employee who experiences or witnesses discrimination or exclusion should report it through the Grievance Procedure (POL-HR-007) or the anonymous Ethics Hotline.</w:t>
      </w:r>
    </w:p>
    <w:p>
      <w:pPr>
        <w:pStyle w:val="BodyText"/>
      </w:pPr>
      <w:r>
        <w:t xml:space="preserve">First Digital — DWx Policy Manager • Document generated for testing purposes • Version 1.0</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Diversity and Inclusion Policy</dc:title>
  <dc:creator>First Digital — DWx Policy Manager</dc:creator>
  <cp:category>Human Resources</cp:category>
  <cp:keywords/>
  <dcterms:created xsi:type="dcterms:W3CDTF">2026-04-11T22:11:37Z</dcterms:created>
  <dcterms:modified xsi:type="dcterms:W3CDTF">2026-04-11T22:11:37Z</dcterms:modified>
</cp:coreProperties>
</file>

<file path=docProps/custom.xml><?xml version="1.0" encoding="utf-8"?>
<Properties xmlns="http://schemas.openxmlformats.org/officeDocument/2006/custom-properties" xmlns:vt="http://schemas.openxmlformats.org/officeDocument/2006/docPropsVTypes"/>
</file>