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Environmental Sustainability Policy - First Digital</w:t>
      </w:r>
    </w:p>
    <w:bookmarkStart w:id="21" w:name="environmental-sustainability-policy"/>
    <w:p>
      <w:pPr>
        <w:pStyle w:val="Heading1"/>
      </w:pPr>
      <w:r>
        <w:t xml:space="preserve">Environmental Sustainability Policy</w:t>
      </w:r>
    </w:p>
    <w:p>
      <w:pPr>
        <w:pStyle w:val="FirstParagraph"/>
      </w:pPr>
      <w:r>
        <w:t xml:space="preserve">Policy ID: FD-CG-009 | Version 1.2 | Effective: 1 June 2025</w:t>
      </w:r>
    </w:p>
    <w:p>
      <w:pPr>
        <w:pStyle w:val="BodyText"/>
      </w:pPr>
      <w:r>
        <w:rPr>
          <w:b/>
          <w:bCs/>
        </w:rPr>
        <w:t xml:space="preserve">Our Commitment:</w:t>
      </w:r>
      <w:r>
        <w:t xml:space="preserve"> </w:t>
      </w:r>
      <w:r>
        <w:t xml:space="preserve">First Digital is committed to achieving net-zero carbon emissions by 2035. We recognise our responsibility to minimise our environmental impact and to contribute to a sustainable future through responsible business practices, innovation, and transparency.</w:t>
      </w:r>
    </w:p>
    <w:bookmarkStart w:id="9" w:name="purpose"/>
    <w:p>
      <w:pPr>
        <w:pStyle w:val="Heading2"/>
      </w:pPr>
      <w:r>
        <w:t xml:space="preserve">1. Purpose</w:t>
      </w:r>
    </w:p>
    <w:p>
      <w:pPr>
        <w:pStyle w:val="FirstParagraph"/>
      </w:pPr>
      <w:r>
        <w:t xml:space="preserve">This policy establishes First Digital's commitment to environmental sustainability and sets out the principles, targets, and actions that guide our approach. As a technology company, our primary environmental impacts relate to energy consumption (offices and data centres), electronic waste, business travel, and the supply chain. This policy provides a framework for managing these impacts systematically.</w:t>
      </w:r>
    </w:p>
    <w:bookmarkEnd w:id="9"/>
    <w:bookmarkStart w:id="10" w:name="scope"/>
    <w:p>
      <w:pPr>
        <w:pStyle w:val="Heading2"/>
      </w:pPr>
      <w:r>
        <w:t xml:space="preserve">2. Scope</w:t>
      </w:r>
    </w:p>
    <w:p>
      <w:pPr>
        <w:pStyle w:val="FirstParagraph"/>
      </w:pPr>
      <w:r>
        <w:t xml:space="preserve">This policy applies to all First Digital operations, offices, data centres, and employees worldwide. It extends to our supply chain through responsible procurement requirements and to our products and services through sustainable design principles.</w:t>
      </w:r>
    </w:p>
    <w:bookmarkEnd w:id="10"/>
    <w:bookmarkStart w:id="11" w:name="environmental-principles"/>
    <w:p>
      <w:pPr>
        <w:pStyle w:val="Heading2"/>
      </w:pPr>
      <w:r>
        <w:t xml:space="preserve">3. Environmental Principles</w:t>
      </w:r>
    </w:p>
    <w:p>
      <w:pPr>
        <w:pStyle w:val="Compact"/>
        <w:numPr>
          <w:ilvl w:val="0"/>
          <w:numId w:val="1001"/>
        </w:numPr>
      </w:pPr>
      <w:r>
        <w:rPr>
          <w:b/>
          <w:bCs/>
        </w:rPr>
        <w:t xml:space="preserve">Prevention:</w:t>
      </w:r>
      <w:r>
        <w:t xml:space="preserve"> </w:t>
      </w:r>
      <w:r>
        <w:t xml:space="preserve">We prioritise preventing environmental harm over remediation.</w:t>
      </w:r>
    </w:p>
    <w:p>
      <w:pPr>
        <w:pStyle w:val="Compact"/>
        <w:numPr>
          <w:ilvl w:val="0"/>
          <w:numId w:val="1001"/>
        </w:numPr>
      </w:pPr>
      <w:r>
        <w:rPr>
          <w:b/>
          <w:bCs/>
        </w:rPr>
        <w:t xml:space="preserve">Continuous Improvement:</w:t>
      </w:r>
      <w:r>
        <w:t xml:space="preserve"> </w:t>
      </w:r>
      <w:r>
        <w:t xml:space="preserve">We set measurable targets and review performance annually.</w:t>
      </w:r>
    </w:p>
    <w:p>
      <w:pPr>
        <w:pStyle w:val="Compact"/>
        <w:numPr>
          <w:ilvl w:val="0"/>
          <w:numId w:val="1001"/>
        </w:numPr>
      </w:pPr>
      <w:r>
        <w:rPr>
          <w:b/>
          <w:bCs/>
        </w:rPr>
        <w:t xml:space="preserve">Compliance:</w:t>
      </w:r>
      <w:r>
        <w:t xml:space="preserve"> </w:t>
      </w:r>
      <w:r>
        <w:t xml:space="preserve">We meet or exceed all applicable environmental laws and regulations.</w:t>
      </w:r>
    </w:p>
    <w:p>
      <w:pPr>
        <w:pStyle w:val="Compact"/>
        <w:numPr>
          <w:ilvl w:val="0"/>
          <w:numId w:val="1001"/>
        </w:numPr>
      </w:pPr>
      <w:r>
        <w:rPr>
          <w:b/>
          <w:bCs/>
        </w:rPr>
        <w:t xml:space="preserve">Transparency:</w:t>
      </w:r>
      <w:r>
        <w:t xml:space="preserve"> </w:t>
      </w:r>
      <w:r>
        <w:t xml:space="preserve">We report our environmental performance publicly in our annual ESG Report.</w:t>
      </w:r>
    </w:p>
    <w:p>
      <w:pPr>
        <w:pStyle w:val="Compact"/>
        <w:numPr>
          <w:ilvl w:val="0"/>
          <w:numId w:val="1001"/>
        </w:numPr>
      </w:pPr>
      <w:r>
        <w:rPr>
          <w:b/>
          <w:bCs/>
        </w:rPr>
        <w:t xml:space="preserve">Innovation:</w:t>
      </w:r>
      <w:r>
        <w:t xml:space="preserve"> </w:t>
      </w:r>
      <w:r>
        <w:t xml:space="preserve">We leverage technology to reduce environmental impact across our operations and for our clients.</w:t>
      </w:r>
    </w:p>
    <w:bookmarkEnd w:id="11"/>
    <w:bookmarkStart w:id="12" w:name="targets-and-commitments"/>
    <w:p>
      <w:pPr>
        <w:pStyle w:val="Heading2"/>
      </w:pPr>
      <w:r>
        <w:t xml:space="preserve">4. Targets and Commitments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Target</w:t>
            </w:r>
          </w:p>
        </w:tc>
        <w:tc>
          <w:tcPr/>
          <w:p>
            <w:pPr>
              <w:pStyle w:val="Compact"/>
            </w:pPr>
            <w:r>
              <w:t xml:space="preserve">Deadline</w:t>
            </w:r>
          </w:p>
        </w:tc>
      </w:tr>
      <w:tr>
        <w:tc>
          <w:tcPr/>
          <w:p>
            <w:pPr>
              <w:pStyle w:val="Compact"/>
            </w:pPr>
            <w:r>
              <w:t xml:space="preserve">Carbon Emissions (Scope 1 &amp; 2)</w:t>
            </w:r>
          </w:p>
        </w:tc>
        <w:tc>
          <w:tcPr/>
          <w:p>
            <w:pPr>
              <w:pStyle w:val="Compact"/>
            </w:pPr>
            <w:r>
              <w:t xml:space="preserve">Net-zero</w:t>
            </w:r>
          </w:p>
        </w:tc>
        <w:tc>
          <w:tcPr/>
          <w:p>
            <w:pPr>
              <w:pStyle w:val="Compact"/>
            </w:pPr>
            <w:r>
              <w:t xml:space="preserve">2035</w:t>
            </w:r>
          </w:p>
        </w:tc>
      </w:tr>
      <w:tr>
        <w:tc>
          <w:tcPr/>
          <w:p>
            <w:pPr>
              <w:pStyle w:val="Compact"/>
            </w:pPr>
            <w:r>
              <w:t xml:space="preserve">Renewable Energy</w:t>
            </w:r>
          </w:p>
        </w:tc>
        <w:tc>
          <w:tcPr/>
          <w:p>
            <w:pPr>
              <w:pStyle w:val="Compact"/>
            </w:pPr>
            <w:r>
              <w:t xml:space="preserve">100% of office electricity from renewable sources</w:t>
            </w:r>
          </w:p>
        </w:tc>
        <w:tc>
          <w:tcPr/>
          <w:p>
            <w:pPr>
              <w:pStyle w:val="Compact"/>
            </w:pPr>
            <w:r>
              <w:t xml:space="preserve">2028</w:t>
            </w:r>
          </w:p>
        </w:tc>
      </w:tr>
      <w:tr>
        <w:tc>
          <w:tcPr/>
          <w:p>
            <w:pPr>
              <w:pStyle w:val="Compact"/>
            </w:pPr>
            <w:r>
              <w:t xml:space="preserve">Business Travel</w:t>
            </w:r>
          </w:p>
        </w:tc>
        <w:tc>
          <w:tcPr/>
          <w:p>
            <w:pPr>
              <w:pStyle w:val="Compact"/>
            </w:pPr>
            <w:r>
              <w:t xml:space="preserve">30% reduction in air travel emissions vs. 2024 baseline</w:t>
            </w:r>
          </w:p>
        </w:tc>
        <w:tc>
          <w:tcPr/>
          <w:p>
            <w:pPr>
              <w:pStyle w:val="Compact"/>
            </w:pPr>
            <w:r>
              <w:t xml:space="preserve">2027</w:t>
            </w:r>
          </w:p>
        </w:tc>
      </w:tr>
      <w:tr>
        <w:tc>
          <w:tcPr/>
          <w:p>
            <w:pPr>
              <w:pStyle w:val="Compact"/>
            </w:pPr>
            <w:r>
              <w:t xml:space="preserve">E-Waste</w:t>
            </w:r>
          </w:p>
        </w:tc>
        <w:tc>
          <w:tcPr/>
          <w:p>
            <w:pPr>
              <w:pStyle w:val="Compact"/>
            </w:pPr>
            <w:r>
              <w:t xml:space="preserve">Zero e-waste to landfill; 100% recycled or refurbished</w:t>
            </w:r>
          </w:p>
        </w:tc>
        <w:tc>
          <w:tcPr/>
          <w:p>
            <w:pPr>
              <w:pStyle w:val="Compact"/>
            </w:pPr>
            <w:r>
              <w:t xml:space="preserve">2027</w:t>
            </w:r>
          </w:p>
        </w:tc>
      </w:tr>
      <w:tr>
        <w:tc>
          <w:tcPr/>
          <w:p>
            <w:pPr>
              <w:pStyle w:val="Compact"/>
            </w:pPr>
            <w:r>
              <w:t xml:space="preserve">Paper</w:t>
            </w:r>
          </w:p>
        </w:tc>
        <w:tc>
          <w:tcPr/>
          <w:p>
            <w:pPr>
              <w:pStyle w:val="Compact"/>
            </w:pPr>
            <w:r>
              <w:t xml:space="preserve">Paperless offices (90% reduction in paper consumption vs. 2023)</w:t>
            </w:r>
          </w:p>
        </w:tc>
        <w:tc>
          <w:tcPr/>
          <w:p>
            <w:pPr>
              <w:pStyle w:val="Compact"/>
            </w:pPr>
            <w:r>
              <w:t xml:space="preserve">2026</w:t>
            </w:r>
          </w:p>
        </w:tc>
      </w:tr>
      <w:tr>
        <w:tc>
          <w:tcPr/>
          <w:p>
            <w:pPr>
              <w:pStyle w:val="Compact"/>
            </w:pPr>
            <w:r>
              <w:t xml:space="preserve">Supply Chain (Scope 3)</w:t>
            </w:r>
          </w:p>
        </w:tc>
        <w:tc>
          <w:tcPr/>
          <w:p>
            <w:pPr>
              <w:pStyle w:val="Compact"/>
            </w:pPr>
            <w:r>
              <w:t xml:space="preserve">50% of suppliers by spend to have science-based emission targets</w:t>
            </w:r>
          </w:p>
        </w:tc>
        <w:tc>
          <w:tcPr/>
          <w:p>
            <w:pPr>
              <w:pStyle w:val="Compact"/>
            </w:pPr>
            <w:r>
              <w:t xml:space="preserve">2030</w:t>
            </w:r>
          </w:p>
        </w:tc>
      </w:tr>
    </w:tbl>
    <w:bookmarkEnd w:id="12"/>
    <w:bookmarkStart w:id="17" w:name="policy-statements"/>
    <w:p>
      <w:pPr>
        <w:pStyle w:val="Heading2"/>
      </w:pPr>
      <w:r>
        <w:t xml:space="preserve">5. Policy Statements</w:t>
      </w:r>
    </w:p>
    <w:bookmarkStart w:id="13" w:name="energy-and-carbon"/>
    <w:p>
      <w:pPr>
        <w:pStyle w:val="Heading3"/>
      </w:pPr>
      <w:r>
        <w:t xml:space="preserve">5.1 Energy and Carbon</w:t>
      </w:r>
    </w:p>
    <w:p>
      <w:pPr>
        <w:pStyle w:val="FirstParagraph"/>
      </w:pPr>
      <w:r>
        <w:t xml:space="preserve">First Digital will progressively transition to renewable energy sources for all operations. We will procure GreenPower or equivalent renewable energy certificates for all Australian offices. Data centre services will be contracted with providers that operate on 100% renewable energy or have committed to doing so by 2028. Energy efficiency measures will be implemented in all offices, including LED lighting, smart HVAC systems, and power management for IT equipment.</w:t>
      </w:r>
    </w:p>
    <w:bookmarkEnd w:id="13"/>
    <w:bookmarkStart w:id="14" w:name="waste-and-resources"/>
    <w:p>
      <w:pPr>
        <w:pStyle w:val="Heading3"/>
      </w:pPr>
      <w:r>
        <w:t xml:space="preserve">5.2 Waste and Resources</w:t>
      </w:r>
    </w:p>
    <w:p>
      <w:pPr>
        <w:pStyle w:val="Compact"/>
        <w:numPr>
          <w:ilvl w:val="0"/>
          <w:numId w:val="1002"/>
        </w:numPr>
      </w:pPr>
      <w:r>
        <w:t xml:space="preserve">All offices will operate recycling and composting programs with clearly labelled waste streams.</w:t>
      </w:r>
    </w:p>
    <w:p>
      <w:pPr>
        <w:pStyle w:val="Compact"/>
        <w:numPr>
          <w:ilvl w:val="0"/>
          <w:numId w:val="1002"/>
        </w:numPr>
      </w:pPr>
      <w:r>
        <w:t xml:space="preserve">Single-use plastics are prohibited in all First Digital offices (cutlery, cups, bottles, packaging).</w:t>
      </w:r>
    </w:p>
    <w:p>
      <w:pPr>
        <w:pStyle w:val="Compact"/>
        <w:numPr>
          <w:ilvl w:val="0"/>
          <w:numId w:val="1002"/>
        </w:numPr>
      </w:pPr>
      <w:r>
        <w:t xml:space="preserve">IT equipment at end of life will be donated to accredited refurbishment programs or recycled through certified e-waste processors.</w:t>
      </w:r>
    </w:p>
    <w:p>
      <w:pPr>
        <w:pStyle w:val="Compact"/>
        <w:numPr>
          <w:ilvl w:val="0"/>
          <w:numId w:val="1002"/>
        </w:numPr>
      </w:pPr>
      <w:r>
        <w:t xml:space="preserve">Default printing will be set to double-sided and grayscale across all network printers.</w:t>
      </w:r>
    </w:p>
    <w:bookmarkEnd w:id="14"/>
    <w:bookmarkStart w:id="15" w:name="business-travel"/>
    <w:p>
      <w:pPr>
        <w:pStyle w:val="Heading3"/>
      </w:pPr>
      <w:r>
        <w:t xml:space="preserve">5.3 Business Travel</w:t>
      </w:r>
    </w:p>
    <w:p>
      <w:pPr>
        <w:pStyle w:val="FirstParagraph"/>
      </w:pPr>
      <w:r>
        <w:t xml:space="preserve">Virtual meetings should be the default for internal and external engagements. Air travel requires manager approval and must be justified by a clear business need that cannot be met through video conferencing. Employees are encouraged to use public transport for local business travel; taxi and ride-share should be a last resort.</w:t>
      </w:r>
    </w:p>
    <w:bookmarkEnd w:id="15"/>
    <w:bookmarkStart w:id="16" w:name="sustainable-procurement"/>
    <w:p>
      <w:pPr>
        <w:pStyle w:val="Heading3"/>
      </w:pPr>
      <w:r>
        <w:t xml:space="preserve">5.4 Sustainable Procurement</w:t>
      </w:r>
    </w:p>
    <w:p>
      <w:pPr>
        <w:pStyle w:val="FirstParagraph"/>
      </w:pPr>
      <w:r>
        <w:t xml:space="preserve">Environmental criteria will be included in supplier selection and evaluation processes. Preference will be given to suppliers with demonstrated environmental management systems (ISO 14001), carbon reduction commitments, and sustainable product certifications (EPEAT, Energy Star).</w:t>
      </w:r>
    </w:p>
    <w:bookmarkEnd w:id="16"/>
    <w:bookmarkEnd w:id="17"/>
    <w:bookmarkStart w:id="18" w:name="reporting-and-measurement"/>
    <w:p>
      <w:pPr>
        <w:pStyle w:val="Heading2"/>
      </w:pPr>
      <w:r>
        <w:t xml:space="preserve">6. Reporting and Measurement</w:t>
      </w:r>
    </w:p>
    <w:p>
      <w:pPr>
        <w:pStyle w:val="FirstParagraph"/>
      </w:pPr>
      <w:r>
        <w:t xml:space="preserve">First Digital will measure and report greenhouse gas emissions annually in accordance with the National Greenhouse and Energy Reporting (NGER) Act 2007 and the GHG Protocol. Environmental performance data will be published in the annual ESG Report and submitted to relevant frameworks including CDP (formerly Carbon Disclosure Project).</w:t>
      </w:r>
    </w:p>
    <w:bookmarkEnd w:id="18"/>
    <w:bookmarkStart w:id="19" w:name="responsibilities"/>
    <w:p>
      <w:pPr>
        <w:pStyle w:val="Heading2"/>
      </w:pPr>
      <w:r>
        <w:t xml:space="preserve">7.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CEO</w:t>
            </w:r>
          </w:p>
        </w:tc>
        <w:tc>
          <w:tcPr/>
          <w:p>
            <w:pPr>
              <w:pStyle w:val="Compact"/>
            </w:pPr>
            <w:r>
              <w:t xml:space="preserve">Ultimate accountability for environmental performance and ESG commitments.</w:t>
            </w:r>
          </w:p>
        </w:tc>
      </w:tr>
      <w:tr>
        <w:tc>
          <w:tcPr/>
          <w:p>
            <w:pPr>
              <w:pStyle w:val="Compact"/>
            </w:pPr>
            <w:r>
              <w:t xml:space="preserve">Sustainability Committee</w:t>
            </w:r>
          </w:p>
        </w:tc>
        <w:tc>
          <w:tcPr/>
          <w:p>
            <w:pPr>
              <w:pStyle w:val="Compact"/>
            </w:pPr>
            <w:r>
              <w:t xml:space="preserve">Set strategy; monitor targets; review performance quarterly.</w:t>
            </w:r>
          </w:p>
        </w:tc>
      </w:tr>
      <w:tr>
        <w:tc>
          <w:tcPr/>
          <w:p>
            <w:pPr>
              <w:pStyle w:val="Compact"/>
            </w:pPr>
            <w:r>
              <w:t xml:space="preserve">Facilities Management</w:t>
            </w:r>
          </w:p>
        </w:tc>
        <w:tc>
          <w:tcPr/>
          <w:p>
            <w:pPr>
              <w:pStyle w:val="Compact"/>
            </w:pPr>
            <w:r>
              <w:t xml:space="preserve">Implement energy efficiency, waste management, and office sustainability programs.</w:t>
            </w:r>
          </w:p>
        </w:tc>
      </w:tr>
      <w:tr>
        <w:tc>
          <w:tcPr/>
          <w:p>
            <w:pPr>
              <w:pStyle w:val="Compact"/>
            </w:pPr>
            <w:r>
              <w:t xml:space="preserve">Procurement</w:t>
            </w:r>
          </w:p>
        </w:tc>
        <w:tc>
          <w:tcPr/>
          <w:p>
            <w:pPr>
              <w:pStyle w:val="Compact"/>
            </w:pPr>
            <w:r>
              <w:t xml:space="preserve">Integrate environmental criteria into supplier selection and contract management.</w:t>
            </w:r>
          </w:p>
        </w:tc>
      </w:tr>
      <w:tr>
        <w:tc>
          <w:tcPr/>
          <w:p>
            <w:pPr>
              <w:pStyle w:val="Compact"/>
            </w:pPr>
            <w:r>
              <w:t xml:space="preserve">All Employees</w:t>
            </w:r>
          </w:p>
        </w:tc>
        <w:tc>
          <w:tcPr/>
          <w:p>
            <w:pPr>
              <w:pStyle w:val="Compact"/>
            </w:pPr>
            <w:r>
              <w:t xml:space="preserve">Reduce personal environmental impact at work; participate in sustainability initiatives.</w:t>
            </w:r>
          </w:p>
        </w:tc>
      </w:tr>
    </w:tbl>
    <w:bookmarkEnd w:id="19"/>
    <w:bookmarkStart w:id="20" w:name="review"/>
    <w:p>
      <w:pPr>
        <w:pStyle w:val="Heading2"/>
      </w:pPr>
      <w:r>
        <w:t xml:space="preserve">8. Review</w:t>
      </w:r>
    </w:p>
    <w:p>
      <w:pPr>
        <w:pStyle w:val="FirstParagraph"/>
      </w:pPr>
      <w:r>
        <w:t xml:space="preserve">This policy is reviewed annually by the Sustainability and ESG Committee. The next review is June 2026. Targets are reviewed against progress and updated as needed to align with evolving science and best practice.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Sustainability Policy - First Digital</dc:title>
  <dc:creator/>
  <dc:language>en</dc:language>
  <cp:keywords/>
  <dcterms:created xsi:type="dcterms:W3CDTF">2026-04-11T22:11:24Z</dcterms:created>
  <dcterms:modified xsi:type="dcterms:W3CDTF">2026-04-11T22:11:24Z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