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Grievance Procedure</w:t>
      </w:r>
    </w:p>
    <w:p>
      <w:pPr>
        <w:pStyle w:val="Author"/>
      </w:pPr>
      <w:r>
        <w:t xml:space="preserve">First Digital — DWx Policy Manager</w:t>
      </w:r>
    </w:p>
    <w:bookmarkStart w:id="16" w:name="grievance-procedure"/>
    <w:p>
      <w:pPr>
        <w:pStyle w:val="Heading1"/>
      </w:pPr>
      <w:r>
        <w:t xml:space="preserve">Grievance Procedure</w:t>
      </w:r>
    </w:p>
    <w:tbl>
      <w:tblPr>
        <w:tblStyle w:val="Table"/>
        <w:tblW w:type="auto" w:w="0"/>
        <w:tblLook w:firstRow="0" w:lastRow="0" w:firstColumn="0" w:lastColumn="0" w:noHBand="0" w:noVBand="0" w:val="0000"/>
      </w:tblPr>
      <w:tblGrid>
        <w:gridCol w:w="3960"/>
        <w:gridCol w:w="3960"/>
      </w:tblGrid>
      <w:tr>
        <w:tc>
          <w:tcPr/>
          <w:p>
            <w:pPr>
              <w:pStyle w:val="Compact"/>
            </w:pPr>
            <w:r>
              <w:t xml:space="preserve">Policy Number</w:t>
            </w:r>
          </w:p>
        </w:tc>
        <w:tc>
          <w:tcPr/>
          <w:p>
            <w:pPr>
              <w:pStyle w:val="Compact"/>
            </w:pPr>
            <w:r>
              <w:t xml:space="preserve">POL-HR-007</w:t>
            </w:r>
          </w:p>
        </w:tc>
      </w:tr>
      <w:tr>
        <w:tc>
          <w:tcPr/>
          <w:p>
            <w:pPr>
              <w:pStyle w:val="Compact"/>
            </w:pPr>
            <w:r>
              <w:t xml:space="preserve">Effective Date</w:t>
            </w:r>
          </w:p>
        </w:tc>
        <w:tc>
          <w:tcPr/>
          <w:p>
            <w:pPr>
              <w:pStyle w:val="Compact"/>
            </w:pPr>
            <w:r>
              <w:t xml:space="preserve">1 January 2026</w:t>
            </w:r>
          </w:p>
        </w:tc>
      </w:tr>
      <w:tr>
        <w:tc>
          <w:tcPr/>
          <w:p>
            <w:pPr>
              <w:pStyle w:val="Compact"/>
            </w:pPr>
            <w:r>
              <w:t xml:space="preserve">Review Date</w:t>
            </w:r>
          </w:p>
        </w:tc>
        <w:tc>
          <w:tcPr/>
          <w:p>
            <w:pPr>
              <w:pStyle w:val="Compact"/>
            </w:pPr>
            <w:r>
              <w:t xml:space="preserve">1 January 2027</w:t>
            </w:r>
          </w:p>
        </w:tc>
      </w:tr>
      <w:tr>
        <w:tc>
          <w:tcPr/>
          <w:p>
            <w:pPr>
              <w:pStyle w:val="Compact"/>
            </w:pPr>
            <w:r>
              <w:t xml:space="preserve">Policy Owner</w:t>
            </w:r>
          </w:p>
        </w:tc>
        <w:tc>
          <w:tcPr/>
          <w:p>
            <w:pPr>
              <w:pStyle w:val="Compact"/>
            </w:pPr>
            <w:r>
              <w:t xml:space="preserve">Chief People Officer</w:t>
            </w:r>
          </w:p>
        </w:tc>
      </w:tr>
      <w:tr>
        <w:tc>
          <w:tcPr/>
          <w:p>
            <w:pPr>
              <w:pStyle w:val="Compact"/>
            </w:pPr>
            <w:r>
              <w:t xml:space="preserve">Classification</w:t>
            </w:r>
          </w:p>
        </w:tc>
        <w:tc>
          <w:tcPr/>
          <w:p>
            <w:pPr>
              <w:pStyle w:val="Compact"/>
            </w:pPr>
            <w:r>
              <w:t xml:space="preserve">Internal — All Employees</w:t>
            </w:r>
          </w:p>
        </w:tc>
      </w:tr>
      <w:tr>
        <w:tc>
          <w:tcPr/>
          <w:p>
            <w:pPr>
              <w:pStyle w:val="Compact"/>
            </w:pPr>
            <w:r>
              <w:t xml:space="preserve">Compliance Risk</w:t>
            </w:r>
          </w:p>
        </w:tc>
        <w:tc>
          <w:tcPr/>
          <w:p>
            <w:pPr>
              <w:pStyle w:val="Compact"/>
            </w:pPr>
            <w:r>
              <w:t xml:space="preserve">High</w:t>
            </w:r>
          </w:p>
        </w:tc>
      </w:tr>
    </w:tbl>
    <w:bookmarkStart w:id="9" w:name="purpose"/>
    <w:p>
      <w:pPr>
        <w:pStyle w:val="Heading2"/>
      </w:pPr>
      <w:r>
        <w:t xml:space="preserve">1. Purpose</w:t>
      </w:r>
    </w:p>
    <w:p>
      <w:pPr>
        <w:pStyle w:val="FirstParagraph"/>
      </w:pPr>
      <w:r>
        <w:t xml:space="preserve">This procedure provides employees with a fair and transparent mechanism to raise workplace concerns, complaints, or disputes. First Digital is committed to resolving grievances promptly and at the lowest possible level.</w:t>
      </w:r>
    </w:p>
    <w:bookmarkEnd w:id="9"/>
    <w:bookmarkStart w:id="10" w:name="what-constitutes-a-grievance"/>
    <w:p>
      <w:pPr>
        <w:pStyle w:val="Heading2"/>
      </w:pPr>
      <w:r>
        <w:t xml:space="preserve">2. What Constitutes a Grievance</w:t>
      </w:r>
    </w:p>
    <w:p>
      <w:pPr>
        <w:pStyle w:val="FirstParagraph"/>
      </w:pPr>
      <w:r>
        <w:t xml:space="preserve">A grievance is any concern, problem, or complaint raised by an employee relating to their employment, including but not limited to:</w:t>
      </w:r>
    </w:p>
    <w:p>
      <w:pPr>
        <w:pStyle w:val="Compact"/>
        <w:numPr>
          <w:ilvl w:val="0"/>
          <w:numId w:val="1001"/>
        </w:numPr>
      </w:pPr>
      <w:r>
        <w:t xml:space="preserve">Terms and conditions of employment</w:t>
      </w:r>
    </w:p>
    <w:p>
      <w:pPr>
        <w:pStyle w:val="Compact"/>
        <w:numPr>
          <w:ilvl w:val="0"/>
          <w:numId w:val="1001"/>
        </w:numPr>
      </w:pPr>
      <w:r>
        <w:t xml:space="preserve">Working relationships with colleagues or management</w:t>
      </w:r>
    </w:p>
    <w:p>
      <w:pPr>
        <w:pStyle w:val="Compact"/>
        <w:numPr>
          <w:ilvl w:val="0"/>
          <w:numId w:val="1001"/>
        </w:numPr>
      </w:pPr>
      <w:r>
        <w:t xml:space="preserve">Application of company policies or procedures</w:t>
      </w:r>
    </w:p>
    <w:p>
      <w:pPr>
        <w:pStyle w:val="Compact"/>
        <w:numPr>
          <w:ilvl w:val="0"/>
          <w:numId w:val="1001"/>
        </w:numPr>
      </w:pPr>
      <w:r>
        <w:t xml:space="preserve">Work environment or health and safety concerns</w:t>
      </w:r>
    </w:p>
    <w:p>
      <w:pPr>
        <w:pStyle w:val="Compact"/>
        <w:numPr>
          <w:ilvl w:val="0"/>
          <w:numId w:val="1001"/>
        </w:numPr>
      </w:pPr>
      <w:r>
        <w:t xml:space="preserve">Perceived unfair treatment or discrimination</w:t>
      </w:r>
    </w:p>
    <w:p>
      <w:pPr>
        <w:pStyle w:val="Compact"/>
        <w:numPr>
          <w:ilvl w:val="0"/>
          <w:numId w:val="1001"/>
        </w:numPr>
      </w:pPr>
      <w:r>
        <w:t xml:space="preserve">Organisational changes affecting the employee's role</w:t>
      </w:r>
    </w:p>
    <w:bookmarkEnd w:id="10"/>
    <w:bookmarkStart w:id="11" w:name="grievance-resolution-process"/>
    <w:p>
      <w:pPr>
        <w:pStyle w:val="Heading2"/>
      </w:pPr>
      <w:r>
        <w:t xml:space="preserve">3. Grievance Resolution Process</w:t>
      </w:r>
    </w:p>
    <w:p>
      <w:pPr>
        <w:pStyle w:val="FirstParagraph"/>
      </w:pPr>
      <w:r>
        <w:rPr>
          <w:b/>
          <w:bCs/>
        </w:rPr>
        <w:t xml:space="preserve">Step 1 — Informal Resolution (Target: 5 days)</w:t>
      </w:r>
      <w:r>
        <w:br/>
      </w:r>
      <w:r>
        <w:t xml:space="preserve">Employee raises the issue directly with their manager or HR. Most concerns can be resolved through open dialogue and mutual understanding.</w:t>
      </w:r>
    </w:p>
    <w:p>
      <w:pPr>
        <w:pStyle w:val="BodyText"/>
      </w:pPr>
      <w:r>
        <w:t xml:space="preserve">↓</w:t>
      </w:r>
    </w:p>
    <w:p>
      <w:pPr>
        <w:pStyle w:val="BodyText"/>
      </w:pPr>
      <w:r>
        <w:rPr>
          <w:b/>
          <w:bCs/>
        </w:rPr>
        <w:t xml:space="preserve">Step 2 — Formal Grievance (Target: 10 days)</w:t>
      </w:r>
      <w:r>
        <w:br/>
      </w:r>
      <w:r>
        <w:t xml:space="preserve">If unresolved, the employee submits a written grievance to HR. A formal meeting is arranged within 5 business days. The employee may bring a support person.</w:t>
      </w:r>
    </w:p>
    <w:p>
      <w:pPr>
        <w:pStyle w:val="BodyText"/>
      </w:pPr>
      <w:r>
        <w:t xml:space="preserve">↓</w:t>
      </w:r>
    </w:p>
    <w:p>
      <w:pPr>
        <w:pStyle w:val="BodyText"/>
      </w:pPr>
      <w:r>
        <w:rPr>
          <w:b/>
          <w:bCs/>
        </w:rPr>
        <w:t xml:space="preserve">Step 3 — Investigation (Target: 15 days)</w:t>
      </w:r>
      <w:r>
        <w:br/>
      </w:r>
      <w:r>
        <w:t xml:space="preserve">HR conducts a thorough investigation, interviewing relevant parties and reviewing documentation. A written findings report is prepared.</w:t>
      </w:r>
    </w:p>
    <w:p>
      <w:pPr>
        <w:pStyle w:val="BodyText"/>
      </w:pPr>
      <w:r>
        <w:t xml:space="preserve">↓</w:t>
      </w:r>
    </w:p>
    <w:p>
      <w:pPr>
        <w:pStyle w:val="BodyText"/>
      </w:pPr>
      <w:r>
        <w:rPr>
          <w:b/>
          <w:bCs/>
        </w:rPr>
        <w:t xml:space="preserve">Step 4 — Outcome (Target: 5 days)</w:t>
      </w:r>
      <w:r>
        <w:br/>
      </w:r>
      <w:r>
        <w:t xml:space="preserve">The employee receives a written response detailing the findings, the decision, and any remedial actions to be taken.</w:t>
      </w:r>
    </w:p>
    <w:p>
      <w:pPr>
        <w:pStyle w:val="BodyText"/>
      </w:pPr>
      <w:r>
        <w:t xml:space="preserve">↓</w:t>
      </w:r>
    </w:p>
    <w:p>
      <w:pPr>
        <w:pStyle w:val="BodyText"/>
      </w:pPr>
      <w:r>
        <w:rPr>
          <w:b/>
          <w:bCs/>
        </w:rPr>
        <w:t xml:space="preserve">Step 5 — Appeal (Target: 10 days)</w:t>
      </w:r>
      <w:r>
        <w:br/>
      </w:r>
      <w:r>
        <w:t xml:space="preserve">If dissatisfied, the employee may appeal within 10 business days. The appeal is heard by a senior leader not previously involved.</w:t>
      </w:r>
    </w:p>
    <w:bookmarkEnd w:id="11"/>
    <w:bookmarkStart w:id="12" w:name="confidentiality"/>
    <w:p>
      <w:pPr>
        <w:pStyle w:val="Heading2"/>
      </w:pPr>
      <w:r>
        <w:t xml:space="preserve">4. Confidentiality</w:t>
      </w:r>
    </w:p>
    <w:p>
      <w:pPr>
        <w:pStyle w:val="FirstParagraph"/>
      </w:pPr>
      <w:r>
        <w:t xml:space="preserve">All grievances are treated with strict confidentiality. Information is shared only with those who need to know for the purpose of investigating and resolving the matter. Breach of confidentiality may itself result in disciplinary action.</w:t>
      </w:r>
    </w:p>
    <w:bookmarkEnd w:id="12"/>
    <w:bookmarkStart w:id="13" w:name="protection-from-retaliation"/>
    <w:p>
      <w:pPr>
        <w:pStyle w:val="Heading2"/>
      </w:pPr>
      <w:r>
        <w:t xml:space="preserve">5. Protection from Retaliation</w:t>
      </w:r>
    </w:p>
    <w:p>
      <w:pPr>
        <w:pStyle w:val="FirstParagraph"/>
      </w:pPr>
      <w:r>
        <w:t xml:space="preserve">No employee will suffer any detriment or retaliation for raising a grievance in good faith. Any acts of retaliation will be treated as a serious disciplinary matter.</w:t>
      </w:r>
    </w:p>
    <w:bookmarkEnd w:id="13"/>
    <w:bookmarkStart w:id="14" w:name="mediation"/>
    <w:p>
      <w:pPr>
        <w:pStyle w:val="Heading2"/>
      </w:pPr>
      <w:r>
        <w:t xml:space="preserve">6. Mediation</w:t>
      </w:r>
    </w:p>
    <w:p>
      <w:pPr>
        <w:pStyle w:val="FirstParagraph"/>
      </w:pPr>
      <w:r>
        <w:t xml:space="preserve">At any stage, the parties may agree to engage an external mediator to facilitate resolution. First Digital will bear the cost of mediation services. Mediation is voluntary and any agreement reached is documented and monitored by HR.</w:t>
      </w:r>
    </w:p>
    <w:bookmarkEnd w:id="14"/>
    <w:bookmarkStart w:id="15" w:name="external-avenues"/>
    <w:p>
      <w:pPr>
        <w:pStyle w:val="Heading2"/>
      </w:pPr>
      <w:r>
        <w:t xml:space="preserve">7. External Avenues</w:t>
      </w:r>
    </w:p>
    <w:p>
      <w:pPr>
        <w:pStyle w:val="FirstParagraph"/>
      </w:pPr>
      <w:r>
        <w:t xml:space="preserve">Employees retain the right to seek external assistance through the Fair Work Commission, relevant industry ombudsman, or legal counsel at any time. Pursuing the internal grievance process does not limit these rights.</w:t>
      </w:r>
    </w:p>
    <w:p>
      <w:pPr>
        <w:pStyle w:val="BodyText"/>
      </w:pPr>
      <w:r>
        <w:t xml:space="preserve">First Digital — DWx Policy Manager • Document generated for testing purposes • Version 1.0</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Grievance Procedure</dc:title>
  <dc:creator>First Digital — DWx Policy Manager</dc:creator>
  <cp:category>Human Resources</cp:category>
  <cp:keywords/>
  <dcterms:created xsi:type="dcterms:W3CDTF">2026-04-11T22:11:38Z</dcterms:created>
  <dcterms:modified xsi:type="dcterms:W3CDTF">2026-04-11T22:11:38Z</dcterms:modified>
</cp:coreProperties>
</file>

<file path=docProps/custom.xml><?xml version="1.0" encoding="utf-8"?>
<Properties xmlns="http://schemas.openxmlformats.org/officeDocument/2006/custom-properties" xmlns:vt="http://schemas.openxmlformats.org/officeDocument/2006/docPropsVTypes"/>
</file>