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Incident Response Policy - First Digital</w:t>
      </w:r>
    </w:p>
    <w:bookmarkStart w:id="23" w:name="incident-response-policy"/>
    <w:p>
      <w:pPr>
        <w:pStyle w:val="Heading1"/>
      </w:pPr>
      <w:r>
        <w:t xml:space="preserve">Incident Response Policy</w:t>
      </w:r>
    </w:p>
    <w:p>
      <w:pPr>
        <w:pStyle w:val="FirstParagraph"/>
      </w:pPr>
      <w:r>
        <w:t xml:space="preserve">Policy ID: FD-IS-004 | Version 5.1 | Effective: 1 March 2026</w:t>
      </w:r>
    </w:p>
    <w:p>
      <w:pPr>
        <w:pStyle w:val="BodyText"/>
      </w:pPr>
      <w:r>
        <w:rPr>
          <w:b/>
          <w:bCs/>
        </w:rPr>
        <w:t xml:space="preserve">Critical Policy:</w:t>
      </w:r>
      <w:r>
        <w:t xml:space="preserve"> </w:t>
      </w:r>
      <w:r>
        <w:t xml:space="preserve">All employees must report suspected security incidents immediately. Delays in reporting can significantly increase the impact of a breach. Contact the Security Operations Centre (SOC) at ext. 4400 or email security@firstdigital.com.</w:t>
      </w:r>
    </w:p>
    <w:bookmarkStart w:id="9" w:name="purpose"/>
    <w:p>
      <w:pPr>
        <w:pStyle w:val="Heading2"/>
      </w:pPr>
      <w:r>
        <w:t xml:space="preserve">1. Purpose</w:t>
      </w:r>
    </w:p>
    <w:p>
      <w:pPr>
        <w:pStyle w:val="FirstParagraph"/>
      </w:pPr>
      <w:r>
        <w:t xml:space="preserve">This policy establishes the procedures for identifying, reporting, assessing, responding to, and recovering from information security incidents at First Digital. A structured incident response capability minimises the impact of security events, preserves evidence for investigation, and ensures compliance with mandatory breach notification requirements.</w:t>
      </w:r>
    </w:p>
    <w:bookmarkEnd w:id="9"/>
    <w:bookmarkStart w:id="10" w:name="scope"/>
    <w:p>
      <w:pPr>
        <w:pStyle w:val="Heading2"/>
      </w:pPr>
      <w:r>
        <w:t xml:space="preserve">2. Scope</w:t>
      </w:r>
    </w:p>
    <w:p>
      <w:pPr>
        <w:pStyle w:val="FirstParagraph"/>
      </w:pPr>
      <w:r>
        <w:t xml:space="preserve">This policy covers all security events and incidents affecting First Digital's information systems, data, networks, physical premises, and personnel. It applies to all employees, contractors, and managed service providers.</w:t>
      </w:r>
    </w:p>
    <w:bookmarkEnd w:id="10"/>
    <w:bookmarkStart w:id="11" w:name="definitions"/>
    <w:p>
      <w:pPr>
        <w:pStyle w:val="Heading2"/>
      </w:pPr>
      <w:r>
        <w:t xml:space="preserve">3.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Security Event</w:t>
            </w:r>
          </w:p>
        </w:tc>
        <w:tc>
          <w:tcPr/>
          <w:p>
            <w:pPr>
              <w:pStyle w:val="Compact"/>
            </w:pPr>
            <w:r>
              <w:t xml:space="preserve">Any observable occurrence relevant to information security (e.g., failed login, firewall alert).</w:t>
            </w:r>
          </w:p>
        </w:tc>
      </w:tr>
      <w:tr>
        <w:tc>
          <w:tcPr/>
          <w:p>
            <w:pPr>
              <w:pStyle w:val="Compact"/>
            </w:pPr>
            <w:r>
              <w:t xml:space="preserve">Security Incident</w:t>
            </w:r>
          </w:p>
        </w:tc>
        <w:tc>
          <w:tcPr/>
          <w:p>
            <w:pPr>
              <w:pStyle w:val="Compact"/>
            </w:pPr>
            <w:r>
              <w:t xml:space="preserve">A confirmed or suspected event that threatens the confidentiality, integrity, or availability of information assets.</w:t>
            </w:r>
          </w:p>
        </w:tc>
      </w:tr>
      <w:tr>
        <w:tc>
          <w:tcPr/>
          <w:p>
            <w:pPr>
              <w:pStyle w:val="Compact"/>
            </w:pPr>
            <w:r>
              <w:t xml:space="preserve">Data Breach</w:t>
            </w:r>
          </w:p>
        </w:tc>
        <w:tc>
          <w:tcPr/>
          <w:p>
            <w:pPr>
              <w:pStyle w:val="Compact"/>
            </w:pPr>
            <w:r>
              <w:t xml:space="preserve">An incident involving unauthorised access to or disclosure of personal or sensitive data.</w:t>
            </w:r>
          </w:p>
        </w:tc>
      </w:tr>
      <w:tr>
        <w:tc>
          <w:tcPr/>
          <w:p>
            <w:pPr>
              <w:pStyle w:val="Compact"/>
            </w:pPr>
            <w:r>
              <w:t xml:space="preserve">CSIRT</w:t>
            </w:r>
          </w:p>
        </w:tc>
        <w:tc>
          <w:tcPr/>
          <w:p>
            <w:pPr>
              <w:pStyle w:val="Compact"/>
            </w:pPr>
            <w:r>
              <w:t xml:space="preserve">Cyber Security Incident Response Team - the cross-functional team activated during incidents.</w:t>
            </w:r>
          </w:p>
        </w:tc>
      </w:tr>
    </w:tbl>
    <w:bookmarkEnd w:id="11"/>
    <w:bookmarkStart w:id="12" w:name="incident-severity-levels"/>
    <w:p>
      <w:pPr>
        <w:pStyle w:val="Heading2"/>
      </w:pPr>
      <w:r>
        <w:t xml:space="preserve">4. Incident Severity Levels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Description</w:t>
            </w:r>
          </w:p>
        </w:tc>
        <w:tc>
          <w:tcPr/>
          <w:p>
            <w:pPr>
              <w:pStyle w:val="Compact"/>
            </w:pPr>
            <w:r>
              <w:t xml:space="preserve">Response Time</w:t>
            </w:r>
          </w:p>
        </w:tc>
        <w:tc>
          <w:tcPr/>
          <w:p>
            <w:pPr>
              <w:pStyle w:val="Compact"/>
            </w:pPr>
            <w:r>
              <w:t xml:space="preserve">Escalation</w:t>
            </w:r>
          </w:p>
        </w:tc>
      </w:tr>
      <w:tr>
        <w:tc>
          <w:tcPr/>
          <w:p>
            <w:pPr>
              <w:pStyle w:val="Compact"/>
            </w:pPr>
            <w:r>
              <w:rPr>
                <w:b/>
                <w:bCs/>
              </w:rPr>
              <w:t xml:space="preserve">P1 - Critical</w:t>
            </w:r>
          </w:p>
        </w:tc>
        <w:tc>
          <w:tcPr/>
          <w:p>
            <w:pPr>
              <w:pStyle w:val="Compact"/>
            </w:pPr>
            <w:r>
              <w:t xml:space="preserve">Active data breach, ransomware, complete service outage affecting clients</w:t>
            </w:r>
          </w:p>
        </w:tc>
        <w:tc>
          <w:tcPr/>
          <w:p>
            <w:pPr>
              <w:pStyle w:val="Compact"/>
            </w:pPr>
            <w:r>
              <w:t xml:space="preserve">15 minutes</w:t>
            </w:r>
          </w:p>
        </w:tc>
        <w:tc>
          <w:tcPr/>
          <w:p>
            <w:pPr>
              <w:pStyle w:val="Compact"/>
            </w:pPr>
            <w:r>
              <w:t xml:space="preserve">CSIRT + Executive + Legal + External counsel</w:t>
            </w:r>
          </w:p>
        </w:tc>
      </w:tr>
      <w:tr>
        <w:tc>
          <w:tcPr/>
          <w:p>
            <w:pPr>
              <w:pStyle w:val="Compact"/>
            </w:pPr>
            <w:r>
              <w:rPr>
                <w:b/>
                <w:bCs/>
              </w:rPr>
              <w:t xml:space="preserve">P2 - High</w:t>
            </w:r>
          </w:p>
        </w:tc>
        <w:tc>
          <w:tcPr/>
          <w:p>
            <w:pPr>
              <w:pStyle w:val="Compact"/>
            </w:pPr>
            <w:r>
              <w:t xml:space="preserve">Confirmed malware, unauthorised access to sensitive systems, partial outage</w:t>
            </w:r>
          </w:p>
        </w:tc>
        <w:tc>
          <w:tcPr/>
          <w:p>
            <w:pPr>
              <w:pStyle w:val="Compact"/>
            </w:pPr>
            <w:r>
              <w:t xml:space="preserve">1 hour</w:t>
            </w:r>
          </w:p>
        </w:tc>
        <w:tc>
          <w:tcPr/>
          <w:p>
            <w:pPr>
              <w:pStyle w:val="Compact"/>
            </w:pPr>
            <w:r>
              <w:t xml:space="preserve">CSIRT + Department Head</w:t>
            </w:r>
          </w:p>
        </w:tc>
      </w:tr>
      <w:tr>
        <w:tc>
          <w:tcPr/>
          <w:p>
            <w:pPr>
              <w:pStyle w:val="Compact"/>
            </w:pPr>
            <w:r>
              <w:rPr>
                <w:b/>
                <w:bCs/>
              </w:rPr>
              <w:t xml:space="preserve">P3 - Medium</w:t>
            </w:r>
          </w:p>
        </w:tc>
        <w:tc>
          <w:tcPr/>
          <w:p>
            <w:pPr>
              <w:pStyle w:val="Compact"/>
            </w:pPr>
            <w:r>
              <w:t xml:space="preserve">Phishing attack (limited impact), policy violation, suspicious activity</w:t>
            </w:r>
          </w:p>
        </w:tc>
        <w:tc>
          <w:tcPr/>
          <w:p>
            <w:pPr>
              <w:pStyle w:val="Compact"/>
            </w:pPr>
            <w:r>
              <w:t xml:space="preserve">4 hours</w:t>
            </w:r>
          </w:p>
        </w:tc>
        <w:tc>
          <w:tcPr/>
          <w:p>
            <w:pPr>
              <w:pStyle w:val="Compact"/>
            </w:pPr>
            <w:r>
              <w:t xml:space="preserve">SOC + Line Manager</w:t>
            </w:r>
          </w:p>
        </w:tc>
      </w:tr>
      <w:tr>
        <w:tc>
          <w:tcPr/>
          <w:p>
            <w:pPr>
              <w:pStyle w:val="Compact"/>
            </w:pPr>
            <w:r>
              <w:rPr>
                <w:b/>
                <w:bCs/>
              </w:rPr>
              <w:t xml:space="preserve">P4 - Low</w:t>
            </w:r>
          </w:p>
        </w:tc>
        <w:tc>
          <w:tcPr/>
          <w:p>
            <w:pPr>
              <w:pStyle w:val="Compact"/>
            </w:pPr>
            <w:r>
              <w:t xml:space="preserve">Minor policy violation, informational alert, false positive confirmed</w:t>
            </w:r>
          </w:p>
        </w:tc>
        <w:tc>
          <w:tcPr/>
          <w:p>
            <w:pPr>
              <w:pStyle w:val="Compact"/>
            </w:pPr>
            <w:r>
              <w:t xml:space="preserve">Next business day</w:t>
            </w:r>
          </w:p>
        </w:tc>
        <w:tc>
          <w:tcPr/>
          <w:p>
            <w:pPr>
              <w:pStyle w:val="Compact"/>
            </w:pPr>
            <w:r>
              <w:t xml:space="preserve">SOC only</w:t>
            </w:r>
          </w:p>
        </w:tc>
      </w:tr>
    </w:tbl>
    <w:bookmarkEnd w:id="12"/>
    <w:bookmarkStart w:id="18" w:name="incident-response-phases"/>
    <w:p>
      <w:pPr>
        <w:pStyle w:val="Heading2"/>
      </w:pPr>
      <w:r>
        <w:t xml:space="preserve">5. Incident Response Phases</w:t>
      </w:r>
    </w:p>
    <w:bookmarkStart w:id="13" w:name="preparation"/>
    <w:p>
      <w:pPr>
        <w:pStyle w:val="Heading3"/>
      </w:pPr>
      <w:r>
        <w:t xml:space="preserve">5.1 Preparation</w:t>
      </w:r>
    </w:p>
    <w:p>
      <w:pPr>
        <w:pStyle w:val="FirstParagraph"/>
      </w:pPr>
      <w:r>
        <w:t xml:space="preserve">The CSIRT maintains incident response playbooks, communication templates, and forensic toolkits. Annual tabletop exercises are conducted to test response readiness. All employees receive security awareness training that covers incident identification and reporting.</w:t>
      </w:r>
    </w:p>
    <w:bookmarkEnd w:id="13"/>
    <w:bookmarkStart w:id="14" w:name="identification-and-reporting"/>
    <w:p>
      <w:pPr>
        <w:pStyle w:val="Heading3"/>
      </w:pPr>
      <w:r>
        <w:t xml:space="preserve">5.2 Identification and Reporting</w:t>
      </w:r>
    </w:p>
    <w:p>
      <w:pPr>
        <w:pStyle w:val="Compact"/>
        <w:numPr>
          <w:ilvl w:val="0"/>
          <w:numId w:val="1001"/>
        </w:numPr>
      </w:pPr>
      <w:r>
        <w:t xml:space="preserve">Any employee who suspects a security incident must report it to the SOC immediately via phone (ext. 4400), email (security@firstdigital.com), or the ServiceNow incident portal.</w:t>
      </w:r>
    </w:p>
    <w:p>
      <w:pPr>
        <w:pStyle w:val="Compact"/>
        <w:numPr>
          <w:ilvl w:val="0"/>
          <w:numId w:val="1001"/>
        </w:numPr>
      </w:pPr>
      <w:r>
        <w:t xml:space="preserve">The SOC performs initial triage within 15 minutes of receipt to confirm the incident and assign severity.</w:t>
      </w:r>
    </w:p>
    <w:p>
      <w:pPr>
        <w:pStyle w:val="Compact"/>
        <w:numPr>
          <w:ilvl w:val="0"/>
          <w:numId w:val="1001"/>
        </w:numPr>
      </w:pPr>
      <w:r>
        <w:t xml:space="preserve">Automated alerts from SIEM, EDR, and DLP tools are triaged by the SOC 24/7.</w:t>
      </w:r>
    </w:p>
    <w:bookmarkEnd w:id="14"/>
    <w:bookmarkStart w:id="15" w:name="containment"/>
    <w:p>
      <w:pPr>
        <w:pStyle w:val="Heading3"/>
      </w:pPr>
      <w:r>
        <w:t xml:space="preserve">5.3 Containment</w:t>
      </w:r>
    </w:p>
    <w:p>
      <w:pPr>
        <w:pStyle w:val="Compact"/>
        <w:numPr>
          <w:ilvl w:val="0"/>
          <w:numId w:val="1002"/>
        </w:numPr>
      </w:pPr>
      <w:r>
        <w:rPr>
          <w:b/>
          <w:bCs/>
        </w:rPr>
        <w:t xml:space="preserve">Short-term containment:</w:t>
      </w:r>
      <w:r>
        <w:t xml:space="preserve"> </w:t>
      </w:r>
      <w:r>
        <w:t xml:space="preserve">Isolate affected systems from the network to prevent lateral movement. Preserve volatile evidence (memory dumps, running processes).</w:t>
      </w:r>
    </w:p>
    <w:p>
      <w:pPr>
        <w:pStyle w:val="Compact"/>
        <w:numPr>
          <w:ilvl w:val="0"/>
          <w:numId w:val="1002"/>
        </w:numPr>
      </w:pPr>
      <w:r>
        <w:rPr>
          <w:b/>
          <w:bCs/>
        </w:rPr>
        <w:t xml:space="preserve">Long-term containment:</w:t>
      </w:r>
      <w:r>
        <w:t xml:space="preserve"> </w:t>
      </w:r>
      <w:r>
        <w:t xml:space="preserve">Apply temporary fixes to allow business operations to continue while the root cause is investigated.</w:t>
      </w:r>
    </w:p>
    <w:bookmarkEnd w:id="15"/>
    <w:bookmarkStart w:id="16" w:name="eradication-and-recovery"/>
    <w:p>
      <w:pPr>
        <w:pStyle w:val="Heading3"/>
      </w:pPr>
      <w:r>
        <w:t xml:space="preserve">5.4 Eradication and Recovery</w:t>
      </w:r>
    </w:p>
    <w:p>
      <w:pPr>
        <w:pStyle w:val="FirstParagraph"/>
      </w:pPr>
      <w:r>
        <w:t xml:space="preserve">Once contained, the CSIRT identifies and removes the root cause. Affected systems are rebuilt from known-good backups, patched, and hardened before being returned to production. Recovery is verified through vulnerability scanning and monitoring.</w:t>
      </w:r>
    </w:p>
    <w:bookmarkEnd w:id="16"/>
    <w:bookmarkStart w:id="17" w:name="post-incident-review"/>
    <w:p>
      <w:pPr>
        <w:pStyle w:val="Heading3"/>
      </w:pPr>
      <w:r>
        <w:t xml:space="preserve">5.5 Post-Incident Review</w:t>
      </w:r>
    </w:p>
    <w:p>
      <w:pPr>
        <w:pStyle w:val="FirstParagraph"/>
      </w:pPr>
      <w:r>
        <w:t xml:space="preserve">A post-incident review (PIR) is conducted within 5 business days of incident closure. The PIR documents the timeline, root cause, impact assessment, response effectiveness, and improvement recommendations. PIR findings are presented to the Information Security Committee and tracked to completion.</w:t>
      </w:r>
    </w:p>
    <w:bookmarkEnd w:id="17"/>
    <w:bookmarkEnd w:id="18"/>
    <w:bookmarkStart w:id="19" w:name="breach-notification"/>
    <w:p>
      <w:pPr>
        <w:pStyle w:val="Heading2"/>
      </w:pPr>
      <w:r>
        <w:t xml:space="preserve">6. Breach Notification</w:t>
      </w:r>
    </w:p>
    <w:p>
      <w:pPr>
        <w:pStyle w:val="FirstParagraph"/>
      </w:pPr>
      <w:r>
        <w:t xml:space="preserve">Where a data breach involves personal information, First Digital will comply with the Notifiable Data Breaches (NDB) scheme under the Privacy Act 1988. The Privacy Officer must be notified within 24 hours of a confirmed data breach to assess notification obligations. Notifications to the Office of the Australian Information Commissioner (OAIC) and affected individuals will be made within the statutory timeframe.</w:t>
      </w:r>
    </w:p>
    <w:bookmarkEnd w:id="19"/>
    <w:bookmarkStart w:id="20" w:name="evidence-preservation"/>
    <w:p>
      <w:pPr>
        <w:pStyle w:val="Heading2"/>
      </w:pPr>
      <w:r>
        <w:t xml:space="preserve">7. Evidence Preservation</w:t>
      </w:r>
    </w:p>
    <w:p>
      <w:pPr>
        <w:pStyle w:val="FirstParagraph"/>
      </w:pPr>
      <w:r>
        <w:t xml:space="preserve">All evidence must be collected and preserved using forensically sound methods. A chain of custody log must be maintained for all evidence items. Original evidence must never be modified; analysis is performed on forensic copies only.</w:t>
      </w:r>
    </w:p>
    <w:bookmarkEnd w:id="20"/>
    <w:bookmarkStart w:id="21" w:name="responsibilities"/>
    <w:p>
      <w:pPr>
        <w:pStyle w:val="Heading2"/>
      </w:pPr>
      <w:r>
        <w:t xml:space="preserve">8.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All Employees</w:t>
            </w:r>
          </w:p>
        </w:tc>
        <w:tc>
          <w:tcPr/>
          <w:p>
            <w:pPr>
              <w:pStyle w:val="Compact"/>
            </w:pPr>
            <w:r>
              <w:t xml:space="preserve">Report incidents immediately; preserve evidence; follow SOC instructions.</w:t>
            </w:r>
          </w:p>
        </w:tc>
      </w:tr>
      <w:tr>
        <w:tc>
          <w:tcPr/>
          <w:p>
            <w:pPr>
              <w:pStyle w:val="Compact"/>
            </w:pPr>
            <w:r>
              <w:t xml:space="preserve">SOC Analysts</w:t>
            </w:r>
          </w:p>
        </w:tc>
        <w:tc>
          <w:tcPr/>
          <w:p>
            <w:pPr>
              <w:pStyle w:val="Compact"/>
            </w:pPr>
            <w:r>
              <w:t xml:space="preserve">Triage, classify, and coordinate initial response for all incidents.</w:t>
            </w:r>
          </w:p>
        </w:tc>
      </w:tr>
      <w:tr>
        <w:tc>
          <w:tcPr/>
          <w:p>
            <w:pPr>
              <w:pStyle w:val="Compact"/>
            </w:pPr>
            <w:r>
              <w:t xml:space="preserve">CSIRT</w:t>
            </w:r>
          </w:p>
        </w:tc>
        <w:tc>
          <w:tcPr/>
          <w:p>
            <w:pPr>
              <w:pStyle w:val="Compact"/>
            </w:pPr>
            <w:r>
              <w:t xml:space="preserve">Lead containment, eradication, and recovery for P1/P2 incidents.</w:t>
            </w:r>
          </w:p>
        </w:tc>
      </w:tr>
      <w:tr>
        <w:tc>
          <w:tcPr/>
          <w:p>
            <w:pPr>
              <w:pStyle w:val="Compact"/>
            </w:pPr>
            <w:r>
              <w:t xml:space="preserve">CISO</w:t>
            </w:r>
          </w:p>
        </w:tc>
        <w:tc>
          <w:tcPr/>
          <w:p>
            <w:pPr>
              <w:pStyle w:val="Compact"/>
            </w:pPr>
            <w:r>
              <w:t xml:space="preserve">Approve major response decisions; brief executives; authorise external communications.</w:t>
            </w:r>
          </w:p>
        </w:tc>
      </w:tr>
      <w:tr>
        <w:tc>
          <w:tcPr/>
          <w:p>
            <w:pPr>
              <w:pStyle w:val="Compact"/>
            </w:pPr>
            <w:r>
              <w:t xml:space="preserve">Legal</w:t>
            </w:r>
          </w:p>
        </w:tc>
        <w:tc>
          <w:tcPr/>
          <w:p>
            <w:pPr>
              <w:pStyle w:val="Compact"/>
            </w:pPr>
            <w:r>
              <w:t xml:space="preserve">Advise on regulatory obligations, breach notification, and law enforcement engagement.</w:t>
            </w:r>
          </w:p>
        </w:tc>
      </w:tr>
    </w:tbl>
    <w:bookmarkEnd w:id="21"/>
    <w:bookmarkStart w:id="22" w:name="review"/>
    <w:p>
      <w:pPr>
        <w:pStyle w:val="Heading2"/>
      </w:pPr>
      <w:r>
        <w:t xml:space="preserve">9. Review</w:t>
      </w:r>
    </w:p>
    <w:p>
      <w:pPr>
        <w:pStyle w:val="FirstParagraph"/>
      </w:pPr>
      <w:r>
        <w:t xml:space="preserve">This policy is reviewed every 6 months or following any P1 incident. The next scheduled review is September 2026.</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Policy - First Digital</dc:title>
  <dc:creator/>
  <dc:language>en</dc:language>
  <cp:keywords/>
  <dcterms:created xsi:type="dcterms:W3CDTF">2026-04-11T22:11:25Z</dcterms:created>
  <dcterms:modified xsi:type="dcterms:W3CDTF">2026-04-11T22:11:25Z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