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Probation Policy</w:t>
      </w:r>
    </w:p>
    <w:p>
      <w:pPr>
        <w:pStyle w:val="Author"/>
      </w:pPr>
      <w:r>
        <w:t xml:space="preserve">First Digital — DWx Policy Manager</w:t>
      </w:r>
    </w:p>
    <w:bookmarkStart w:id="18" w:name="probation-policy"/>
    <w:p>
      <w:pPr>
        <w:pStyle w:val="Heading1"/>
      </w:pPr>
      <w:r>
        <w:t xml:space="preserve">Probation Policy</w:t>
      </w:r>
    </w:p>
    <w:tbl>
      <w:tblPr>
        <w:tblStyle w:val="Table"/>
        <w:tblW w:type="auto" w:w="0"/>
        <w:tblLook w:firstRow="0" w:lastRow="0" w:firstColumn="0" w:lastColumn="0" w:noHBand="0" w:noVBand="0" w:val="0000"/>
      </w:tblPr>
      <w:tblGrid>
        <w:gridCol w:w="3960"/>
        <w:gridCol w:w="3960"/>
      </w:tblGrid>
      <w:tr>
        <w:tc>
          <w:tcPr/>
          <w:p>
            <w:pPr>
              <w:pStyle w:val="Compact"/>
            </w:pPr>
            <w:r>
              <w:t xml:space="preserve">Policy Number</w:t>
            </w:r>
          </w:p>
        </w:tc>
        <w:tc>
          <w:tcPr/>
          <w:p>
            <w:pPr>
              <w:pStyle w:val="Compact"/>
            </w:pPr>
            <w:r>
              <w:t xml:space="preserve">POL-HR-008</w:t>
            </w:r>
          </w:p>
        </w:tc>
      </w:tr>
      <w:tr>
        <w:tc>
          <w:tcPr/>
          <w:p>
            <w:pPr>
              <w:pStyle w:val="Compact"/>
            </w:pPr>
            <w:r>
              <w:t xml:space="preserve">Effective Date</w:t>
            </w:r>
          </w:p>
        </w:tc>
        <w:tc>
          <w:tcPr/>
          <w:p>
            <w:pPr>
              <w:pStyle w:val="Compact"/>
            </w:pPr>
            <w:r>
              <w:t xml:space="preserve">1 January 2026</w:t>
            </w:r>
          </w:p>
        </w:tc>
      </w:tr>
      <w:tr>
        <w:tc>
          <w:tcPr/>
          <w:p>
            <w:pPr>
              <w:pStyle w:val="Compact"/>
            </w:pPr>
            <w:r>
              <w:t xml:space="preserve">Review Date</w:t>
            </w:r>
          </w:p>
        </w:tc>
        <w:tc>
          <w:tcPr/>
          <w:p>
            <w:pPr>
              <w:pStyle w:val="Compact"/>
            </w:pPr>
            <w:r>
              <w:t xml:space="preserve">1 January 2027</w:t>
            </w:r>
          </w:p>
        </w:tc>
      </w:tr>
      <w:tr>
        <w:tc>
          <w:tcPr/>
          <w:p>
            <w:pPr>
              <w:pStyle w:val="Compact"/>
            </w:pPr>
            <w:r>
              <w:t xml:space="preserve">Policy Owner</w:t>
            </w:r>
          </w:p>
        </w:tc>
        <w:tc>
          <w:tcPr/>
          <w:p>
            <w:pPr>
              <w:pStyle w:val="Compact"/>
            </w:pPr>
            <w:r>
              <w:t xml:space="preserve">Head of People Operations</w:t>
            </w:r>
          </w:p>
        </w:tc>
      </w:tr>
      <w:tr>
        <w:tc>
          <w:tcPr/>
          <w:p>
            <w:pPr>
              <w:pStyle w:val="Compact"/>
            </w:pPr>
            <w:r>
              <w:t xml:space="preserve">Classification</w:t>
            </w:r>
          </w:p>
        </w:tc>
        <w:tc>
          <w:tcPr/>
          <w:p>
            <w:pPr>
              <w:pStyle w:val="Compact"/>
            </w:pPr>
            <w:r>
              <w:t xml:space="preserve">Internal — All Employees</w:t>
            </w:r>
          </w:p>
        </w:tc>
      </w:tr>
      <w:tr>
        <w:tc>
          <w:tcPr/>
          <w:p>
            <w:pPr>
              <w:pStyle w:val="Compact"/>
            </w:pPr>
            <w:r>
              <w:t xml:space="preserve">Compliance Risk</w:t>
            </w:r>
          </w:p>
        </w:tc>
        <w:tc>
          <w:tcPr/>
          <w:p>
            <w:pPr>
              <w:pStyle w:val="Compact"/>
            </w:pPr>
            <w:r>
              <w:t xml:space="preserve">Medium</w:t>
            </w:r>
          </w:p>
        </w:tc>
      </w:tr>
    </w:tbl>
    <w:bookmarkStart w:id="9" w:name="purpose"/>
    <w:p>
      <w:pPr>
        <w:pStyle w:val="Heading2"/>
      </w:pPr>
      <w:r>
        <w:t xml:space="preserve">1. Purpose</w:t>
      </w:r>
    </w:p>
    <w:p>
      <w:pPr>
        <w:pStyle w:val="FirstParagraph"/>
      </w:pPr>
      <w:r>
        <w:t xml:space="preserve">This policy establishes the framework for managing probationary periods at First Digital, ensuring new employees receive appropriate support and feedback during their initial employment period, and that both parties can assess suitability for the role.</w:t>
      </w:r>
    </w:p>
    <w:bookmarkEnd w:id="9"/>
    <w:bookmarkStart w:id="10" w:name="probation-duration"/>
    <w:p>
      <w:pPr>
        <w:pStyle w:val="Heading2"/>
      </w:pPr>
      <w:r>
        <w:t xml:space="preserve">2. Probation Duration</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Employee Level</w:t>
            </w:r>
          </w:p>
        </w:tc>
        <w:tc>
          <w:tcPr/>
          <w:p>
            <w:pPr>
              <w:pStyle w:val="Compact"/>
            </w:pPr>
            <w:r>
              <w:t xml:space="preserve">Probation Period</w:t>
            </w:r>
          </w:p>
        </w:tc>
        <w:tc>
          <w:tcPr/>
          <w:p>
            <w:pPr>
              <w:pStyle w:val="Compact"/>
            </w:pPr>
            <w:r>
              <w:t xml:space="preserve">Notice During Probation</w:t>
            </w:r>
          </w:p>
        </w:tc>
      </w:tr>
      <w:tr>
        <w:tc>
          <w:tcPr/>
          <w:p>
            <w:pPr>
              <w:pStyle w:val="Compact"/>
            </w:pPr>
            <w:r>
              <w:t xml:space="preserve">Individual Contributor</w:t>
            </w:r>
          </w:p>
        </w:tc>
        <w:tc>
          <w:tcPr/>
          <w:p>
            <w:pPr>
              <w:pStyle w:val="Compact"/>
            </w:pPr>
            <w:r>
              <w:t xml:space="preserve">3 months</w:t>
            </w:r>
          </w:p>
        </w:tc>
        <w:tc>
          <w:tcPr/>
          <w:p>
            <w:pPr>
              <w:pStyle w:val="Compact"/>
            </w:pPr>
            <w:r>
              <w:t xml:space="preserve">1 week</w:t>
            </w:r>
          </w:p>
        </w:tc>
      </w:tr>
      <w:tr>
        <w:tc>
          <w:tcPr/>
          <w:p>
            <w:pPr>
              <w:pStyle w:val="Compact"/>
            </w:pPr>
            <w:r>
              <w:t xml:space="preserve">Team Leader / Supervisor</w:t>
            </w:r>
          </w:p>
        </w:tc>
        <w:tc>
          <w:tcPr/>
          <w:p>
            <w:pPr>
              <w:pStyle w:val="Compact"/>
            </w:pPr>
            <w:r>
              <w:t xml:space="preserve">3 months</w:t>
            </w:r>
          </w:p>
        </w:tc>
        <w:tc>
          <w:tcPr/>
          <w:p>
            <w:pPr>
              <w:pStyle w:val="Compact"/>
            </w:pPr>
            <w:r>
              <w:t xml:space="preserve">2 weeks</w:t>
            </w:r>
          </w:p>
        </w:tc>
      </w:tr>
      <w:tr>
        <w:tc>
          <w:tcPr/>
          <w:p>
            <w:pPr>
              <w:pStyle w:val="Compact"/>
            </w:pPr>
            <w:r>
              <w:t xml:space="preserve">Manager / Senior Manager</w:t>
            </w:r>
          </w:p>
        </w:tc>
        <w:tc>
          <w:tcPr/>
          <w:p>
            <w:pPr>
              <w:pStyle w:val="Compact"/>
            </w:pPr>
            <w:r>
              <w:t xml:space="preserve">6 months</w:t>
            </w:r>
          </w:p>
        </w:tc>
        <w:tc>
          <w:tcPr/>
          <w:p>
            <w:pPr>
              <w:pStyle w:val="Compact"/>
            </w:pPr>
            <w:r>
              <w:t xml:space="preserve">4 weeks</w:t>
            </w:r>
          </w:p>
        </w:tc>
      </w:tr>
      <w:tr>
        <w:tc>
          <w:tcPr/>
          <w:p>
            <w:pPr>
              <w:pStyle w:val="Compact"/>
            </w:pPr>
            <w:r>
              <w:t xml:space="preserve">Director and above</w:t>
            </w:r>
          </w:p>
        </w:tc>
        <w:tc>
          <w:tcPr/>
          <w:p>
            <w:pPr>
              <w:pStyle w:val="Compact"/>
            </w:pPr>
            <w:r>
              <w:t xml:space="preserve">6 months</w:t>
            </w:r>
          </w:p>
        </w:tc>
        <w:tc>
          <w:tcPr/>
          <w:p>
            <w:pPr>
              <w:pStyle w:val="Compact"/>
            </w:pPr>
            <w:r>
              <w:t xml:space="preserve">4 weeks</w:t>
            </w:r>
          </w:p>
        </w:tc>
      </w:tr>
    </w:tbl>
    <w:bookmarkEnd w:id="10"/>
    <w:bookmarkStart w:id="11" w:name="probation-review-schedule"/>
    <w:p>
      <w:pPr>
        <w:pStyle w:val="Heading2"/>
      </w:pPr>
      <w:r>
        <w:t xml:space="preserve">3. Probation Review Schedule</w:t>
      </w:r>
    </w:p>
    <w:p>
      <w:pPr>
        <w:pStyle w:val="FirstParagraph"/>
      </w:pPr>
      <w:r>
        <w:t xml:space="preserve">During the probation period, the following formal check-ins are required:</w:t>
      </w:r>
    </w:p>
    <w:p>
      <w:pPr>
        <w:pStyle w:val="Compact"/>
        <w:numPr>
          <w:ilvl w:val="0"/>
          <w:numId w:val="1001"/>
        </w:numPr>
      </w:pPr>
      <w:r>
        <w:rPr>
          <w:b/>
          <w:bCs/>
        </w:rPr>
        <w:t xml:space="preserve">Week 1:</w:t>
      </w:r>
      <w:r>
        <w:t xml:space="preserve"> </w:t>
      </w:r>
      <w:r>
        <w:t xml:space="preserve">Initial orientation meeting — confirm role expectations, introduce key contacts, review 90-day plan</w:t>
      </w:r>
    </w:p>
    <w:p>
      <w:pPr>
        <w:pStyle w:val="Compact"/>
        <w:numPr>
          <w:ilvl w:val="0"/>
          <w:numId w:val="1001"/>
        </w:numPr>
      </w:pPr>
      <w:r>
        <w:rPr>
          <w:b/>
          <w:bCs/>
        </w:rPr>
        <w:t xml:space="preserve">Week 4:</w:t>
      </w:r>
      <w:r>
        <w:t xml:space="preserve"> </w:t>
      </w:r>
      <w:r>
        <w:t xml:space="preserve">First month review — assess settling-in, address early concerns, provide initial feedback</w:t>
      </w:r>
    </w:p>
    <w:p>
      <w:pPr>
        <w:pStyle w:val="Compact"/>
        <w:numPr>
          <w:ilvl w:val="0"/>
          <w:numId w:val="1001"/>
        </w:numPr>
      </w:pPr>
      <w:r>
        <w:rPr>
          <w:b/>
          <w:bCs/>
        </w:rPr>
        <w:t xml:space="preserve">Week 8:</w:t>
      </w:r>
      <w:r>
        <w:t xml:space="preserve"> </w:t>
      </w:r>
      <w:r>
        <w:t xml:space="preserve">Mid-probation review — evaluate progress against objectives, discuss any gaps</w:t>
      </w:r>
    </w:p>
    <w:p>
      <w:pPr>
        <w:pStyle w:val="Compact"/>
        <w:numPr>
          <w:ilvl w:val="0"/>
          <w:numId w:val="1001"/>
        </w:numPr>
      </w:pPr>
      <w:r>
        <w:rPr>
          <w:b/>
          <w:bCs/>
        </w:rPr>
        <w:t xml:space="preserve">Week 11/12:</w:t>
      </w:r>
      <w:r>
        <w:t xml:space="preserve"> </w:t>
      </w:r>
      <w:r>
        <w:t xml:space="preserve">Final probation review — formal assessment and confirmation or extension decision</w:t>
      </w:r>
    </w:p>
    <w:bookmarkEnd w:id="11"/>
    <w:bookmarkStart w:id="15" w:name="probation-outcomes"/>
    <w:p>
      <w:pPr>
        <w:pStyle w:val="Heading2"/>
      </w:pPr>
      <w:r>
        <w:t xml:space="preserve">4. Probation Outcomes</w:t>
      </w:r>
    </w:p>
    <w:bookmarkStart w:id="12" w:name="successful-completion"/>
    <w:p>
      <w:pPr>
        <w:pStyle w:val="Heading3"/>
      </w:pPr>
      <w:r>
        <w:t xml:space="preserve">4.1 Successful Completion</w:t>
      </w:r>
    </w:p>
    <w:p>
      <w:pPr>
        <w:pStyle w:val="FirstParagraph"/>
      </w:pPr>
      <w:r>
        <w:t xml:space="preserve">Upon satisfactory completion of the probation period, the employee's appointment is confirmed in writing. The employee transitions to standard notice periods and full benefits entitlements.</w:t>
      </w:r>
    </w:p>
    <w:bookmarkEnd w:id="12"/>
    <w:bookmarkStart w:id="13" w:name="extension"/>
    <w:p>
      <w:pPr>
        <w:pStyle w:val="Heading3"/>
      </w:pPr>
      <w:r>
        <w:t xml:space="preserve">4.2 Extension</w:t>
      </w:r>
    </w:p>
    <w:p>
      <w:pPr>
        <w:pStyle w:val="FirstParagraph"/>
      </w:pPr>
      <w:r>
        <w:t xml:space="preserve">Where performance is not yet at the required standard but shows improvement, the probation period may be extended by up to 3 months. An extension must be agreed in writing with clear objectives and support measures outlined.</w:t>
      </w:r>
    </w:p>
    <w:bookmarkEnd w:id="13"/>
    <w:bookmarkStart w:id="14" w:name="termination-during-probation"/>
    <w:p>
      <w:pPr>
        <w:pStyle w:val="Heading3"/>
      </w:pPr>
      <w:r>
        <w:t xml:space="preserve">4.3 Termination During Probation</w:t>
      </w:r>
    </w:p>
    <w:p>
      <w:pPr>
        <w:pStyle w:val="FirstParagraph"/>
      </w:pPr>
      <w:r>
        <w:t xml:space="preserve">If it becomes clear that the employee is not suitable for the role, employment may be terminated during the probation period with the applicable notice. A meeting with the employee must occur before any termination decision, and the employee may bring a support person.</w:t>
      </w:r>
    </w:p>
    <w:bookmarkEnd w:id="14"/>
    <w:bookmarkEnd w:id="15"/>
    <w:bookmarkStart w:id="16" w:name="manager-responsibilities"/>
    <w:p>
      <w:pPr>
        <w:pStyle w:val="Heading2"/>
      </w:pPr>
      <w:r>
        <w:t xml:space="preserve">5. Manager Responsibilities</w:t>
      </w:r>
    </w:p>
    <w:p>
      <w:pPr>
        <w:pStyle w:val="Compact"/>
        <w:numPr>
          <w:ilvl w:val="0"/>
          <w:numId w:val="1002"/>
        </w:numPr>
      </w:pPr>
      <w:r>
        <w:t xml:space="preserve">Develop a clear 90-day onboarding plan with measurable objectives</w:t>
      </w:r>
    </w:p>
    <w:p>
      <w:pPr>
        <w:pStyle w:val="Compact"/>
        <w:numPr>
          <w:ilvl w:val="0"/>
          <w:numId w:val="1002"/>
        </w:numPr>
      </w:pPr>
      <w:r>
        <w:t xml:space="preserve">Conduct all scheduled check-in meetings and document outcomes</w:t>
      </w:r>
    </w:p>
    <w:p>
      <w:pPr>
        <w:pStyle w:val="Compact"/>
        <w:numPr>
          <w:ilvl w:val="0"/>
          <w:numId w:val="1002"/>
        </w:numPr>
      </w:pPr>
      <w:r>
        <w:t xml:space="preserve">Provide regular, constructive feedback throughout the probation period</w:t>
      </w:r>
    </w:p>
    <w:p>
      <w:pPr>
        <w:pStyle w:val="Compact"/>
        <w:numPr>
          <w:ilvl w:val="0"/>
          <w:numId w:val="1002"/>
        </w:numPr>
      </w:pPr>
      <w:r>
        <w:t xml:space="preserve">Arrange necessary training and introduce the new employee to key stakeholders</w:t>
      </w:r>
    </w:p>
    <w:p>
      <w:pPr>
        <w:pStyle w:val="Compact"/>
        <w:numPr>
          <w:ilvl w:val="0"/>
          <w:numId w:val="1002"/>
        </w:numPr>
      </w:pPr>
      <w:r>
        <w:t xml:space="preserve">Consult HR before making any probation extension or termination decision</w:t>
      </w:r>
    </w:p>
    <w:bookmarkEnd w:id="16"/>
    <w:bookmarkStart w:id="17" w:name="employee-responsibilities"/>
    <w:p>
      <w:pPr>
        <w:pStyle w:val="Heading2"/>
      </w:pPr>
      <w:r>
        <w:t xml:space="preserve">6. Employee Responsibilities</w:t>
      </w:r>
    </w:p>
    <w:p>
      <w:pPr>
        <w:pStyle w:val="Compact"/>
        <w:numPr>
          <w:ilvl w:val="0"/>
          <w:numId w:val="1003"/>
        </w:numPr>
      </w:pPr>
      <w:r>
        <w:t xml:space="preserve">Actively engage in the onboarding process and seek feedback</w:t>
      </w:r>
    </w:p>
    <w:p>
      <w:pPr>
        <w:pStyle w:val="Compact"/>
        <w:numPr>
          <w:ilvl w:val="0"/>
          <w:numId w:val="1003"/>
        </w:numPr>
      </w:pPr>
      <w:r>
        <w:t xml:space="preserve">Raise any concerns about the role or working environment early</w:t>
      </w:r>
    </w:p>
    <w:p>
      <w:pPr>
        <w:pStyle w:val="Compact"/>
        <w:numPr>
          <w:ilvl w:val="0"/>
          <w:numId w:val="1003"/>
        </w:numPr>
      </w:pPr>
      <w:r>
        <w:t xml:space="preserve">Complete all mandatory compliance training within the first 30 days</w:t>
      </w:r>
    </w:p>
    <w:p>
      <w:pPr>
        <w:pStyle w:val="Compact"/>
        <w:numPr>
          <w:ilvl w:val="0"/>
          <w:numId w:val="1003"/>
        </w:numPr>
      </w:pPr>
      <w:r>
        <w:t xml:space="preserve">Demonstrate commitment to the role and organisational values</w:t>
      </w:r>
    </w:p>
    <w:p>
      <w:pPr>
        <w:pStyle w:val="FirstParagraph"/>
      </w:pPr>
      <w:r>
        <w:t xml:space="preserve">First Digital — DWx Policy Manager • Document generated for testing purposes • Version 1.0</w:t>
      </w:r>
    </w:p>
    <w:bookmarkEnd w:id="17"/>
    <w:bookmarkEnd w:id="1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Probation Policy</dc:title>
  <dc:creator>First Digital — DWx Policy Manager</dc:creator>
  <cp:category>Human Resources</cp:category>
  <cp:keywords/>
  <dcterms:created xsi:type="dcterms:W3CDTF">2026-04-11T22:11:40Z</dcterms:created>
  <dcterms:modified xsi:type="dcterms:W3CDTF">2026-04-11T22:11:40Z</dcterms:modified>
</cp:coreProperties>
</file>

<file path=docProps/custom.xml><?xml version="1.0" encoding="utf-8"?>
<Properties xmlns="http://schemas.openxmlformats.org/officeDocument/2006/custom-properties" xmlns:vt="http://schemas.openxmlformats.org/officeDocument/2006/docPropsVTypes"/>
</file>