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Recruitment and Selection Policy</w:t>
      </w:r>
    </w:p>
    <w:p>
      <w:pPr>
        <w:pStyle w:val="Author"/>
      </w:pPr>
      <w:r>
        <w:t xml:space="preserve">First Digital — DWx Policy Manager</w:t>
      </w:r>
    </w:p>
    <w:bookmarkStart w:id="17" w:name="recruitment-and-selection-policy"/>
    <w:p>
      <w:pPr>
        <w:pStyle w:val="Heading1"/>
      </w:pPr>
      <w:r>
        <w:t xml:space="preserve">Recruitment and Selection Policy</w:t>
      </w:r>
    </w:p>
    <w:tbl>
      <w:tblPr>
        <w:tblStyle w:val="Table"/>
        <w:tblW w:type="auto" w:w="0"/>
        <w:tblLook w:firstRow="0" w:lastRow="0" w:firstColumn="0" w:lastColumn="0" w:noHBand="0" w:noVBand="0" w:val="0000"/>
      </w:tblPr>
      <w:tblGrid>
        <w:gridCol w:w="3960"/>
        <w:gridCol w:w="3960"/>
      </w:tblGrid>
      <w:tr>
        <w:tc>
          <w:tcPr/>
          <w:p>
            <w:pPr>
              <w:pStyle w:val="Compact"/>
            </w:pPr>
            <w:r>
              <w:t xml:space="preserve">Policy Number</w:t>
            </w:r>
          </w:p>
        </w:tc>
        <w:tc>
          <w:tcPr/>
          <w:p>
            <w:pPr>
              <w:pStyle w:val="Compact"/>
            </w:pPr>
            <w:r>
              <w:t xml:space="preserve">POL-HR-004</w:t>
            </w:r>
          </w:p>
        </w:tc>
      </w:tr>
      <w:tr>
        <w:tc>
          <w:tcPr/>
          <w:p>
            <w:pPr>
              <w:pStyle w:val="Compact"/>
            </w:pPr>
            <w:r>
              <w:t xml:space="preserve">Effective Date</w:t>
            </w:r>
          </w:p>
        </w:tc>
        <w:tc>
          <w:tcPr/>
          <w:p>
            <w:pPr>
              <w:pStyle w:val="Compact"/>
            </w:pPr>
            <w:r>
              <w:t xml:space="preserve">1 February 2026</w:t>
            </w:r>
          </w:p>
        </w:tc>
      </w:tr>
      <w:tr>
        <w:tc>
          <w:tcPr/>
          <w:p>
            <w:pPr>
              <w:pStyle w:val="Compact"/>
            </w:pPr>
            <w:r>
              <w:t xml:space="preserve">Review Date</w:t>
            </w:r>
          </w:p>
        </w:tc>
        <w:tc>
          <w:tcPr/>
          <w:p>
            <w:pPr>
              <w:pStyle w:val="Compact"/>
            </w:pPr>
            <w:r>
              <w:t xml:space="preserve">1 February 2027</w:t>
            </w:r>
          </w:p>
        </w:tc>
      </w:tr>
      <w:tr>
        <w:tc>
          <w:tcPr/>
          <w:p>
            <w:pPr>
              <w:pStyle w:val="Compact"/>
            </w:pPr>
            <w:r>
              <w:t xml:space="preserve">Policy Owner</w:t>
            </w:r>
          </w:p>
        </w:tc>
        <w:tc>
          <w:tcPr/>
          <w:p>
            <w:pPr>
              <w:pStyle w:val="Compact"/>
            </w:pPr>
            <w:r>
              <w:t xml:space="preserve">Head of Talent Acquisition</w:t>
            </w:r>
          </w:p>
        </w:tc>
      </w:tr>
      <w:tr>
        <w:tc>
          <w:tcPr/>
          <w:p>
            <w:pPr>
              <w:pStyle w:val="Compact"/>
            </w:pPr>
            <w:r>
              <w:t xml:space="preserve">Classification</w:t>
            </w:r>
          </w:p>
        </w:tc>
        <w:tc>
          <w:tcPr/>
          <w:p>
            <w:pPr>
              <w:pStyle w:val="Compact"/>
            </w:pPr>
            <w:r>
              <w:t xml:space="preserve">Internal — Managers and HR</w:t>
            </w:r>
          </w:p>
        </w:tc>
      </w:tr>
      <w:tr>
        <w:tc>
          <w:tcPr/>
          <w:p>
            <w:pPr>
              <w:pStyle w:val="Compact"/>
            </w:pPr>
            <w:r>
              <w:t xml:space="preserve">Compliance Risk</w:t>
            </w:r>
          </w:p>
        </w:tc>
        <w:tc>
          <w:tcPr/>
          <w:p>
            <w:pPr>
              <w:pStyle w:val="Compact"/>
            </w:pPr>
            <w:r>
              <w:t xml:space="preserve">High</w:t>
            </w:r>
          </w:p>
        </w:tc>
      </w:tr>
    </w:tbl>
    <w:bookmarkStart w:id="9" w:name="purpose"/>
    <w:p>
      <w:pPr>
        <w:pStyle w:val="Heading2"/>
      </w:pPr>
      <w:r>
        <w:t xml:space="preserve">1. Purpose</w:t>
      </w:r>
    </w:p>
    <w:p>
      <w:pPr>
        <w:pStyle w:val="FirstParagraph"/>
      </w:pPr>
      <w:r>
        <w:t xml:space="preserve">This policy ensures that First Digital's recruitment and selection practices are fair, transparent, and compliant with equal opportunity legislation, attracting the best talent while promoting diversity and inclusion.</w:t>
      </w:r>
    </w:p>
    <w:bookmarkEnd w:id="9"/>
    <w:bookmarkStart w:id="10" w:name="principles"/>
    <w:p>
      <w:pPr>
        <w:pStyle w:val="Heading2"/>
      </w:pPr>
      <w:r>
        <w:t xml:space="preserve">2. Principles</w:t>
      </w:r>
    </w:p>
    <w:p>
      <w:pPr>
        <w:pStyle w:val="Compact"/>
        <w:numPr>
          <w:ilvl w:val="0"/>
          <w:numId w:val="1001"/>
        </w:numPr>
      </w:pPr>
      <w:r>
        <w:t xml:space="preserve">All hiring decisions are based on merit and job-related criteria</w:t>
      </w:r>
    </w:p>
    <w:p>
      <w:pPr>
        <w:pStyle w:val="Compact"/>
        <w:numPr>
          <w:ilvl w:val="0"/>
          <w:numId w:val="1001"/>
        </w:numPr>
      </w:pPr>
      <w:r>
        <w:t xml:space="preserve">No candidate will be discriminated against on the basis of protected characteristics</w:t>
      </w:r>
    </w:p>
    <w:p>
      <w:pPr>
        <w:pStyle w:val="Compact"/>
        <w:numPr>
          <w:ilvl w:val="0"/>
          <w:numId w:val="1001"/>
        </w:numPr>
      </w:pPr>
      <w:r>
        <w:t xml:space="preserve">Internal candidates are encouraged to apply and will be considered alongside external applicants</w:t>
      </w:r>
    </w:p>
    <w:p>
      <w:pPr>
        <w:pStyle w:val="Compact"/>
        <w:numPr>
          <w:ilvl w:val="0"/>
          <w:numId w:val="1001"/>
        </w:numPr>
      </w:pPr>
      <w:r>
        <w:t xml:space="preserve">All recruitment activity must comply with applicable privacy and employment laws</w:t>
      </w:r>
    </w:p>
    <w:bookmarkEnd w:id="10"/>
    <w:bookmarkStart w:id="11" w:name="recruitment-process"/>
    <w:p>
      <w:pPr>
        <w:pStyle w:val="Heading2"/>
      </w:pPr>
      <w:r>
        <w:t xml:space="preserve">3. Recruitment Process</w:t>
      </w:r>
    </w:p>
    <w:p>
      <w:pPr>
        <w:pStyle w:val="Compact"/>
        <w:numPr>
          <w:ilvl w:val="0"/>
          <w:numId w:val="1002"/>
        </w:numPr>
      </w:pPr>
      <w:r>
        <w:rPr>
          <w:b/>
          <w:bCs/>
        </w:rPr>
        <w:t xml:space="preserve">Vacancy Approval:</w:t>
      </w:r>
      <w:r>
        <w:t xml:space="preserve"> </w:t>
      </w:r>
      <w:r>
        <w:t xml:space="preserve">Hiring manager submits a role requisition through the HR system, including business justification, budget confirmation, and position description.</w:t>
      </w:r>
    </w:p>
    <w:p>
      <w:pPr>
        <w:pStyle w:val="Compact"/>
        <w:numPr>
          <w:ilvl w:val="0"/>
          <w:numId w:val="1002"/>
        </w:numPr>
      </w:pPr>
      <w:r>
        <w:rPr>
          <w:b/>
          <w:bCs/>
        </w:rPr>
        <w:t xml:space="preserve">Job Posting:</w:t>
      </w:r>
      <w:r>
        <w:t xml:space="preserve"> </w:t>
      </w:r>
      <w:r>
        <w:t xml:space="preserve">All roles are posted internally for a minimum of 5 business days before external advertising. Job advertisements must use inclusive language.</w:t>
      </w:r>
    </w:p>
    <w:p>
      <w:pPr>
        <w:pStyle w:val="Compact"/>
        <w:numPr>
          <w:ilvl w:val="0"/>
          <w:numId w:val="1002"/>
        </w:numPr>
      </w:pPr>
      <w:r>
        <w:rPr>
          <w:b/>
          <w:bCs/>
        </w:rPr>
        <w:t xml:space="preserve">Shortlisting:</w:t>
      </w:r>
      <w:r>
        <w:t xml:space="preserve"> </w:t>
      </w:r>
      <w:r>
        <w:t xml:space="preserve">Applications are screened against essential and desirable criteria defined in the position description. A minimum of two people review each shortlist.</w:t>
      </w:r>
    </w:p>
    <w:p>
      <w:pPr>
        <w:pStyle w:val="Compact"/>
        <w:numPr>
          <w:ilvl w:val="0"/>
          <w:numId w:val="1002"/>
        </w:numPr>
      </w:pPr>
      <w:r>
        <w:rPr>
          <w:b/>
          <w:bCs/>
        </w:rPr>
        <w:t xml:space="preserve">Interviews:</w:t>
      </w:r>
      <w:r>
        <w:t xml:space="preserve"> </w:t>
      </w:r>
      <w:r>
        <w:t xml:space="preserve">A structured interview format with predetermined questions is used. Interview panels must include at least two people and ideally reflect gender diversity.</w:t>
      </w:r>
    </w:p>
    <w:p>
      <w:pPr>
        <w:pStyle w:val="Compact"/>
        <w:numPr>
          <w:ilvl w:val="0"/>
          <w:numId w:val="1002"/>
        </w:numPr>
      </w:pPr>
      <w:r>
        <w:rPr>
          <w:b/>
          <w:bCs/>
        </w:rPr>
        <w:t xml:space="preserve">Assessment:</w:t>
      </w:r>
      <w:r>
        <w:t xml:space="preserve"> </w:t>
      </w:r>
      <w:r>
        <w:t xml:space="preserve">Role-appropriate assessments (technical tests, case studies, presentations) may be used as part of the selection process.</w:t>
      </w:r>
    </w:p>
    <w:p>
      <w:pPr>
        <w:pStyle w:val="Compact"/>
        <w:numPr>
          <w:ilvl w:val="0"/>
          <w:numId w:val="1002"/>
        </w:numPr>
      </w:pPr>
      <w:r>
        <w:rPr>
          <w:b/>
          <w:bCs/>
        </w:rPr>
        <w:t xml:space="preserve">Reference Checks:</w:t>
      </w:r>
      <w:r>
        <w:t xml:space="preserve"> </w:t>
      </w:r>
      <w:r>
        <w:t xml:space="preserve">A minimum of two professional references must be obtained before any offer is made.</w:t>
      </w:r>
    </w:p>
    <w:p>
      <w:pPr>
        <w:pStyle w:val="Compact"/>
        <w:numPr>
          <w:ilvl w:val="0"/>
          <w:numId w:val="1002"/>
        </w:numPr>
      </w:pPr>
      <w:r>
        <w:rPr>
          <w:b/>
          <w:bCs/>
        </w:rPr>
        <w:t xml:space="preserve">Offer:</w:t>
      </w:r>
      <w:r>
        <w:t xml:space="preserve"> </w:t>
      </w:r>
      <w:r>
        <w:t xml:space="preserve">Offers are issued by HR following approval from the hiring manager and Finance. Verbal offers must be followed by a written contract within 48 hours.</w:t>
      </w:r>
    </w:p>
    <w:p>
      <w:pPr>
        <w:pStyle w:val="Compact"/>
        <w:numPr>
          <w:ilvl w:val="0"/>
          <w:numId w:val="1002"/>
        </w:numPr>
      </w:pPr>
      <w:r>
        <w:rPr>
          <w:b/>
          <w:bCs/>
        </w:rPr>
        <w:t xml:space="preserve">Onboarding:</w:t>
      </w:r>
      <w:r>
        <w:t xml:space="preserve"> </w:t>
      </w:r>
      <w:r>
        <w:t xml:space="preserve">A structured onboarding programme begins from offer acceptance, with a 90-day integration plan.</w:t>
      </w:r>
    </w:p>
    <w:bookmarkEnd w:id="11"/>
    <w:bookmarkStart w:id="12" w:name="equal-opportunity"/>
    <w:p>
      <w:pPr>
        <w:pStyle w:val="Heading2"/>
      </w:pPr>
      <w:r>
        <w:t xml:space="preserve">4. Equal Opportunity</w:t>
      </w:r>
    </w:p>
    <w:p>
      <w:pPr>
        <w:pStyle w:val="FirstParagraph"/>
      </w:pPr>
      <w:r>
        <w:t xml:space="preserve">First Digital is an equal opportunity employer. We actively seek to build a workforce that reflects the diversity of the communities we serve. Reasonable adjustments will be made for candidates with disabilities at all stages of the recruitment process.</w:t>
      </w:r>
    </w:p>
    <w:bookmarkEnd w:id="12"/>
    <w:bookmarkStart w:id="13" w:name="conflicts-of-interest"/>
    <w:p>
      <w:pPr>
        <w:pStyle w:val="Heading2"/>
      </w:pPr>
      <w:r>
        <w:t xml:space="preserve">5. Conflicts of Interest</w:t>
      </w:r>
    </w:p>
    <w:p>
      <w:pPr>
        <w:pStyle w:val="FirstParagraph"/>
      </w:pPr>
      <w:r>
        <w:t xml:space="preserve">Any personal relationship between a panel member and a candidate must be declared before the interview process begins. The panel member may be required to withdraw from the selection process.</w:t>
      </w:r>
    </w:p>
    <w:bookmarkEnd w:id="13"/>
    <w:bookmarkStart w:id="14" w:name="record-retention"/>
    <w:p>
      <w:pPr>
        <w:pStyle w:val="Heading2"/>
      </w:pPr>
      <w:r>
        <w:t xml:space="preserve">6. Record Retention</w:t>
      </w:r>
    </w:p>
    <w:p>
      <w:pPr>
        <w:pStyle w:val="FirstParagraph"/>
      </w:pPr>
      <w:r>
        <w:t xml:space="preserve">Recruitment records (applications, interview notes, assessment results) are retained for 12 months following the appointment decision, after which unsuccessful candidate data is securely destroyed in compliance with privacy legislation.</w:t>
      </w:r>
    </w:p>
    <w:bookmarkEnd w:id="14"/>
    <w:bookmarkStart w:id="15" w:name="agency-use"/>
    <w:p>
      <w:pPr>
        <w:pStyle w:val="Heading2"/>
      </w:pPr>
      <w:r>
        <w:t xml:space="preserve">7. Agency Use</w:t>
      </w:r>
    </w:p>
    <w:p>
      <w:pPr>
        <w:pStyle w:val="FirstParagraph"/>
      </w:pPr>
      <w:r>
        <w:t xml:space="preserve">External recruitment agencies may only be engaged through approved panel arrangements managed by the Talent Acquisition team. Preferred supplier agreements must be in place before any candidate introductions.</w:t>
      </w:r>
    </w:p>
    <w:bookmarkEnd w:id="15"/>
    <w:bookmarkStart w:id="16" w:name="internal-transfers"/>
    <w:p>
      <w:pPr>
        <w:pStyle w:val="Heading2"/>
      </w:pPr>
      <w:r>
        <w:t xml:space="preserve">8. Internal Transfers</w:t>
      </w:r>
    </w:p>
    <w:p>
      <w:pPr>
        <w:pStyle w:val="FirstParagraph"/>
      </w:pPr>
      <w:r>
        <w:t xml:space="preserve">Employees who have been in their current role for 12 months or more may apply for internal vacancies. Managers must support internal mobility and may not unreasonably prevent an employee from applying for another role.</w:t>
      </w:r>
    </w:p>
    <w:p>
      <w:pPr>
        <w:pStyle w:val="BodyText"/>
      </w:pPr>
      <w:r>
        <w:t xml:space="preserve">First Digital — DWx Policy Manager • Document generated for testing purposes • Version 1.0</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and Selection Policy</dc:title>
  <dc:creator>First Digital — DWx Policy Manager</dc:creator>
  <cp:category>Human Resources</cp:category>
  <cp:keywords/>
  <dcterms:created xsi:type="dcterms:W3CDTF">2026-04-11T22:11:41Z</dcterms:created>
  <dcterms:modified xsi:type="dcterms:W3CDTF">2026-04-11T22:11:41Z</dcterms:modified>
</cp:coreProperties>
</file>

<file path=docProps/custom.xml><?xml version="1.0" encoding="utf-8"?>
<Properties xmlns="http://schemas.openxmlformats.org/officeDocument/2006/custom-properties" xmlns:vt="http://schemas.openxmlformats.org/officeDocument/2006/docPropsVTypes"/>
</file>