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Remote and Hybrid Working Policy - First Digital</w:t>
      </w:r>
    </w:p>
    <w:bookmarkStart w:id="22" w:name="remote-and-hybrid-working-policy"/>
    <w:p>
      <w:pPr>
        <w:pStyle w:val="Heading1"/>
      </w:pPr>
      <w:r>
        <w:t xml:space="preserve">Remote and Hybrid Working Policy</w:t>
      </w:r>
    </w:p>
    <w:p>
      <w:pPr>
        <w:pStyle w:val="FirstParagraph"/>
      </w:pPr>
      <w:r>
        <w:t xml:space="preserve">Policy ID: FD-HR-006 | Version 2.3 | Effective: 1 November 2025</w:t>
      </w:r>
    </w:p>
    <w:bookmarkStart w:id="9" w:name="purpose"/>
    <w:p>
      <w:pPr>
        <w:pStyle w:val="Heading2"/>
      </w:pPr>
      <w:r>
        <w:t xml:space="preserve">1. Purpose</w:t>
      </w:r>
    </w:p>
    <w:p>
      <w:pPr>
        <w:pStyle w:val="FirstParagraph"/>
      </w:pPr>
      <w:r>
        <w:t xml:space="preserve">This policy establishes the framework for remote and hybrid working arrangements at First Digital. It defines the eligibility criteria, expectations, and responsibilities for employees who work from locations outside the primary office. First Digital supports flexible working as a tool for improving productivity, employee wellbeing, and talent retention while maintaining the collaboration and culture that drive our success.</w:t>
      </w:r>
    </w:p>
    <w:bookmarkEnd w:id="9"/>
    <w:bookmarkStart w:id="10" w:name="scope"/>
    <w:p>
      <w:pPr>
        <w:pStyle w:val="Heading2"/>
      </w:pPr>
      <w:r>
        <w:t xml:space="preserve">2. Scope</w:t>
      </w:r>
    </w:p>
    <w:p>
      <w:pPr>
        <w:pStyle w:val="FirstParagraph"/>
      </w:pPr>
      <w:r>
        <w:t xml:space="preserve">This policy applies to all permanent and fixed-term employees of First Digital. Contractors and temporary staff should refer to the terms of their engagement agreement. This policy does not apply to employees who are required to be on-site due to the nature of their role (e.g., data centre technicians, facilities staff).</w:t>
      </w:r>
    </w:p>
    <w:bookmarkEnd w:id="10"/>
    <w:bookmarkStart w:id="11" w:name="working-arrangements"/>
    <w:p>
      <w:pPr>
        <w:pStyle w:val="Heading2"/>
      </w:pPr>
      <w:r>
        <w:t xml:space="preserve">3. Working Arrangements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Arrangement</w:t>
            </w:r>
          </w:p>
        </w:tc>
        <w:tc>
          <w:tcPr/>
          <w:p>
            <w:pPr>
              <w:pStyle w:val="Compact"/>
            </w:pPr>
            <w:r>
              <w:t xml:space="preserve">Description</w:t>
            </w:r>
          </w:p>
        </w:tc>
        <w:tc>
          <w:tcPr/>
          <w:p>
            <w:pPr>
              <w:pStyle w:val="Compact"/>
            </w:pPr>
            <w:r>
              <w:t xml:space="preserve">Eligibility</w:t>
            </w:r>
          </w:p>
        </w:tc>
      </w:tr>
      <w:tr>
        <w:tc>
          <w:tcPr/>
          <w:p>
            <w:pPr>
              <w:pStyle w:val="Compact"/>
            </w:pPr>
            <w:r>
              <w:rPr>
                <w:b/>
                <w:bCs/>
              </w:rPr>
              <w:t xml:space="preserve">Office-Based</w:t>
            </w:r>
          </w:p>
        </w:tc>
        <w:tc>
          <w:tcPr/>
          <w:p>
            <w:pPr>
              <w:pStyle w:val="Compact"/>
            </w:pPr>
            <w:r>
              <w:t xml:space="preserve">Full-time in the office (5 days per week)</w:t>
            </w:r>
          </w:p>
        </w:tc>
        <w:tc>
          <w:tcPr/>
          <w:p>
            <w:pPr>
              <w:pStyle w:val="Compact"/>
            </w:pPr>
            <w:r>
              <w:t xml:space="preserve">All employees; default arrangement</w:t>
            </w:r>
          </w:p>
        </w:tc>
      </w:tr>
      <w:tr>
        <w:tc>
          <w:tcPr/>
          <w:p>
            <w:pPr>
              <w:pStyle w:val="Compact"/>
            </w:pPr>
            <w:r>
              <w:rPr>
                <w:b/>
                <w:bCs/>
              </w:rPr>
              <w:t xml:space="preserve">Hybrid</w:t>
            </w:r>
          </w:p>
        </w:tc>
        <w:tc>
          <w:tcPr/>
          <w:p>
            <w:pPr>
              <w:pStyle w:val="Compact"/>
            </w:pPr>
            <w:r>
              <w:t xml:space="preserve">Split between office and remote (typically 3 days office, 2 days remote)</w:t>
            </w:r>
          </w:p>
        </w:tc>
        <w:tc>
          <w:tcPr/>
          <w:p>
            <w:pPr>
              <w:pStyle w:val="Compact"/>
            </w:pPr>
            <w:r>
              <w:t xml:space="preserve">Employees who have passed probation and whose role is suitable</w:t>
            </w:r>
          </w:p>
        </w:tc>
      </w:tr>
      <w:tr>
        <w:tc>
          <w:tcPr/>
          <w:p>
            <w:pPr>
              <w:pStyle w:val="Compact"/>
            </w:pPr>
            <w:r>
              <w:rPr>
                <w:b/>
                <w:bCs/>
              </w:rPr>
              <w:t xml:space="preserve">Remote-First</w:t>
            </w:r>
          </w:p>
        </w:tc>
        <w:tc>
          <w:tcPr/>
          <w:p>
            <w:pPr>
              <w:pStyle w:val="Compact"/>
            </w:pPr>
            <w:r>
              <w:t xml:space="preserve">Primarily remote with occasional office attendance (1-2 days per month)</w:t>
            </w:r>
          </w:p>
        </w:tc>
        <w:tc>
          <w:tcPr/>
          <w:p>
            <w:pPr>
              <w:pStyle w:val="Compact"/>
            </w:pPr>
            <w:r>
              <w:t xml:space="preserve">Senior roles with manager and HR approval; requires demonstrated performance</w:t>
            </w:r>
          </w:p>
        </w:tc>
      </w:tr>
      <w:tr>
        <w:tc>
          <w:tcPr/>
          <w:p>
            <w:pPr>
              <w:pStyle w:val="Compact"/>
            </w:pPr>
            <w:r>
              <w:rPr>
                <w:b/>
                <w:bCs/>
              </w:rPr>
              <w:t xml:space="preserve">Temporary Remote</w:t>
            </w:r>
          </w:p>
        </w:tc>
        <w:tc>
          <w:tcPr/>
          <w:p>
            <w:pPr>
              <w:pStyle w:val="Compact"/>
            </w:pPr>
            <w:r>
              <w:t xml:space="preserve">Short-term remote work due to personal circumstances (e.g., carer responsibilities, relocation)</w:t>
            </w:r>
          </w:p>
        </w:tc>
        <w:tc>
          <w:tcPr/>
          <w:p>
            <w:pPr>
              <w:pStyle w:val="Compact"/>
            </w:pPr>
            <w:r>
              <w:t xml:space="preserve">All employees with manager approval; maximum 4 weeks</w:t>
            </w:r>
          </w:p>
        </w:tc>
      </w:tr>
    </w:tbl>
    <w:bookmarkEnd w:id="11"/>
    <w:bookmarkStart w:id="12" w:name="eligibility-and-approval"/>
    <w:p>
      <w:pPr>
        <w:pStyle w:val="Heading2"/>
      </w:pPr>
      <w:r>
        <w:t xml:space="preserve">4. Eligibility and Approval</w:t>
      </w:r>
    </w:p>
    <w:p>
      <w:pPr>
        <w:pStyle w:val="FirstParagraph"/>
      </w:pPr>
      <w:r>
        <w:t xml:space="preserve">Hybrid and remote-first arrangements are subject to the following criteria:</w:t>
      </w:r>
    </w:p>
    <w:p>
      <w:pPr>
        <w:pStyle w:val="Compact"/>
        <w:numPr>
          <w:ilvl w:val="0"/>
          <w:numId w:val="1001"/>
        </w:numPr>
      </w:pPr>
      <w:r>
        <w:t xml:space="preserve">The employee has successfully completed their probation period (minimum 3 months).</w:t>
      </w:r>
    </w:p>
    <w:p>
      <w:pPr>
        <w:pStyle w:val="Compact"/>
        <w:numPr>
          <w:ilvl w:val="0"/>
          <w:numId w:val="1001"/>
        </w:numPr>
      </w:pPr>
      <w:r>
        <w:t xml:space="preserve">The employee's role can be effectively performed remotely without material impact on team collaboration or client service.</w:t>
      </w:r>
    </w:p>
    <w:p>
      <w:pPr>
        <w:pStyle w:val="Compact"/>
        <w:numPr>
          <w:ilvl w:val="0"/>
          <w:numId w:val="1001"/>
        </w:numPr>
      </w:pPr>
      <w:r>
        <w:t xml:space="preserve">The employee has demonstrated consistent performance (meets or exceeds expectations in most recent review).</w:t>
      </w:r>
    </w:p>
    <w:p>
      <w:pPr>
        <w:pStyle w:val="Compact"/>
        <w:numPr>
          <w:ilvl w:val="0"/>
          <w:numId w:val="1001"/>
        </w:numPr>
      </w:pPr>
      <w:r>
        <w:t xml:space="preserve">Written approval has been obtained from the employee's direct manager and endorsed by the relevant Department Head.</w:t>
      </w:r>
    </w:p>
    <w:p>
      <w:pPr>
        <w:pStyle w:val="Compact"/>
        <w:numPr>
          <w:ilvl w:val="0"/>
          <w:numId w:val="1001"/>
        </w:numPr>
      </w:pPr>
      <w:r>
        <w:t xml:space="preserve">The arrangement is documented in a Remote Working Agreement signed by both parties.</w:t>
      </w:r>
    </w:p>
    <w:bookmarkEnd w:id="12"/>
    <w:bookmarkStart w:id="16" w:name="employee-responsibilities"/>
    <w:p>
      <w:pPr>
        <w:pStyle w:val="Heading2"/>
      </w:pPr>
      <w:r>
        <w:t xml:space="preserve">5. Employee Responsibilities</w:t>
      </w:r>
    </w:p>
    <w:bookmarkStart w:id="13" w:name="workspace"/>
    <w:p>
      <w:pPr>
        <w:pStyle w:val="Heading3"/>
      </w:pPr>
      <w:r>
        <w:t xml:space="preserve">5.1 Workspace</w:t>
      </w:r>
    </w:p>
    <w:p>
      <w:pPr>
        <w:pStyle w:val="Compact"/>
        <w:numPr>
          <w:ilvl w:val="0"/>
          <w:numId w:val="1002"/>
        </w:numPr>
      </w:pPr>
      <w:r>
        <w:t xml:space="preserve">Maintain a dedicated, safe, and ergonomically appropriate workspace at home.</w:t>
      </w:r>
    </w:p>
    <w:p>
      <w:pPr>
        <w:pStyle w:val="Compact"/>
        <w:numPr>
          <w:ilvl w:val="0"/>
          <w:numId w:val="1002"/>
        </w:numPr>
      </w:pPr>
      <w:r>
        <w:t xml:space="preserve">Complete the Home Workspace Self-Assessment Checklist (available on the intranet) before commencing remote work.</w:t>
      </w:r>
    </w:p>
    <w:p>
      <w:pPr>
        <w:pStyle w:val="Compact"/>
        <w:numPr>
          <w:ilvl w:val="0"/>
          <w:numId w:val="1002"/>
        </w:numPr>
      </w:pPr>
      <w:r>
        <w:t xml:space="preserve">Ensure adequate internet connectivity (minimum 25 Mbps download) for video conferencing and cloud application access.</w:t>
      </w:r>
    </w:p>
    <w:bookmarkEnd w:id="13"/>
    <w:bookmarkStart w:id="14" w:name="availability-and-communication"/>
    <w:p>
      <w:pPr>
        <w:pStyle w:val="Heading3"/>
      </w:pPr>
      <w:r>
        <w:t xml:space="preserve">5.2 Availability and Communication</w:t>
      </w:r>
    </w:p>
    <w:p>
      <w:pPr>
        <w:pStyle w:val="Compact"/>
        <w:numPr>
          <w:ilvl w:val="0"/>
          <w:numId w:val="1003"/>
        </w:numPr>
      </w:pPr>
      <w:r>
        <w:t xml:space="preserve">Be available during core business hours (10:00 AM - 3:00 PM local time) for meetings and collaboration.</w:t>
      </w:r>
    </w:p>
    <w:p>
      <w:pPr>
        <w:pStyle w:val="Compact"/>
        <w:numPr>
          <w:ilvl w:val="0"/>
          <w:numId w:val="1003"/>
        </w:numPr>
      </w:pPr>
      <w:r>
        <w:t xml:space="preserve">Maintain calendar visibility showing working hours and location (office/home) each day.</w:t>
      </w:r>
    </w:p>
    <w:p>
      <w:pPr>
        <w:pStyle w:val="Compact"/>
        <w:numPr>
          <w:ilvl w:val="0"/>
          <w:numId w:val="1003"/>
        </w:numPr>
      </w:pPr>
      <w:r>
        <w:t xml:space="preserve">Respond to messages and emails within the same timeframes as when office-based.</w:t>
      </w:r>
    </w:p>
    <w:p>
      <w:pPr>
        <w:pStyle w:val="Compact"/>
        <w:numPr>
          <w:ilvl w:val="0"/>
          <w:numId w:val="1003"/>
        </w:numPr>
      </w:pPr>
      <w:r>
        <w:t xml:space="preserve">Participate in all team meetings with camera on unless connectivity issues prevent it.</w:t>
      </w:r>
    </w:p>
    <w:bookmarkEnd w:id="14"/>
    <w:bookmarkStart w:id="15" w:name="security"/>
    <w:p>
      <w:pPr>
        <w:pStyle w:val="Heading3"/>
      </w:pPr>
      <w:r>
        <w:t xml:space="preserve">5.3 Security</w:t>
      </w:r>
    </w:p>
    <w:p>
      <w:pPr>
        <w:pStyle w:val="Compact"/>
        <w:numPr>
          <w:ilvl w:val="0"/>
          <w:numId w:val="1004"/>
        </w:numPr>
      </w:pPr>
      <w:r>
        <w:t xml:space="preserve">Use the company VPN when accessing internal systems from external networks.</w:t>
      </w:r>
    </w:p>
    <w:p>
      <w:pPr>
        <w:pStyle w:val="Compact"/>
        <w:numPr>
          <w:ilvl w:val="0"/>
          <w:numId w:val="1004"/>
        </w:numPr>
      </w:pPr>
      <w:r>
        <w:t xml:space="preserve">Lock the screen when stepping away from the workstation, even at home.</w:t>
      </w:r>
    </w:p>
    <w:p>
      <w:pPr>
        <w:pStyle w:val="Compact"/>
        <w:numPr>
          <w:ilvl w:val="0"/>
          <w:numId w:val="1004"/>
        </w:numPr>
      </w:pPr>
      <w:r>
        <w:t xml:space="preserve">Do not work from public Wi-Fi networks (cafes, airports) without the VPN active.</w:t>
      </w:r>
    </w:p>
    <w:p>
      <w:pPr>
        <w:pStyle w:val="Compact"/>
        <w:numPr>
          <w:ilvl w:val="0"/>
          <w:numId w:val="1004"/>
        </w:numPr>
      </w:pPr>
      <w:r>
        <w:t xml:space="preserve">Ensure household members cannot view or access confidential information on screen or in print.</w:t>
      </w:r>
    </w:p>
    <w:bookmarkEnd w:id="15"/>
    <w:bookmarkEnd w:id="16"/>
    <w:bookmarkStart w:id="17" w:name="manager-responsibilities"/>
    <w:p>
      <w:pPr>
        <w:pStyle w:val="Heading2"/>
      </w:pPr>
      <w:r>
        <w:t xml:space="preserve">6. Manager Responsibilities</w:t>
      </w:r>
    </w:p>
    <w:p>
      <w:pPr>
        <w:pStyle w:val="Compact"/>
        <w:numPr>
          <w:ilvl w:val="0"/>
          <w:numId w:val="1005"/>
        </w:numPr>
      </w:pPr>
      <w:r>
        <w:t xml:space="preserve">Set clear performance expectations and deliverables for remote team members.</w:t>
      </w:r>
    </w:p>
    <w:p>
      <w:pPr>
        <w:pStyle w:val="Compact"/>
        <w:numPr>
          <w:ilvl w:val="0"/>
          <w:numId w:val="1005"/>
        </w:numPr>
      </w:pPr>
      <w:r>
        <w:t xml:space="preserve">Schedule regular one-on-one check-ins (minimum weekly) with remote employees.</w:t>
      </w:r>
    </w:p>
    <w:p>
      <w:pPr>
        <w:pStyle w:val="Compact"/>
        <w:numPr>
          <w:ilvl w:val="0"/>
          <w:numId w:val="1005"/>
        </w:numPr>
      </w:pPr>
      <w:r>
        <w:t xml:space="preserve">Ensure equitable treatment of remote and office-based employees in meetings, project allocation, and career development.</w:t>
      </w:r>
    </w:p>
    <w:p>
      <w:pPr>
        <w:pStyle w:val="Compact"/>
        <w:numPr>
          <w:ilvl w:val="0"/>
          <w:numId w:val="1005"/>
        </w:numPr>
      </w:pPr>
      <w:r>
        <w:t xml:space="preserve">Monitor for signs of isolation or burnout and proactively address wellbeing concerns.</w:t>
      </w:r>
    </w:p>
    <w:p>
      <w:pPr>
        <w:pStyle w:val="Compact"/>
        <w:numPr>
          <w:ilvl w:val="0"/>
          <w:numId w:val="1005"/>
        </w:numPr>
      </w:pPr>
      <w:r>
        <w:t xml:space="preserve">Review remote working arrangements quarterly and adjust as needed.</w:t>
      </w:r>
    </w:p>
    <w:bookmarkEnd w:id="17"/>
    <w:bookmarkStart w:id="18" w:name="equipment-and-expenses"/>
    <w:p>
      <w:pPr>
        <w:pStyle w:val="Heading2"/>
      </w:pPr>
      <w:r>
        <w:t xml:space="preserve">7. Equipment and Expenses</w:t>
      </w:r>
    </w:p>
    <w:p>
      <w:pPr>
        <w:pStyle w:val="FirstParagraph"/>
      </w:pPr>
      <w:r>
        <w:t xml:space="preserve">First Digital will provide a standard-issue laptop, headset, and monitor for employees on approved hybrid or remote-first arrangements. A one-time home office setup allowance of AUD $500 is available for remote-first employees to purchase ergonomic equipment (chair, desk, lighting). Ongoing internet costs are the employee's responsibility.</w:t>
      </w:r>
    </w:p>
    <w:bookmarkEnd w:id="18"/>
    <w:bookmarkStart w:id="19" w:name="health-and-safety"/>
    <w:p>
      <w:pPr>
        <w:pStyle w:val="Heading2"/>
      </w:pPr>
      <w:r>
        <w:t xml:space="preserve">8. Health and Safety</w:t>
      </w:r>
    </w:p>
    <w:p>
      <w:pPr>
        <w:pStyle w:val="FirstParagraph"/>
      </w:pPr>
      <w:r>
        <w:t xml:space="preserve">First Digital's duty of care extends to home workspaces. Employees must report any work-related injuries sustained while working remotely. Workers' compensation coverage applies during working hours regardless of work location. The People &amp; Culture team may request a virtual ergonomic assessment of the home workspace.</w:t>
      </w:r>
    </w:p>
    <w:bookmarkEnd w:id="19"/>
    <w:bookmarkStart w:id="20" w:name="revocation"/>
    <w:p>
      <w:pPr>
        <w:pStyle w:val="Heading2"/>
      </w:pPr>
      <w:r>
        <w:t xml:space="preserve">9. Revocation</w:t>
      </w:r>
    </w:p>
    <w:p>
      <w:pPr>
        <w:pStyle w:val="FirstParagraph"/>
      </w:pPr>
      <w:r>
        <w:t xml:space="preserve">Remote working arrangements may be revoked or modified at any time by First Digital with reasonable notice (minimum 2 weeks) where business needs change, performance is unsatisfactory, or the employee fails to comply with this policy.</w:t>
      </w:r>
    </w:p>
    <w:bookmarkEnd w:id="20"/>
    <w:bookmarkStart w:id="21" w:name="review"/>
    <w:p>
      <w:pPr>
        <w:pStyle w:val="Heading2"/>
      </w:pPr>
      <w:r>
        <w:t xml:space="preserve">10. Review</w:t>
      </w:r>
    </w:p>
    <w:p>
      <w:pPr>
        <w:pStyle w:val="FirstParagraph"/>
      </w:pPr>
      <w:r>
        <w:t xml:space="preserve">This policy is reviewed annually by the People &amp; Culture team. The next review is November 2026.</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Remote and Hybrid Working Policy - First Digital</dc:title>
  <dc:creator/>
  <dc:language>en</dc:language>
  <cp:keywords/>
  <dcterms:created xsi:type="dcterms:W3CDTF">2026-04-11T22:11:26Z</dcterms:created>
  <dcterms:modified xsi:type="dcterms:W3CDTF">2026-04-11T22:11:26Z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